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0" w:name="_Toc_2_2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部门预算收支总表</w:t>
      </w:r>
      <w:r>
        <w:rPr>
          <w:rStyle w:val="10"/>
        </w:rPr>
        <w:tab/>
      </w:r>
      <w:r>
        <w:rPr>
          <w:rStyle w:val="10"/>
          <w:rFonts w:hint="eastAsia"/>
          <w:lang w:val="en-US" w:eastAsia="zh-CN"/>
        </w:rPr>
        <w:t>3</w:t>
      </w:r>
      <w:r>
        <w:rPr>
          <w:rStyle w:val="10"/>
        </w:rPr>
        <w:fldChar w:fldCharType="end"/>
      </w:r>
    </w:p>
    <w:p>
      <w:pPr>
        <w:pStyle w:val="5"/>
        <w:tabs>
          <w:tab w:val="right" w:leader="dot" w:pos="14562"/>
        </w:tabs>
      </w:pPr>
      <w:r>
        <w:fldChar w:fldCharType="begin"/>
      </w:r>
      <w:r>
        <w:instrText xml:space="preserve"> HYPERLINK \l "tz_0001_0002" </w:instrText>
      </w:r>
      <w:r>
        <w:fldChar w:fldCharType="separate"/>
      </w:r>
      <w:r>
        <w:rPr>
          <w:rStyle w:val="10"/>
        </w:rPr>
        <w:t>部门预算收入总表</w:t>
      </w:r>
      <w:r>
        <w:rPr>
          <w:rStyle w:val="10"/>
        </w:rPr>
        <w:tab/>
      </w:r>
      <w:r>
        <w:rPr>
          <w:rStyle w:val="10"/>
        </w:rPr>
        <w:t>5</w:t>
      </w:r>
      <w:r>
        <w:rPr>
          <w:rStyle w:val="10"/>
        </w:rPr>
        <w:fldChar w:fldCharType="end"/>
      </w:r>
    </w:p>
    <w:p>
      <w:pPr>
        <w:pStyle w:val="5"/>
        <w:tabs>
          <w:tab w:val="right" w:leader="dot" w:pos="14562"/>
        </w:tabs>
      </w:pPr>
      <w:r>
        <w:fldChar w:fldCharType="begin"/>
      </w:r>
      <w:r>
        <w:instrText xml:space="preserve"> HYPERLINK \l "tz_0001_0003" </w:instrText>
      </w:r>
      <w:r>
        <w:fldChar w:fldCharType="separate"/>
      </w:r>
      <w:r>
        <w:rPr>
          <w:rStyle w:val="10"/>
        </w:rPr>
        <w:t>部门预算支出总表</w:t>
      </w:r>
      <w:r>
        <w:rPr>
          <w:rStyle w:val="10"/>
        </w:rPr>
        <w:tab/>
      </w:r>
      <w:r>
        <w:rPr>
          <w:rStyle w:val="10"/>
        </w:rPr>
        <w:t>6</w:t>
      </w:r>
      <w:r>
        <w:rPr>
          <w:rStyle w:val="10"/>
        </w:rPr>
        <w:fldChar w:fldCharType="end"/>
      </w:r>
    </w:p>
    <w:p>
      <w:pPr>
        <w:pStyle w:val="5"/>
        <w:tabs>
          <w:tab w:val="right" w:leader="dot" w:pos="14562"/>
        </w:tabs>
      </w:pPr>
      <w:r>
        <w:fldChar w:fldCharType="begin"/>
      </w:r>
      <w:r>
        <w:instrText xml:space="preserve"> HYPERLINK \l "tz_0001_0004" </w:instrText>
      </w:r>
      <w:r>
        <w:fldChar w:fldCharType="separate"/>
      </w:r>
      <w:r>
        <w:rPr>
          <w:rStyle w:val="10"/>
        </w:rPr>
        <w:t>部门预算财政拨款收支总表</w:t>
      </w:r>
      <w:r>
        <w:rPr>
          <w:rStyle w:val="10"/>
        </w:rPr>
        <w:tab/>
      </w:r>
      <w:r>
        <w:rPr>
          <w:rStyle w:val="10"/>
        </w:rPr>
        <w:t>7</w:t>
      </w:r>
      <w:r>
        <w:rPr>
          <w:rStyle w:val="10"/>
        </w:rPr>
        <w:fldChar w:fldCharType="end"/>
      </w:r>
    </w:p>
    <w:p>
      <w:pPr>
        <w:pStyle w:val="5"/>
        <w:tabs>
          <w:tab w:val="right" w:leader="dot" w:pos="14562"/>
        </w:tabs>
      </w:pPr>
      <w:r>
        <w:fldChar w:fldCharType="begin"/>
      </w:r>
      <w:r>
        <w:instrText xml:space="preserve"> HYPERLINK \l "tz_0001_0005" </w:instrText>
      </w:r>
      <w:r>
        <w:fldChar w:fldCharType="separate"/>
      </w:r>
      <w:r>
        <w:rPr>
          <w:rStyle w:val="10"/>
        </w:rPr>
        <w:t>部门预算一般公共预算财政拨款支出表</w:t>
      </w:r>
      <w:r>
        <w:rPr>
          <w:rStyle w:val="10"/>
        </w:rPr>
        <w:tab/>
      </w:r>
      <w:r>
        <w:rPr>
          <w:rStyle w:val="10"/>
        </w:rPr>
        <w:t>10</w:t>
      </w:r>
      <w:r>
        <w:rPr>
          <w:rStyle w:val="10"/>
        </w:rPr>
        <w:fldChar w:fldCharType="end"/>
      </w:r>
    </w:p>
    <w:p>
      <w:pPr>
        <w:pStyle w:val="5"/>
        <w:tabs>
          <w:tab w:val="right" w:leader="dot" w:pos="14562"/>
        </w:tabs>
      </w:pPr>
      <w:r>
        <w:fldChar w:fldCharType="begin"/>
      </w:r>
      <w:r>
        <w:instrText xml:space="preserve"> HYPERLINK \l "tz_0001_0006" </w:instrText>
      </w:r>
      <w:r>
        <w:fldChar w:fldCharType="separate"/>
      </w:r>
      <w:r>
        <w:rPr>
          <w:rStyle w:val="10"/>
        </w:rPr>
        <w:t>部门预算一般公共预算财政拨款基本支出表</w:t>
      </w:r>
      <w:r>
        <w:rPr>
          <w:rStyle w:val="10"/>
        </w:rPr>
        <w:tab/>
      </w:r>
      <w:r>
        <w:rPr>
          <w:rStyle w:val="10"/>
        </w:rPr>
        <w:t>11</w:t>
      </w:r>
      <w:r>
        <w:rPr>
          <w:rStyle w:val="10"/>
        </w:rPr>
        <w:fldChar w:fldCharType="end"/>
      </w:r>
    </w:p>
    <w:p>
      <w:pPr>
        <w:pStyle w:val="5"/>
        <w:tabs>
          <w:tab w:val="right" w:leader="dot" w:pos="14562"/>
        </w:tabs>
      </w:pPr>
      <w:r>
        <w:fldChar w:fldCharType="begin"/>
      </w:r>
      <w:r>
        <w:instrText xml:space="preserve"> HYPERLINK \l "tz_0001_0007" </w:instrText>
      </w:r>
      <w:r>
        <w:fldChar w:fldCharType="separate"/>
      </w:r>
      <w:r>
        <w:rPr>
          <w:rStyle w:val="10"/>
        </w:rPr>
        <w:t>部门预算政府</w:t>
      </w:r>
      <w:r>
        <w:rPr>
          <w:rStyle w:val="10"/>
          <w:rFonts w:hint="eastAsia"/>
          <w:lang w:eastAsia="zh-CN"/>
        </w:rPr>
        <w:t>性</w:t>
      </w:r>
      <w:r>
        <w:rPr>
          <w:rStyle w:val="10"/>
        </w:rPr>
        <w:t>基金预算财政拨款支出表</w:t>
      </w:r>
      <w:r>
        <w:rPr>
          <w:rStyle w:val="10"/>
        </w:rPr>
        <w:tab/>
      </w:r>
      <w:r>
        <w:rPr>
          <w:rStyle w:val="10"/>
        </w:rPr>
        <w:t>12</w:t>
      </w:r>
      <w:r>
        <w:rPr>
          <w:rStyle w:val="10"/>
        </w:rPr>
        <w:fldChar w:fldCharType="end"/>
      </w:r>
    </w:p>
    <w:p>
      <w:pPr>
        <w:pStyle w:val="5"/>
        <w:tabs>
          <w:tab w:val="right" w:leader="dot" w:pos="14562"/>
        </w:tabs>
      </w:pPr>
      <w:r>
        <w:fldChar w:fldCharType="begin"/>
      </w:r>
      <w:r>
        <w:instrText xml:space="preserve"> HYPERLINK \l "tz_0001_0008" </w:instrText>
      </w:r>
      <w:r>
        <w:fldChar w:fldCharType="separate"/>
      </w:r>
      <w:r>
        <w:rPr>
          <w:rStyle w:val="10"/>
        </w:rPr>
        <w:t>部门预算国有资本经营预算财政拨款支出表</w:t>
      </w:r>
      <w:r>
        <w:rPr>
          <w:rStyle w:val="10"/>
        </w:rPr>
        <w:tab/>
      </w:r>
      <w:r>
        <w:rPr>
          <w:rStyle w:val="10"/>
        </w:rPr>
        <w:t>13</w:t>
      </w:r>
      <w:r>
        <w:rPr>
          <w:rStyle w:val="10"/>
        </w:rPr>
        <w:fldChar w:fldCharType="end"/>
      </w:r>
    </w:p>
    <w:p>
      <w:pPr>
        <w:pStyle w:val="5"/>
        <w:tabs>
          <w:tab w:val="right" w:leader="dot" w:pos="14562"/>
        </w:tabs>
      </w:pPr>
      <w:r>
        <w:fldChar w:fldCharType="begin"/>
      </w:r>
      <w:r>
        <w:instrText xml:space="preserve"> HYPERLINK \l "tz_0001_0009" </w:instrText>
      </w:r>
      <w:r>
        <w:fldChar w:fldCharType="separate"/>
      </w:r>
      <w:r>
        <w:rPr>
          <w:rStyle w:val="10"/>
        </w:rPr>
        <w:t>部门预算财政拨款“三公”经费支出表</w:t>
      </w:r>
      <w:r>
        <w:rPr>
          <w:rStyle w:val="10"/>
        </w:rPr>
        <w:tab/>
      </w:r>
      <w:r>
        <w:rPr>
          <w:rStyle w:val="10"/>
        </w:rPr>
        <w:t>14</w:t>
      </w:r>
      <w:r>
        <w:rPr>
          <w:rStyle w:val="10"/>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一、部门职责及机构设置情况</w:t>
      </w:r>
      <w:r>
        <w:rPr>
          <w:rStyle w:val="10"/>
        </w:rPr>
        <w:tab/>
      </w:r>
      <w:r>
        <w:rPr>
          <w:rStyle w:val="10"/>
        </w:rPr>
        <w:t>15</w:t>
      </w:r>
      <w:r>
        <w:rPr>
          <w:rStyle w:val="10"/>
        </w:rPr>
        <w:fldChar w:fldCharType="end"/>
      </w:r>
    </w:p>
    <w:p>
      <w:pPr>
        <w:pStyle w:val="5"/>
        <w:tabs>
          <w:tab w:val="right" w:leader="dot" w:pos="14562"/>
        </w:tabs>
      </w:pPr>
      <w:r>
        <w:fldChar w:fldCharType="begin"/>
      </w:r>
      <w:r>
        <w:instrText xml:space="preserve"> HYPERLINK \l "tz_0002_0002" </w:instrText>
      </w:r>
      <w:r>
        <w:fldChar w:fldCharType="separate"/>
      </w:r>
      <w:r>
        <w:rPr>
          <w:rStyle w:val="10"/>
        </w:rPr>
        <w:t>二、部门预算安排的总体情况</w:t>
      </w:r>
      <w:r>
        <w:rPr>
          <w:rStyle w:val="10"/>
        </w:rPr>
        <w:tab/>
      </w:r>
      <w:r>
        <w:rPr>
          <w:rStyle w:val="10"/>
        </w:rPr>
        <w:t>16</w:t>
      </w:r>
      <w:r>
        <w:rPr>
          <w:rStyle w:val="10"/>
        </w:rPr>
        <w:fldChar w:fldCharType="end"/>
      </w:r>
    </w:p>
    <w:p>
      <w:pPr>
        <w:pStyle w:val="5"/>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17</w:t>
      </w:r>
      <w:r>
        <w:rPr>
          <w:rStyle w:val="10"/>
        </w:rPr>
        <w:fldChar w:fldCharType="end"/>
      </w:r>
    </w:p>
    <w:p>
      <w:pPr>
        <w:pStyle w:val="5"/>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17</w:t>
      </w:r>
      <w:r>
        <w:rPr>
          <w:rStyle w:val="10"/>
        </w:rPr>
        <w:fldChar w:fldCharType="end"/>
      </w:r>
    </w:p>
    <w:p>
      <w:pPr>
        <w:pStyle w:val="5"/>
        <w:tabs>
          <w:tab w:val="right" w:leader="dot" w:pos="14562"/>
        </w:tabs>
      </w:pPr>
      <w:r>
        <w:fldChar w:fldCharType="begin"/>
      </w:r>
      <w:r>
        <w:instrText xml:space="preserve"> HYPERLINK \l "tz_0002_0005" </w:instrText>
      </w:r>
      <w:r>
        <w:fldChar w:fldCharType="separate"/>
      </w:r>
      <w:r>
        <w:rPr>
          <w:rStyle w:val="10"/>
        </w:rPr>
        <w:t>五、</w:t>
      </w:r>
      <w:r>
        <w:rPr>
          <w:rStyle w:val="10"/>
          <w:rFonts w:hint="eastAsia"/>
        </w:rPr>
        <w:t>部门整体绩效目标</w:t>
      </w:r>
      <w:r>
        <w:rPr>
          <w:rStyle w:val="10"/>
        </w:rPr>
        <w:tab/>
      </w:r>
      <w:r>
        <w:rPr>
          <w:rStyle w:val="10"/>
        </w:rPr>
        <w:t>17</w:t>
      </w:r>
      <w:r>
        <w:rPr>
          <w:rStyle w:val="10"/>
        </w:rPr>
        <w:fldChar w:fldCharType="end"/>
      </w:r>
    </w:p>
    <w:p>
      <w:pPr>
        <w:pStyle w:val="5"/>
        <w:tabs>
          <w:tab w:val="right" w:leader="dot" w:pos="14562"/>
        </w:tabs>
      </w:pPr>
      <w:r>
        <w:fldChar w:fldCharType="begin"/>
      </w:r>
      <w:r>
        <w:instrText xml:space="preserve"> HYPERLINK \l "tz_0002_0006" </w:instrText>
      </w:r>
      <w:r>
        <w:fldChar w:fldCharType="separate"/>
      </w:r>
      <w:r>
        <w:rPr>
          <w:rStyle w:val="10"/>
        </w:rPr>
        <w:t>六、</w:t>
      </w:r>
      <w:r>
        <w:rPr>
          <w:rStyle w:val="10"/>
          <w:rFonts w:hint="eastAsia"/>
        </w:rPr>
        <w:t>部门项目预算安排情况及绩效目标</w:t>
      </w:r>
      <w:r>
        <w:rPr>
          <w:rStyle w:val="10"/>
        </w:rPr>
        <w:tab/>
      </w:r>
      <w:r>
        <w:rPr>
          <w:rStyle w:val="10"/>
        </w:rPr>
        <w:t>21</w:t>
      </w:r>
      <w:r>
        <w:rPr>
          <w:rStyle w:val="10"/>
        </w:rPr>
        <w:fldChar w:fldCharType="end"/>
      </w:r>
    </w:p>
    <w:p>
      <w:pPr>
        <w:pStyle w:val="5"/>
        <w:tabs>
          <w:tab w:val="right" w:leader="dot" w:pos="14562"/>
        </w:tabs>
      </w:pPr>
      <w:r>
        <w:fldChar w:fldCharType="begin"/>
      </w:r>
      <w:r>
        <w:instrText xml:space="preserve"> HYPERLINK \l "tz_0002_0007" </w:instrText>
      </w:r>
      <w:r>
        <w:fldChar w:fldCharType="separate"/>
      </w:r>
      <w:r>
        <w:rPr>
          <w:rStyle w:val="10"/>
        </w:rPr>
        <w:t>七、政府采购预算情况</w:t>
      </w:r>
      <w:r>
        <w:rPr>
          <w:rStyle w:val="10"/>
        </w:rPr>
        <w:tab/>
      </w:r>
      <w:r>
        <w:rPr>
          <w:rStyle w:val="10"/>
        </w:rPr>
        <w:t>23</w:t>
      </w:r>
      <w:r>
        <w:rPr>
          <w:rStyle w:val="10"/>
        </w:rPr>
        <w:fldChar w:fldCharType="end"/>
      </w:r>
    </w:p>
    <w:p>
      <w:pPr>
        <w:pStyle w:val="5"/>
        <w:tabs>
          <w:tab w:val="right" w:leader="dot" w:pos="14562"/>
        </w:tabs>
      </w:pPr>
      <w:r>
        <w:fldChar w:fldCharType="begin"/>
      </w:r>
      <w:r>
        <w:instrText xml:space="preserve"> HYPERLINK \l "tz_0002_0008" </w:instrText>
      </w:r>
      <w:r>
        <w:fldChar w:fldCharType="separate"/>
      </w:r>
      <w:r>
        <w:rPr>
          <w:rStyle w:val="10"/>
        </w:rPr>
        <w:t>八、国有资产信息</w:t>
      </w:r>
      <w:r>
        <w:rPr>
          <w:rStyle w:val="10"/>
        </w:rPr>
        <w:tab/>
      </w:r>
      <w:r>
        <w:rPr>
          <w:rStyle w:val="10"/>
        </w:rPr>
        <w:t>23</w:t>
      </w:r>
      <w:r>
        <w:rPr>
          <w:rStyle w:val="10"/>
        </w:rPr>
        <w:fldChar w:fldCharType="end"/>
      </w:r>
    </w:p>
    <w:p>
      <w:pPr>
        <w:pStyle w:val="5"/>
        <w:tabs>
          <w:tab w:val="right" w:leader="dot" w:pos="14562"/>
        </w:tabs>
      </w:pPr>
      <w:r>
        <w:fldChar w:fldCharType="begin"/>
      </w:r>
      <w:r>
        <w:instrText xml:space="preserve"> HYPERLINK \l "tz_0002_0009" </w:instrText>
      </w:r>
      <w:r>
        <w:fldChar w:fldCharType="separate"/>
      </w:r>
      <w:r>
        <w:rPr>
          <w:rStyle w:val="10"/>
        </w:rPr>
        <w:t>九、名词解释</w:t>
      </w:r>
      <w:r>
        <w:rPr>
          <w:rStyle w:val="10"/>
        </w:rPr>
        <w:tab/>
      </w:r>
      <w:r>
        <w:rPr>
          <w:rStyle w:val="10"/>
        </w:rPr>
        <w:t>24</w:t>
      </w:r>
      <w:r>
        <w:rPr>
          <w:rStyle w:val="10"/>
        </w:rPr>
        <w:fldChar w:fldCharType="end"/>
      </w:r>
    </w:p>
    <w:p>
      <w:pPr>
        <w:pStyle w:val="5"/>
        <w:tabs>
          <w:tab w:val="right" w:leader="dot" w:pos="14562"/>
        </w:tabs>
      </w:pPr>
      <w:r>
        <w:fldChar w:fldCharType="begin"/>
      </w:r>
      <w:r>
        <w:instrText xml:space="preserve"> HYPERLINK \l "tz_0002_0010" </w:instrText>
      </w:r>
      <w:r>
        <w:fldChar w:fldCharType="separate"/>
      </w:r>
      <w:r>
        <w:rPr>
          <w:rStyle w:val="10"/>
          <w:rFonts w:hint="eastAsia"/>
          <w:lang w:eastAsia="zh-CN"/>
        </w:rPr>
        <w:t>十</w:t>
      </w:r>
      <w:r>
        <w:rPr>
          <w:rStyle w:val="10"/>
        </w:rPr>
        <w:t>、其他需要说明的事项</w:t>
      </w:r>
      <w:r>
        <w:rPr>
          <w:rStyle w:val="10"/>
        </w:rPr>
        <w:tab/>
      </w:r>
      <w:r>
        <w:rPr>
          <w:rStyle w:val="10"/>
        </w:rPr>
        <w:t>25</w:t>
      </w:r>
      <w:r>
        <w:rPr>
          <w:rStyle w:val="10"/>
        </w:rPr>
        <w:fldChar w:fldCharType="end"/>
      </w:r>
    </w:p>
    <w:p>
      <w:r>
        <w:fldChar w:fldCharType="end"/>
      </w: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rPr>
          <w:lang w:val="uk-UA"/>
        </w:rPr>
      </w:pPr>
    </w:p>
    <w:p>
      <w:pPr>
        <w:jc w:val="center"/>
        <w:outlineLvl w:val="1"/>
        <w:rPr>
          <w:rFonts w:ascii="方正小标宋_GBK" w:hAnsi="方正小标宋_GBK" w:eastAsia="方正小标宋_GBK" w:cs="方正小标宋_GBK"/>
          <w:color w:val="000000"/>
          <w:sz w:val="36"/>
        </w:rPr>
      </w:pPr>
      <w:bookmarkStart w:id="1" w:name="tz_0001_0001"/>
      <w:bookmarkEnd w:id="1"/>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3"/>
            </w:pPr>
            <w:r>
              <w:t>437廊坊市广阳区第七幼儿园</w:t>
            </w:r>
          </w:p>
        </w:tc>
        <w:tc>
          <w:tcPr>
            <w:tcW w:w="2126" w:type="dxa"/>
            <w:tcBorders>
              <w:top w:val="single" w:color="FFFFFF" w:sz="6" w:space="0"/>
              <w:left w:val="single" w:color="FFFFFF" w:sz="6" w:space="0"/>
              <w:right w:val="single" w:color="FFFFFF" w:sz="6" w:space="0"/>
            </w:tcBorders>
            <w:vAlign w:val="center"/>
          </w:tcPr>
          <w:p>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609.52</w:t>
            </w:r>
          </w:p>
        </w:tc>
        <w:tc>
          <w:tcPr>
            <w:tcW w:w="4535" w:type="dxa"/>
            <w:vAlign w:val="center"/>
          </w:tcPr>
          <w:p>
            <w:pPr>
              <w:pStyle w:val="16"/>
            </w:pPr>
            <w:r>
              <w:t>一、一般公共服务支出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五、单位资金</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r>
              <w:t>609.52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609.52</w:t>
            </w:r>
          </w:p>
        </w:tc>
        <w:tc>
          <w:tcPr>
            <w:tcW w:w="4535" w:type="dxa"/>
            <w:vAlign w:val="center"/>
          </w:tcPr>
          <w:p>
            <w:pPr>
              <w:pStyle w:val="18"/>
            </w:pPr>
            <w:r>
              <w:t>本年支出合计</w:t>
            </w:r>
          </w:p>
        </w:tc>
        <w:tc>
          <w:tcPr>
            <w:tcW w:w="2126" w:type="dxa"/>
            <w:vAlign w:val="center"/>
          </w:tcPr>
          <w:p>
            <w:pPr>
              <w:pStyle w:val="19"/>
            </w:pPr>
            <w:r>
              <w:t>609.52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609.52</w:t>
            </w:r>
          </w:p>
        </w:tc>
        <w:tc>
          <w:tcPr>
            <w:tcW w:w="4535" w:type="dxa"/>
            <w:vAlign w:val="center"/>
          </w:tcPr>
          <w:p>
            <w:pPr>
              <w:pStyle w:val="18"/>
            </w:pPr>
            <w:r>
              <w:t>支出总计</w:t>
            </w:r>
          </w:p>
        </w:tc>
        <w:tc>
          <w:tcPr>
            <w:tcW w:w="2126" w:type="dxa"/>
            <w:vAlign w:val="center"/>
          </w:tcPr>
          <w:p>
            <w:pPr>
              <w:pStyle w:val="19"/>
            </w:pPr>
            <w:r>
              <w:t>609.52</w:t>
            </w:r>
          </w:p>
        </w:tc>
      </w:tr>
    </w:tbl>
    <w:p>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437廊坊市广阳区第七幼儿园</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2"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609.52</w:t>
            </w:r>
          </w:p>
        </w:tc>
        <w:tc>
          <w:tcPr>
            <w:tcW w:w="1134" w:type="dxa"/>
            <w:vAlign w:val="center"/>
          </w:tcPr>
          <w:p>
            <w:pPr>
              <w:pStyle w:val="19"/>
            </w:pPr>
            <w:r>
              <w:t>609.52</w:t>
            </w:r>
          </w:p>
        </w:tc>
        <w:tc>
          <w:tcPr>
            <w:tcW w:w="1134" w:type="dxa"/>
            <w:vAlign w:val="center"/>
          </w:tcPr>
          <w:p>
            <w:pPr>
              <w:pStyle w:val="19"/>
            </w:pPr>
            <w:r>
              <w:t>609.52</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205</w:t>
            </w:r>
          </w:p>
        </w:tc>
        <w:tc>
          <w:tcPr>
            <w:tcW w:w="1559" w:type="dxa"/>
            <w:vAlign w:val="center"/>
          </w:tcPr>
          <w:p>
            <w:pPr>
              <w:pStyle w:val="16"/>
            </w:pPr>
            <w:r>
              <w:t>教育支出</w:t>
            </w:r>
          </w:p>
        </w:tc>
        <w:tc>
          <w:tcPr>
            <w:tcW w:w="1134" w:type="dxa"/>
            <w:vAlign w:val="center"/>
          </w:tcPr>
          <w:p>
            <w:pPr>
              <w:pStyle w:val="15"/>
            </w:pPr>
            <w:r>
              <w:t>609.52</w:t>
            </w:r>
          </w:p>
        </w:tc>
        <w:tc>
          <w:tcPr>
            <w:tcW w:w="1134" w:type="dxa"/>
            <w:vAlign w:val="center"/>
          </w:tcPr>
          <w:p>
            <w:pPr>
              <w:pStyle w:val="15"/>
            </w:pPr>
            <w:r>
              <w:t>609.52</w:t>
            </w:r>
          </w:p>
        </w:tc>
        <w:tc>
          <w:tcPr>
            <w:tcW w:w="1134" w:type="dxa"/>
            <w:vAlign w:val="center"/>
          </w:tcPr>
          <w:p>
            <w:pPr>
              <w:pStyle w:val="15"/>
            </w:pPr>
            <w:r>
              <w:t>609.52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20502</w:t>
            </w:r>
          </w:p>
        </w:tc>
        <w:tc>
          <w:tcPr>
            <w:tcW w:w="1559" w:type="dxa"/>
            <w:vAlign w:val="center"/>
          </w:tcPr>
          <w:p>
            <w:pPr>
              <w:pStyle w:val="16"/>
            </w:pPr>
            <w:r>
              <w:t>普通教育</w:t>
            </w:r>
          </w:p>
        </w:tc>
        <w:tc>
          <w:tcPr>
            <w:tcW w:w="1134" w:type="dxa"/>
            <w:vAlign w:val="center"/>
          </w:tcPr>
          <w:p>
            <w:pPr>
              <w:pStyle w:val="15"/>
            </w:pPr>
            <w:r>
              <w:t>609.52</w:t>
            </w:r>
          </w:p>
        </w:tc>
        <w:tc>
          <w:tcPr>
            <w:tcW w:w="1134" w:type="dxa"/>
            <w:vAlign w:val="center"/>
          </w:tcPr>
          <w:p>
            <w:pPr>
              <w:pStyle w:val="15"/>
            </w:pPr>
            <w:r>
              <w:t>609.52</w:t>
            </w:r>
          </w:p>
        </w:tc>
        <w:tc>
          <w:tcPr>
            <w:tcW w:w="1134" w:type="dxa"/>
            <w:vAlign w:val="center"/>
          </w:tcPr>
          <w:p>
            <w:pPr>
              <w:pStyle w:val="15"/>
            </w:pPr>
            <w:r>
              <w:t>609.52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2050201</w:t>
            </w:r>
          </w:p>
        </w:tc>
        <w:tc>
          <w:tcPr>
            <w:tcW w:w="1559" w:type="dxa"/>
            <w:vAlign w:val="center"/>
          </w:tcPr>
          <w:p>
            <w:pPr>
              <w:pStyle w:val="16"/>
            </w:pPr>
            <w:r>
              <w:t>学前教育</w:t>
            </w:r>
          </w:p>
        </w:tc>
        <w:tc>
          <w:tcPr>
            <w:tcW w:w="1134" w:type="dxa"/>
            <w:vAlign w:val="center"/>
          </w:tcPr>
          <w:p>
            <w:pPr>
              <w:pStyle w:val="15"/>
            </w:pPr>
            <w:r>
              <w:t>609.52</w:t>
            </w:r>
          </w:p>
        </w:tc>
        <w:tc>
          <w:tcPr>
            <w:tcW w:w="1134" w:type="dxa"/>
            <w:vAlign w:val="center"/>
          </w:tcPr>
          <w:p>
            <w:pPr>
              <w:pStyle w:val="15"/>
            </w:pPr>
            <w:r>
              <w:t>609.52</w:t>
            </w:r>
          </w:p>
        </w:tc>
        <w:tc>
          <w:tcPr>
            <w:tcW w:w="1134" w:type="dxa"/>
            <w:vAlign w:val="center"/>
          </w:tcPr>
          <w:p>
            <w:pPr>
              <w:pStyle w:val="15"/>
            </w:pPr>
            <w:r>
              <w:t>609.52</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3"/>
            </w:pPr>
            <w:r>
              <w:t>437廊坊市广阳区第七幼儿园</w:t>
            </w:r>
          </w:p>
        </w:tc>
        <w:tc>
          <w:tcPr>
            <w:tcW w:w="2722" w:type="dxa"/>
            <w:gridSpan w:val="2"/>
            <w:tcBorders>
              <w:top w:val="single" w:color="FFFFFF" w:sz="6" w:space="0"/>
              <w:left w:val="single" w:color="FFFFFF" w:sz="6" w:space="0"/>
              <w:right w:val="single" w:color="FFFFFF" w:sz="6" w:space="0"/>
            </w:tcBorders>
            <w:vAlign w:val="center"/>
          </w:tcPr>
          <w:p>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7"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609.52</w:t>
            </w:r>
          </w:p>
        </w:tc>
        <w:tc>
          <w:tcPr>
            <w:tcW w:w="1361" w:type="dxa"/>
            <w:vAlign w:val="center"/>
          </w:tcPr>
          <w:p>
            <w:pPr>
              <w:pStyle w:val="19"/>
            </w:pPr>
            <w:r>
              <w:t>590.92</w:t>
            </w:r>
          </w:p>
        </w:tc>
        <w:tc>
          <w:tcPr>
            <w:tcW w:w="1361" w:type="dxa"/>
            <w:vAlign w:val="center"/>
          </w:tcPr>
          <w:p>
            <w:pPr>
              <w:pStyle w:val="19"/>
            </w:pPr>
            <w:r>
              <w:t>18.60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205</w:t>
            </w:r>
          </w:p>
        </w:tc>
        <w:tc>
          <w:tcPr>
            <w:tcW w:w="4535" w:type="dxa"/>
            <w:vAlign w:val="center"/>
          </w:tcPr>
          <w:p>
            <w:pPr>
              <w:pStyle w:val="16"/>
            </w:pPr>
            <w:r>
              <w:t>教育支出</w:t>
            </w:r>
          </w:p>
        </w:tc>
        <w:tc>
          <w:tcPr>
            <w:tcW w:w="1361" w:type="dxa"/>
            <w:vAlign w:val="center"/>
          </w:tcPr>
          <w:p>
            <w:pPr>
              <w:pStyle w:val="15"/>
            </w:pPr>
            <w:r>
              <w:t>609.52</w:t>
            </w:r>
          </w:p>
        </w:tc>
        <w:tc>
          <w:tcPr>
            <w:tcW w:w="1361" w:type="dxa"/>
            <w:vAlign w:val="center"/>
          </w:tcPr>
          <w:p>
            <w:pPr>
              <w:pStyle w:val="15"/>
            </w:pPr>
            <w:r>
              <w:t>590.92</w:t>
            </w:r>
          </w:p>
        </w:tc>
        <w:tc>
          <w:tcPr>
            <w:tcW w:w="1361" w:type="dxa"/>
            <w:vAlign w:val="center"/>
          </w:tcPr>
          <w:p>
            <w:pPr>
              <w:pStyle w:val="15"/>
            </w:pPr>
            <w:r>
              <w:t>18.60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20502</w:t>
            </w:r>
          </w:p>
        </w:tc>
        <w:tc>
          <w:tcPr>
            <w:tcW w:w="4535" w:type="dxa"/>
            <w:vAlign w:val="center"/>
          </w:tcPr>
          <w:p>
            <w:pPr>
              <w:pStyle w:val="16"/>
            </w:pPr>
            <w:r>
              <w:t>普通教育</w:t>
            </w:r>
          </w:p>
        </w:tc>
        <w:tc>
          <w:tcPr>
            <w:tcW w:w="1361" w:type="dxa"/>
            <w:vAlign w:val="center"/>
          </w:tcPr>
          <w:p>
            <w:pPr>
              <w:pStyle w:val="15"/>
            </w:pPr>
            <w:r>
              <w:t>609.52</w:t>
            </w:r>
          </w:p>
        </w:tc>
        <w:tc>
          <w:tcPr>
            <w:tcW w:w="1361" w:type="dxa"/>
            <w:vAlign w:val="center"/>
          </w:tcPr>
          <w:p>
            <w:pPr>
              <w:pStyle w:val="15"/>
            </w:pPr>
            <w:r>
              <w:t>590.92</w:t>
            </w:r>
          </w:p>
        </w:tc>
        <w:tc>
          <w:tcPr>
            <w:tcW w:w="1361" w:type="dxa"/>
            <w:vAlign w:val="center"/>
          </w:tcPr>
          <w:p>
            <w:pPr>
              <w:pStyle w:val="15"/>
            </w:pPr>
            <w:r>
              <w:t>18.60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2050201</w:t>
            </w:r>
          </w:p>
        </w:tc>
        <w:tc>
          <w:tcPr>
            <w:tcW w:w="4535" w:type="dxa"/>
            <w:vAlign w:val="center"/>
          </w:tcPr>
          <w:p>
            <w:pPr>
              <w:pStyle w:val="16"/>
            </w:pPr>
            <w:r>
              <w:t>学前教育</w:t>
            </w:r>
          </w:p>
        </w:tc>
        <w:tc>
          <w:tcPr>
            <w:tcW w:w="1361" w:type="dxa"/>
            <w:vAlign w:val="center"/>
          </w:tcPr>
          <w:p>
            <w:pPr>
              <w:pStyle w:val="15"/>
            </w:pPr>
            <w:r>
              <w:t>609.52</w:t>
            </w:r>
          </w:p>
        </w:tc>
        <w:tc>
          <w:tcPr>
            <w:tcW w:w="1361" w:type="dxa"/>
            <w:vAlign w:val="center"/>
          </w:tcPr>
          <w:p>
            <w:pPr>
              <w:pStyle w:val="15"/>
            </w:pPr>
            <w:r>
              <w:t>590.92</w:t>
            </w:r>
          </w:p>
        </w:tc>
        <w:tc>
          <w:tcPr>
            <w:tcW w:w="1361" w:type="dxa"/>
            <w:vAlign w:val="center"/>
          </w:tcPr>
          <w:p>
            <w:pPr>
              <w:pStyle w:val="15"/>
            </w:pPr>
            <w:r>
              <w:t>18.60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437廊坊市广阳区第七幼儿园</w:t>
            </w:r>
          </w:p>
        </w:tc>
        <w:tc>
          <w:tcPr>
            <w:tcW w:w="3402" w:type="dxa"/>
            <w:tcBorders>
              <w:top w:val="single" w:color="FFFFFF" w:sz="6" w:space="0"/>
              <w:left w:val="single" w:color="FFFFFF" w:sz="6" w:space="0"/>
              <w:right w:val="single" w:color="FFFFFF" w:sz="6" w:space="0"/>
            </w:tcBorders>
            <w:vAlign w:val="center"/>
          </w:tcPr>
          <w:p>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609.52</w:t>
            </w:r>
          </w:p>
        </w:tc>
        <w:tc>
          <w:tcPr>
            <w:tcW w:w="3402" w:type="dxa"/>
            <w:vAlign w:val="center"/>
          </w:tcPr>
          <w:p>
            <w:pPr>
              <w:pStyle w:val="16"/>
            </w:pPr>
            <w:r>
              <w:t>一、一般公共服务支出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r>
              <w:t>609.52</w:t>
            </w:r>
          </w:p>
        </w:tc>
        <w:tc>
          <w:tcPr>
            <w:tcW w:w="1474" w:type="dxa"/>
            <w:vAlign w:val="center"/>
          </w:tcPr>
          <w:p>
            <w:pPr>
              <w:pStyle w:val="15"/>
            </w:pPr>
            <w:r>
              <w:t>609.52</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609.52</w:t>
            </w:r>
          </w:p>
        </w:tc>
        <w:tc>
          <w:tcPr>
            <w:tcW w:w="3402" w:type="dxa"/>
            <w:vAlign w:val="center"/>
          </w:tcPr>
          <w:p>
            <w:pPr>
              <w:pStyle w:val="18"/>
            </w:pPr>
            <w:r>
              <w:t>本年支出合计</w:t>
            </w:r>
          </w:p>
        </w:tc>
        <w:tc>
          <w:tcPr>
            <w:tcW w:w="1474" w:type="dxa"/>
            <w:vAlign w:val="center"/>
          </w:tcPr>
          <w:p>
            <w:pPr>
              <w:pStyle w:val="19"/>
            </w:pPr>
            <w:r>
              <w:t>609.52</w:t>
            </w:r>
          </w:p>
        </w:tc>
        <w:tc>
          <w:tcPr>
            <w:tcW w:w="1474" w:type="dxa"/>
            <w:vAlign w:val="center"/>
          </w:tcPr>
          <w:p>
            <w:pPr>
              <w:pStyle w:val="19"/>
            </w:pPr>
            <w:r>
              <w:t>609.52</w:t>
            </w:r>
          </w:p>
        </w:tc>
        <w:tc>
          <w:tcPr>
            <w:tcW w:w="1474" w:type="dxa"/>
            <w:vAlign w:val="center"/>
          </w:tcPr>
          <w:p>
            <w:pPr>
              <w:pStyle w:val="19"/>
            </w:pPr>
          </w:p>
        </w:tc>
        <w:tc>
          <w:tcPr>
            <w:tcW w:w="1474" w:type="dxa"/>
            <w:vAlign w:val="center"/>
          </w:tcPr>
          <w:p>
            <w:pPr>
              <w:pStyle w:val="1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609.52</w:t>
            </w:r>
          </w:p>
        </w:tc>
        <w:tc>
          <w:tcPr>
            <w:tcW w:w="3402" w:type="dxa"/>
            <w:vAlign w:val="center"/>
          </w:tcPr>
          <w:p>
            <w:pPr>
              <w:pStyle w:val="18"/>
            </w:pPr>
            <w:r>
              <w:t>支出总计</w:t>
            </w:r>
          </w:p>
        </w:tc>
        <w:tc>
          <w:tcPr>
            <w:tcW w:w="1474" w:type="dxa"/>
            <w:vAlign w:val="center"/>
          </w:tcPr>
          <w:p>
            <w:pPr>
              <w:pStyle w:val="19"/>
            </w:pPr>
            <w:r>
              <w:t>609.52</w:t>
            </w:r>
          </w:p>
        </w:tc>
        <w:tc>
          <w:tcPr>
            <w:tcW w:w="1474" w:type="dxa"/>
            <w:vAlign w:val="center"/>
          </w:tcPr>
          <w:p>
            <w:pPr>
              <w:pStyle w:val="19"/>
            </w:pPr>
            <w:r>
              <w:t>609.52</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437廊坊市广阳区第七幼儿园</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609.52</w:t>
            </w:r>
          </w:p>
        </w:tc>
        <w:tc>
          <w:tcPr>
            <w:tcW w:w="2551" w:type="dxa"/>
            <w:vAlign w:val="center"/>
          </w:tcPr>
          <w:p>
            <w:pPr>
              <w:pStyle w:val="19"/>
            </w:pPr>
            <w:r>
              <w:t>590.92</w:t>
            </w:r>
          </w:p>
        </w:tc>
        <w:tc>
          <w:tcPr>
            <w:tcW w:w="2551" w:type="dxa"/>
            <w:vAlign w:val="center"/>
          </w:tcPr>
          <w:p>
            <w:pPr>
              <w:pStyle w:val="19"/>
            </w:pPr>
            <w:r>
              <w:t>18.60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205</w:t>
            </w:r>
          </w:p>
        </w:tc>
        <w:tc>
          <w:tcPr>
            <w:tcW w:w="4535" w:type="dxa"/>
            <w:vAlign w:val="center"/>
          </w:tcPr>
          <w:p>
            <w:pPr>
              <w:pStyle w:val="16"/>
            </w:pPr>
            <w:r>
              <w:t>教育支出</w:t>
            </w:r>
          </w:p>
        </w:tc>
        <w:tc>
          <w:tcPr>
            <w:tcW w:w="2551" w:type="dxa"/>
            <w:vAlign w:val="center"/>
          </w:tcPr>
          <w:p>
            <w:pPr>
              <w:pStyle w:val="15"/>
            </w:pPr>
            <w:r>
              <w:t>609.52</w:t>
            </w:r>
          </w:p>
        </w:tc>
        <w:tc>
          <w:tcPr>
            <w:tcW w:w="2551" w:type="dxa"/>
            <w:vAlign w:val="center"/>
          </w:tcPr>
          <w:p>
            <w:pPr>
              <w:pStyle w:val="15"/>
            </w:pPr>
            <w:r>
              <w:t>590.92</w:t>
            </w:r>
          </w:p>
        </w:tc>
        <w:tc>
          <w:tcPr>
            <w:tcW w:w="2551" w:type="dxa"/>
            <w:vAlign w:val="center"/>
          </w:tcPr>
          <w:p>
            <w:pPr>
              <w:pStyle w:val="15"/>
            </w:pPr>
            <w:r>
              <w:t>18.60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20502</w:t>
            </w:r>
          </w:p>
        </w:tc>
        <w:tc>
          <w:tcPr>
            <w:tcW w:w="4535" w:type="dxa"/>
            <w:vAlign w:val="center"/>
          </w:tcPr>
          <w:p>
            <w:pPr>
              <w:pStyle w:val="16"/>
            </w:pPr>
            <w:r>
              <w:t>普通教育</w:t>
            </w:r>
          </w:p>
        </w:tc>
        <w:tc>
          <w:tcPr>
            <w:tcW w:w="2551" w:type="dxa"/>
            <w:vAlign w:val="center"/>
          </w:tcPr>
          <w:p>
            <w:pPr>
              <w:pStyle w:val="15"/>
            </w:pPr>
            <w:r>
              <w:t>609.52</w:t>
            </w:r>
          </w:p>
        </w:tc>
        <w:tc>
          <w:tcPr>
            <w:tcW w:w="2551" w:type="dxa"/>
            <w:vAlign w:val="center"/>
          </w:tcPr>
          <w:p>
            <w:pPr>
              <w:pStyle w:val="15"/>
            </w:pPr>
            <w:r>
              <w:t>590.92</w:t>
            </w:r>
          </w:p>
        </w:tc>
        <w:tc>
          <w:tcPr>
            <w:tcW w:w="2551" w:type="dxa"/>
            <w:vAlign w:val="center"/>
          </w:tcPr>
          <w:p>
            <w:pPr>
              <w:pStyle w:val="15"/>
            </w:pPr>
            <w:r>
              <w:t>18.60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2050201</w:t>
            </w:r>
          </w:p>
        </w:tc>
        <w:tc>
          <w:tcPr>
            <w:tcW w:w="4535" w:type="dxa"/>
            <w:vAlign w:val="center"/>
          </w:tcPr>
          <w:p>
            <w:pPr>
              <w:pStyle w:val="16"/>
            </w:pPr>
            <w:r>
              <w:t>学前教育</w:t>
            </w:r>
          </w:p>
        </w:tc>
        <w:tc>
          <w:tcPr>
            <w:tcW w:w="2551" w:type="dxa"/>
            <w:vAlign w:val="center"/>
          </w:tcPr>
          <w:p>
            <w:pPr>
              <w:pStyle w:val="15"/>
            </w:pPr>
            <w:r>
              <w:t>609.52</w:t>
            </w:r>
          </w:p>
        </w:tc>
        <w:tc>
          <w:tcPr>
            <w:tcW w:w="2551" w:type="dxa"/>
            <w:vAlign w:val="center"/>
          </w:tcPr>
          <w:p>
            <w:pPr>
              <w:pStyle w:val="15"/>
            </w:pPr>
            <w:r>
              <w:t>590.92</w:t>
            </w:r>
          </w:p>
        </w:tc>
        <w:tc>
          <w:tcPr>
            <w:tcW w:w="2551" w:type="dxa"/>
            <w:vAlign w:val="center"/>
          </w:tcPr>
          <w:p>
            <w:pPr>
              <w:pStyle w:val="15"/>
            </w:pPr>
            <w:r>
              <w:t>18.60</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437廊坊市广阳区第七幼儿园</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3" w:type="dxa"/>
            <w:gridSpan w:val="3"/>
            <w:vAlign w:val="center"/>
          </w:tcPr>
          <w:p>
            <w:pPr>
              <w:pStyle w:val="14"/>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590.92</w:t>
            </w:r>
          </w:p>
        </w:tc>
        <w:tc>
          <w:tcPr>
            <w:tcW w:w="2551" w:type="dxa"/>
            <w:vAlign w:val="center"/>
          </w:tcPr>
          <w:p>
            <w:pPr>
              <w:pStyle w:val="19"/>
            </w:pPr>
            <w:r>
              <w:t>587.80</w:t>
            </w:r>
          </w:p>
        </w:tc>
        <w:tc>
          <w:tcPr>
            <w:tcW w:w="2551" w:type="dxa"/>
            <w:vAlign w:val="center"/>
          </w:tcPr>
          <w:p>
            <w:pPr>
              <w:pStyle w:val="19"/>
            </w:pPr>
            <w:r>
              <w:t>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587.80</w:t>
            </w:r>
          </w:p>
        </w:tc>
        <w:tc>
          <w:tcPr>
            <w:tcW w:w="2551" w:type="dxa"/>
            <w:vAlign w:val="center"/>
          </w:tcPr>
          <w:p>
            <w:pPr>
              <w:pStyle w:val="15"/>
            </w:pPr>
            <w:r>
              <w:t>587.80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165.19</w:t>
            </w:r>
          </w:p>
        </w:tc>
        <w:tc>
          <w:tcPr>
            <w:tcW w:w="2551" w:type="dxa"/>
            <w:vAlign w:val="center"/>
          </w:tcPr>
          <w:p>
            <w:pPr>
              <w:pStyle w:val="15"/>
            </w:pPr>
            <w:r>
              <w:t>165.19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60.39</w:t>
            </w:r>
          </w:p>
        </w:tc>
        <w:tc>
          <w:tcPr>
            <w:tcW w:w="2551" w:type="dxa"/>
            <w:vAlign w:val="center"/>
          </w:tcPr>
          <w:p>
            <w:pPr>
              <w:pStyle w:val="15"/>
            </w:pPr>
            <w:r>
              <w:t>60.39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39.40</w:t>
            </w:r>
          </w:p>
        </w:tc>
        <w:tc>
          <w:tcPr>
            <w:tcW w:w="2551" w:type="dxa"/>
            <w:vAlign w:val="center"/>
          </w:tcPr>
          <w:p>
            <w:pPr>
              <w:pStyle w:val="15"/>
            </w:pPr>
            <w:r>
              <w:t>39.40</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202.38</w:t>
            </w:r>
          </w:p>
        </w:tc>
        <w:tc>
          <w:tcPr>
            <w:tcW w:w="2551" w:type="dxa"/>
            <w:vAlign w:val="center"/>
          </w:tcPr>
          <w:p>
            <w:pPr>
              <w:pStyle w:val="15"/>
            </w:pPr>
            <w:r>
              <w:t>202.38</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52.91</w:t>
            </w:r>
          </w:p>
        </w:tc>
        <w:tc>
          <w:tcPr>
            <w:tcW w:w="2551" w:type="dxa"/>
            <w:vAlign w:val="center"/>
          </w:tcPr>
          <w:p>
            <w:pPr>
              <w:pStyle w:val="15"/>
            </w:pPr>
            <w:r>
              <w:t>52.91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21.29</w:t>
            </w:r>
          </w:p>
        </w:tc>
        <w:tc>
          <w:tcPr>
            <w:tcW w:w="2551" w:type="dxa"/>
            <w:vAlign w:val="center"/>
          </w:tcPr>
          <w:p>
            <w:pPr>
              <w:pStyle w:val="15"/>
            </w:pPr>
            <w:r>
              <w:t>21.29</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1.83</w:t>
            </w:r>
          </w:p>
        </w:tc>
        <w:tc>
          <w:tcPr>
            <w:tcW w:w="2551" w:type="dxa"/>
            <w:vAlign w:val="center"/>
          </w:tcPr>
          <w:p>
            <w:pPr>
              <w:pStyle w:val="15"/>
            </w:pPr>
            <w:r>
              <w:t>1.83</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44.41</w:t>
            </w:r>
          </w:p>
        </w:tc>
        <w:tc>
          <w:tcPr>
            <w:tcW w:w="2551" w:type="dxa"/>
            <w:vAlign w:val="center"/>
          </w:tcPr>
          <w:p>
            <w:pPr>
              <w:pStyle w:val="15"/>
            </w:pPr>
            <w:r>
              <w:t>44.41</w:t>
            </w:r>
          </w:p>
        </w:tc>
        <w:tc>
          <w:tcPr>
            <w:tcW w:w="255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3.12</w:t>
            </w:r>
          </w:p>
        </w:tc>
        <w:tc>
          <w:tcPr>
            <w:tcW w:w="2551" w:type="dxa"/>
            <w:vAlign w:val="center"/>
          </w:tcPr>
          <w:p>
            <w:pPr>
              <w:pStyle w:val="15"/>
            </w:pPr>
          </w:p>
        </w:tc>
        <w:tc>
          <w:tcPr>
            <w:tcW w:w="2551" w:type="dxa"/>
            <w:vAlign w:val="center"/>
          </w:tcPr>
          <w:p>
            <w:pPr>
              <w:pStyle w:val="15"/>
            </w:pPr>
            <w:r>
              <w:t>3.12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3.12</w:t>
            </w:r>
          </w:p>
        </w:tc>
        <w:tc>
          <w:tcPr>
            <w:tcW w:w="2551" w:type="dxa"/>
            <w:vAlign w:val="center"/>
          </w:tcPr>
          <w:p>
            <w:pPr>
              <w:pStyle w:val="15"/>
            </w:pPr>
          </w:p>
        </w:tc>
        <w:tc>
          <w:tcPr>
            <w:tcW w:w="2551" w:type="dxa"/>
            <w:vAlign w:val="center"/>
          </w:tcPr>
          <w:p>
            <w:pPr>
              <w:pStyle w:val="15"/>
            </w:pPr>
            <w:r>
              <w:t>3.12</w:t>
            </w:r>
          </w:p>
        </w:tc>
      </w:tr>
    </w:tbl>
    <w:p>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部门预算政府性基金预算财政拨款支出表</w:t>
      </w:r>
      <w:bookmarkEnd w:id="1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437廊坊市广阳区第七幼儿园</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437廊坊市广阳区第七幼儿园</w:t>
            </w:r>
          </w:p>
        </w:tc>
        <w:tc>
          <w:tcPr>
            <w:tcW w:w="2551" w:type="dxa"/>
            <w:tcBorders>
              <w:top w:val="single" w:color="FFFFFF" w:sz="6" w:space="0"/>
              <w:left w:val="single" w:color="FFFFFF" w:sz="6" w:space="0"/>
              <w:right w:val="single" w:color="FFFFFF" w:sz="6" w:space="0"/>
            </w:tcBorders>
            <w:vAlign w:val="center"/>
          </w:tcPr>
          <w:p>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3"/>
            </w:pPr>
            <w:r>
              <w:t>437廊坊市广阳区第七幼儿园</w:t>
            </w:r>
          </w:p>
        </w:tc>
        <w:tc>
          <w:tcPr>
            <w:tcW w:w="2381" w:type="dxa"/>
            <w:tcBorders>
              <w:top w:val="single" w:color="FFFFFF" w:sz="6" w:space="0"/>
              <w:left w:val="single" w:color="FFFFFF" w:sz="6" w:space="0"/>
              <w:right w:val="single" w:color="FFFFFF" w:sz="6" w:space="0"/>
            </w:tcBorders>
            <w:vAlign w:val="center"/>
          </w:tcPr>
          <w:p>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注：无财政拨款“三公”经费支出预算，空表列示。</w:t>
      </w:r>
    </w:p>
    <w:p>
      <w:pPr>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FFFFFF"/>
          <w:sz w:val="21"/>
        </w:rPr>
        <w:t>第一部分  廊坊市广阳区第七幼儿园2025年部门预算信息公开情况说明</w:t>
      </w:r>
    </w:p>
    <w:p>
      <w:pPr>
        <w:jc w:val="center"/>
      </w:pPr>
      <w:r>
        <w:rPr>
          <w:rFonts w:ascii="方正小标宋_GBK" w:hAnsi="方正小标宋_GBK" w:eastAsia="方正小标宋_GBK" w:cs="方正小标宋_GBK"/>
          <w:color w:val="000000"/>
          <w:sz w:val="44"/>
        </w:rPr>
        <w:t>廊坊市广阳区第七幼儿园2025年部门预算信息公开情况说明</w:t>
      </w:r>
    </w:p>
    <w:p>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按照《中华人民共和国预算法》、《地方预决算公开操作规程》和《关于进一步推进预算公开工作的实施意见》规定，现将廊坊市广阳区第七幼儿园2025年部门预算公开如下：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1"/>
      </w:pPr>
      <w:r>
        <w:t>（一）贯彻执行党和国家的教育方针、政策、法律法规，制订校的长远规划和年度计划，并组织实施。</w:t>
      </w:r>
    </w:p>
    <w:p>
      <w:pPr>
        <w:pStyle w:val="21"/>
      </w:pPr>
      <w:r>
        <w:t>（二）负责教育基本信息的统计、分析。</w:t>
      </w:r>
    </w:p>
    <w:p>
      <w:pPr>
        <w:pStyle w:val="21"/>
      </w:pPr>
      <w:r>
        <w:t>（三）负责基础教育的管理。推进义务教育均衡发展和促进教育公平，全面实施素质教育。</w:t>
      </w:r>
    </w:p>
    <w:p>
      <w:pPr>
        <w:pStyle w:val="21"/>
      </w:pPr>
      <w:r>
        <w:t>（四）负责学校教师队伍的建设和管理，提高教师队伍素质。</w:t>
      </w:r>
    </w:p>
    <w:p>
      <w:pPr>
        <w:pStyle w:val="21"/>
      </w:pPr>
      <w:r>
        <w:t>（五）负责本部门教育经费的统筹管理，教育经费预决算工作，教育经费的管理和使用；统筹规划和管理学校基本建设和设施的配置及计划统计工作。</w:t>
      </w:r>
    </w:p>
    <w:p>
      <w:pPr>
        <w:pStyle w:val="21"/>
      </w:pPr>
      <w:r>
        <w:t>（六）管理学校的党建、思想政治、宣传统战和维护稳定以及德育、体育、卫生防疫与艺术教育、国防教育工作；负责学校的安全监督管理。</w:t>
      </w:r>
    </w:p>
    <w:p>
      <w:pPr>
        <w:pStyle w:val="21"/>
      </w:pPr>
      <w:r>
        <w:t>（七）负责做好学校的招生、考试工作；负责管理本校教师学历教育及考试工作。</w:t>
      </w:r>
    </w:p>
    <w:p>
      <w:pPr>
        <w:pStyle w:val="21"/>
      </w:pPr>
      <w:r>
        <w:t>（八）负责组织开展学校教育的督导评估、检查验收、质量监测等工作。</w:t>
      </w:r>
    </w:p>
    <w:p>
      <w:pPr>
        <w:pStyle w:val="21"/>
      </w:pPr>
      <w:r>
        <w:t>（九）负责学校党的政治建设、思想建设、组织建设、作风建设、纪律建设和制度建设。</w:t>
      </w:r>
    </w:p>
    <w:p>
      <w:pPr>
        <w:pStyle w:val="21"/>
      </w:pPr>
      <w:r>
        <w:t>（十）负责学校学生和教师的思想政治工作，学校思想政治队伍建设和学校校本课程教育教学。</w:t>
      </w:r>
    </w:p>
    <w:p>
      <w:pPr>
        <w:pStyle w:val="21"/>
      </w:pPr>
      <w:r>
        <w:t>（十一）负责学校安全稳定工作。</w:t>
      </w:r>
    </w:p>
    <w:p>
      <w:pPr>
        <w:pStyle w:val="21"/>
      </w:pPr>
      <w:r>
        <w:t>（十二）做好本校体育事业发展规划、全民健身计划，开展群众性体育活动。</w:t>
      </w:r>
    </w:p>
    <w:p>
      <w:pPr>
        <w:pStyle w:val="21"/>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廊坊市广阳区第七幼儿园</w:t>
            </w:r>
          </w:p>
        </w:tc>
        <w:tc>
          <w:tcPr>
            <w:tcW w:w="1843" w:type="dxa"/>
            <w:vAlign w:val="center"/>
          </w:tcPr>
          <w:p>
            <w:pPr>
              <w:pStyle w:val="17"/>
            </w:pPr>
            <w:r>
              <w:t>事业</w:t>
            </w:r>
          </w:p>
        </w:tc>
        <w:tc>
          <w:tcPr>
            <w:tcW w:w="2126" w:type="dxa"/>
            <w:vAlign w:val="center"/>
          </w:tcPr>
          <w:p>
            <w:pPr>
              <w:pStyle w:val="17"/>
            </w:pPr>
            <w:r>
              <w:t>副科级</w:t>
            </w:r>
          </w:p>
        </w:tc>
        <w:tc>
          <w:tcPr>
            <w:tcW w:w="3827" w:type="dxa"/>
            <w:vAlign w:val="center"/>
          </w:tcPr>
          <w:p>
            <w:pPr>
              <w:pStyle w:val="17"/>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pStyle w:val="22"/>
      </w:pPr>
      <w:r>
        <w:t>按照预算管理有关规定，目前部门预算的编制实行综合预算管理，即全部收入和支出都反映在预算中。廊坊市广阳区第七幼儿园机关及所属事业单位的收支包含在部门预算中。</w:t>
      </w:r>
    </w:p>
    <w:p>
      <w:pPr>
        <w:pStyle w:val="22"/>
      </w:pPr>
      <w:r>
        <w:t>1、收入说明</w:t>
      </w:r>
    </w:p>
    <w:p>
      <w:pPr>
        <w:pStyle w:val="22"/>
      </w:pPr>
      <w:r>
        <w:t>反映本部门当年全部收入。2025年预算收入609.52万元，其中：一般公共预算收入609.52万元，基金预算收入0.00万元，国有资本经营预算收入0.00万元，财政专户核拨收入0.00万元，单位资金收入0.00万元，上年结转结余0.00万元。</w:t>
      </w:r>
    </w:p>
    <w:p>
      <w:pPr>
        <w:pStyle w:val="22"/>
      </w:pPr>
      <w:r>
        <w:t>2、支出说明</w:t>
      </w:r>
    </w:p>
    <w:p>
      <w:pPr>
        <w:pStyle w:val="22"/>
      </w:pPr>
      <w:r>
        <w:t>收支预算总表支出栏、基本支出表、项目支出表按经济分类和支出功能分类科目编制，反映廊坊市广阳区第七幼儿园年度部门预算中支出预算的总体情况。2025年支出预算609.52万元，其中基本支出590.92万元，包括人员经费587.80万元和日常公用经费3.12万元；项目支出18.60万元，主要为幼儿园生均公用经费。</w:t>
      </w:r>
    </w:p>
    <w:p>
      <w:pPr>
        <w:pStyle w:val="22"/>
      </w:pPr>
      <w:r>
        <w:t>3、比上年增减情况</w:t>
      </w:r>
    </w:p>
    <w:p>
      <w:pPr>
        <w:pStyle w:val="22"/>
      </w:pPr>
      <w:r>
        <w:t>2025年预算收支安排609.52万元，较2024年预算增加14.04万元，其中：基本支出增加9.84万元，主要为人员类经费支出增加。项目支出增加4.20万元，主要为幼儿园生均公用经费增加。</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3"/>
      </w:pPr>
      <w:r>
        <w:t>2025年，我部门机关运行经费共计安排3.12万元，主要用于日常维修、办公用房水电费、办公用房取暖费、办公用房物业管理费等日常运行支出。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4"/>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五、部门整体绩效目标</w:t>
      </w:r>
      <w:bookmarkEnd w:id="27"/>
    </w:p>
    <w:p>
      <w:pPr>
        <w:spacing w:line="500" w:lineRule="exact"/>
        <w:ind w:firstLine="560"/>
      </w:pPr>
      <w:r>
        <w:rPr>
          <w:rFonts w:eastAsia="方正仿宋_GBK" w:cs="Times New Roman"/>
          <w:color w:val="000000"/>
          <w:sz w:val="28"/>
        </w:rPr>
        <w:t>（一）总体绩效目标</w:t>
      </w:r>
    </w:p>
    <w:p>
      <w:pPr>
        <w:pStyle w:val="25"/>
      </w:pPr>
      <w: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提高学前教育公用经费保障水平，改善办学条件，均衡配置基础教育资源，推进标准化学校建设，实施数字化校园建设，加强学校文化建设，落实学生资助政策。促进学前教育均衡发展，提高素质教育水平，开展丰富多彩的教学活动。促进社会文化素质提高。</w:t>
      </w:r>
    </w:p>
    <w:p>
      <w:pPr>
        <w:spacing w:line="500" w:lineRule="exact"/>
        <w:ind w:firstLine="560"/>
      </w:pPr>
      <w:r>
        <w:rPr>
          <w:rFonts w:eastAsia="方正仿宋_GBK" w:cs="Times New Roman"/>
          <w:color w:val="000000"/>
          <w:sz w:val="28"/>
        </w:rPr>
        <w:t>（二）分项绩效目标</w:t>
      </w:r>
    </w:p>
    <w:p>
      <w:pPr>
        <w:pStyle w:val="26"/>
      </w:pPr>
      <w:r>
        <w:t>1.教育教学质量</w:t>
      </w:r>
    </w:p>
    <w:p>
      <w:pPr>
        <w:pStyle w:val="26"/>
      </w:pPr>
      <w:r>
        <w:t>绩效目标: 按质按量完成教育教学方面的各项任务，稳步提升学校的教育教学质量，</w:t>
      </w:r>
    </w:p>
    <w:p>
      <w:pPr>
        <w:pStyle w:val="26"/>
      </w:pPr>
      <w:r>
        <w:t>绩效指标:学生综合素质评价优秀率达到85%,合格率达到100%。</w:t>
      </w:r>
    </w:p>
    <w:p>
      <w:pPr>
        <w:pStyle w:val="26"/>
      </w:pPr>
      <w:r>
        <w:t>2.培养高素质的教师队伍</w:t>
      </w:r>
      <w:r>
        <w:tab/>
      </w:r>
    </w:p>
    <w:p>
      <w:pPr>
        <w:pStyle w:val="26"/>
      </w:pPr>
      <w:r>
        <w:t>绩效目标:开展制度化的教硏组活动,培训学习活动,青年教师比赛课,网络继续教育培训等各类活动.</w:t>
      </w:r>
    </w:p>
    <w:p>
      <w:pPr>
        <w:pStyle w:val="26"/>
      </w:pPr>
      <w:r>
        <w:t>绩效指标:确保年度教师队伍培训率达到95%以上,有效促进教师教育教学水平的提升</w:t>
      </w:r>
    </w:p>
    <w:p>
      <w:pPr>
        <w:pStyle w:val="26"/>
      </w:pPr>
      <w:r>
        <w:t>3.学校办学条件的发展建设</w:t>
      </w:r>
      <w:r>
        <w:tab/>
      </w:r>
    </w:p>
    <w:p>
      <w:pPr>
        <w:pStyle w:val="26"/>
      </w:pPr>
      <w:r>
        <w:t>绩效目标:不断改善办学条件。提升学校基础设施设备的整体水平。加强学校基础设施设备的维护,确保校园安全,落实校园防火及其他安全隐患的预防工作。</w:t>
      </w:r>
    </w:p>
    <w:p>
      <w:pPr>
        <w:pStyle w:val="26"/>
      </w:pPr>
      <w:r>
        <w:t>绩效指标:确保校园各设施设备的正常运行。</w:t>
      </w:r>
    </w:p>
    <w:p>
      <w:pPr>
        <w:pStyle w:val="26"/>
      </w:pPr>
      <w:r>
        <w:t>4推动学校思想文化建设工作</w:t>
      </w:r>
      <w:r>
        <w:tab/>
      </w:r>
    </w:p>
    <w:p>
      <w:pPr>
        <w:pStyle w:val="26"/>
      </w:pPr>
      <w:r>
        <w:t>绩效目标:完善拓展德育队伍建设，树立全员育人观念，并取得一定成绩，形成学校、家庭、社会三位一体的教育格局。强化德育评比体制。</w:t>
      </w:r>
    </w:p>
    <w:p>
      <w:pPr>
        <w:pStyle w:val="26"/>
      </w:pPr>
      <w:r>
        <w:t>绩效指标:完善心理咨询室的建设，寓心理健康教育于教育教学工作中，开展好理论学习和个案分析。</w:t>
      </w:r>
    </w:p>
    <w:p>
      <w:pPr>
        <w:pStyle w:val="26"/>
      </w:pPr>
      <w:r>
        <w:t>5.促进学校社会影响力</w:t>
      </w:r>
    </w:p>
    <w:p>
      <w:pPr>
        <w:pStyle w:val="26"/>
      </w:pPr>
      <w:r>
        <w:t>绩效目标:办人民满意的学校.</w:t>
      </w:r>
    </w:p>
    <w:p>
      <w:pPr>
        <w:pStyle w:val="26"/>
      </w:pPr>
      <w:r>
        <w:t>绩效指标:教师、学生、家长整体满意度达到95%以</w:t>
      </w:r>
    </w:p>
    <w:p>
      <w:pPr>
        <w:spacing w:line="500" w:lineRule="exact"/>
        <w:ind w:firstLine="560"/>
      </w:pPr>
      <w:r>
        <w:rPr>
          <w:rFonts w:eastAsia="方正仿宋_GBK" w:cs="Times New Roman"/>
          <w:color w:val="000000"/>
          <w:sz w:val="28"/>
        </w:rPr>
        <w:t>（三）工作保障措施</w:t>
      </w:r>
    </w:p>
    <w:p>
      <w:pPr>
        <w:pStyle w:val="27"/>
      </w:pPr>
      <w:r>
        <w:t>1、成立学校监督小组，监督学校工作，强化工作落实。</w:t>
      </w:r>
    </w:p>
    <w:p>
      <w:pPr>
        <w:pStyle w:val="27"/>
      </w:pPr>
      <w: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7"/>
      </w:pPr>
      <w: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7"/>
      </w:pPr>
      <w:r>
        <w:t>4、学校体育、卫生工作。根据《幼儿园健康体检管理办法》要求，对在校学生每年进行1次常规健康体检。</w:t>
      </w:r>
    </w:p>
    <w:p>
      <w:pPr>
        <w:pStyle w:val="27"/>
      </w:pPr>
      <w:r>
        <w:t>5、完善拓展德育队伍建设，树立全员育人观念，并取得一定成绩，形成学校、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7"/>
      </w:pPr>
      <w:r>
        <w:t>6、加强政治理论学习，强化党风廉政建设。做好师德传承活动，落实老中青传帮带。弘扬办学精神。加强师德宣传与学习活动。开展形式多样、扎实有效的师德教育活动。</w:t>
      </w:r>
    </w:p>
    <w:p>
      <w:pPr>
        <w:pStyle w:val="27"/>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t>逐步制订、完善相关制度，规范教师师德。加强校本培训和继续教育工作，提升教师能力。落实教师评价工作，完善考核机制。搭建教师发展平台</w:t>
      </w:r>
    </w:p>
    <w:p>
      <w:pPr>
        <w:spacing w:before="10" w:after="10" w:line="360" w:lineRule="auto"/>
        <w:ind w:firstLine="640"/>
        <w:outlineLvl w:val="2"/>
      </w:pPr>
      <w:r>
        <w:rPr>
          <w:rFonts w:ascii="方正仿宋_GBK" w:hAnsi="方正仿宋_GBK" w:eastAsia="方正仿宋_GBK" w:cs="黑体"/>
          <w:color w:val="000000"/>
          <w:sz w:val="28"/>
        </w:rPr>
        <w:t>（四）部门整体支出绩效指标</w:t>
      </w:r>
    </w:p>
    <w:tbl>
      <w:tblPr>
        <w:tblStyle w:val="7"/>
        <w:tblW w:w="5000" w:type="pct"/>
        <w:jc w:val="center"/>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957"/>
        <w:gridCol w:w="1216"/>
        <w:gridCol w:w="1908"/>
        <w:gridCol w:w="2346"/>
        <w:gridCol w:w="4855"/>
        <w:gridCol w:w="741"/>
        <w:gridCol w:w="617"/>
        <w:gridCol w:w="1250"/>
        <w:gridCol w:w="940"/>
      </w:tblGrid>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0" w:hRule="atLeast"/>
          <w:jc w:val="center"/>
        </w:trPr>
        <w:tc>
          <w:tcPr>
            <w:tcW w:w="5000" w:type="pct"/>
            <w:gridSpan w:val="9"/>
            <w:tcBorders>
              <w:left w:val="single" w:color="B0C4DE" w:sz="8" w:space="0"/>
              <w:bottom w:val="single" w:color="000000" w:themeColor="text1" w:sz="8" w:space="0"/>
              <w:right w:val="single" w:color="B0C4DE" w:sz="8" w:space="0"/>
            </w:tcBorders>
            <w:shd w:val="clear" w:color="auto" w:fill="auto"/>
            <w:tcMar>
              <w:top w:w="15" w:type="dxa"/>
              <w:left w:w="15" w:type="dxa"/>
              <w:bottom w:w="0" w:type="dxa"/>
              <w:right w:w="15" w:type="dxa"/>
            </w:tcMar>
            <w:vAlign w:val="center"/>
          </w:tcPr>
          <w:p>
            <w:pPr>
              <w:jc w:val="center"/>
              <w:rPr>
                <w:rFonts w:ascii="宋体" w:hAnsi="宋体" w:eastAsia="宋体" w:cs="宋体"/>
                <w:color w:val="000000"/>
                <w:sz w:val="27"/>
                <w:szCs w:val="27"/>
              </w:rPr>
            </w:pPr>
            <w:r>
              <w:rPr>
                <w:rFonts w:hint="eastAsia" w:ascii="宋体" w:hAnsi="宋体" w:eastAsia="宋体" w:cs="宋体"/>
                <w:color w:val="000000"/>
                <w:sz w:val="27"/>
                <w:szCs w:val="27"/>
              </w:rPr>
              <w:t>部门整体支出绩效指标情况</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22"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一级指标</w:t>
            </w:r>
          </w:p>
        </w:tc>
        <w:tc>
          <w:tcPr>
            <w:tcW w:w="409"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二级指标</w:t>
            </w:r>
          </w:p>
        </w:tc>
        <w:tc>
          <w:tcPr>
            <w:tcW w:w="643"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三级指标</w:t>
            </w:r>
          </w:p>
        </w:tc>
        <w:tc>
          <w:tcPr>
            <w:tcW w:w="790"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绩效指标描述</w:t>
            </w:r>
          </w:p>
        </w:tc>
        <w:tc>
          <w:tcPr>
            <w:tcW w:w="1636"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评（扣）分标准</w:t>
            </w:r>
          </w:p>
        </w:tc>
        <w:tc>
          <w:tcPr>
            <w:tcW w:w="879" w:type="pct"/>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指标值</w:t>
            </w:r>
          </w:p>
        </w:tc>
        <w:tc>
          <w:tcPr>
            <w:tcW w:w="316"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指标值确定依据</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5" w:hRule="atLeast"/>
          <w:jc w:val="center"/>
        </w:trPr>
        <w:tc>
          <w:tcPr>
            <w:tcW w:w="32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409"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643"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790"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1636"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c>
          <w:tcPr>
            <w:tcW w:w="24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符号</w:t>
            </w:r>
          </w:p>
        </w:tc>
        <w:tc>
          <w:tcPr>
            <w:tcW w:w="20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值</w:t>
            </w:r>
          </w:p>
        </w:tc>
        <w:tc>
          <w:tcPr>
            <w:tcW w:w="42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单位（文字描述）</w:t>
            </w:r>
          </w:p>
        </w:tc>
        <w:tc>
          <w:tcPr>
            <w:tcW w:w="316"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宋体" w:hAnsi="宋体" w:eastAsia="宋体" w:cs="宋体"/>
                <w:color w:val="000000"/>
                <w:sz w:val="22"/>
                <w:szCs w:val="22"/>
              </w:rPr>
            </w:pP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PrEx>
        <w:trPr>
          <w:cantSplit/>
          <w:trHeight w:val="450" w:hRule="atLeast"/>
          <w:jc w:val="center"/>
        </w:trPr>
        <w:tc>
          <w:tcPr>
            <w:tcW w:w="322"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产出指标</w:t>
            </w:r>
          </w:p>
        </w:tc>
        <w:tc>
          <w:tcPr>
            <w:tcW w:w="4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64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幼儿园毕业生合格率</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幼儿园毕业生合格率</w:t>
            </w:r>
          </w:p>
        </w:tc>
        <w:tc>
          <w:tcPr>
            <w:tcW w:w="163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毕业生合格率</w:t>
            </w:r>
            <w:r>
              <w:rPr>
                <w:rFonts w:ascii="Calibri" w:hAnsi="Calibri" w:cs="Calibri"/>
                <w:color w:val="000000"/>
                <w:sz w:val="22"/>
                <w:szCs w:val="22"/>
              </w:rPr>
              <w:t>100%</w:t>
            </w:r>
            <w:r>
              <w:rPr>
                <w:rFonts w:hint="eastAsia" w:ascii="宋体" w:hAnsi="宋体" w:eastAsia="宋体" w:cs="宋体"/>
                <w:color w:val="000000"/>
                <w:sz w:val="22"/>
                <w:szCs w:val="22"/>
              </w:rPr>
              <w:t>得满分，否则不得分</w:t>
            </w:r>
          </w:p>
        </w:tc>
        <w:tc>
          <w:tcPr>
            <w:tcW w:w="24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0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100</w:t>
            </w:r>
          </w:p>
        </w:tc>
        <w:tc>
          <w:tcPr>
            <w:tcW w:w="42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1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岗位职责</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2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4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64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重点工作实际完成率</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重点工作实际完成率</w:t>
            </w:r>
          </w:p>
        </w:tc>
        <w:tc>
          <w:tcPr>
            <w:tcW w:w="163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不低于</w:t>
            </w:r>
            <w:r>
              <w:rPr>
                <w:rFonts w:ascii="Calibri" w:hAnsi="Calibri" w:cs="Calibri"/>
                <w:color w:val="000000"/>
                <w:sz w:val="22"/>
                <w:szCs w:val="22"/>
              </w:rPr>
              <w:t>95%</w:t>
            </w:r>
            <w:r>
              <w:rPr>
                <w:rFonts w:hint="eastAsia" w:ascii="宋体" w:hAnsi="宋体" w:eastAsia="宋体" w:cs="宋体"/>
                <w:color w:val="000000"/>
                <w:sz w:val="22"/>
                <w:szCs w:val="22"/>
              </w:rPr>
              <w:t>得满分，否则不得分</w:t>
            </w:r>
            <w:r>
              <w:rPr>
                <w:rFonts w:ascii="Calibri" w:hAnsi="Calibri" w:cs="Calibri"/>
                <w:color w:val="000000"/>
                <w:sz w:val="22"/>
                <w:szCs w:val="22"/>
              </w:rPr>
              <w:t>5</w:t>
            </w:r>
            <w:r>
              <w:rPr>
                <w:rFonts w:hint="eastAsia" w:ascii="宋体" w:hAnsi="宋体" w:eastAsia="宋体" w:cs="宋体"/>
                <w:color w:val="000000"/>
                <w:sz w:val="22"/>
                <w:szCs w:val="22"/>
              </w:rPr>
              <w:t>每减少</w:t>
            </w:r>
            <w:r>
              <w:rPr>
                <w:rFonts w:ascii="Calibri" w:hAnsi="Calibri" w:cs="Calibri"/>
                <w:color w:val="000000"/>
                <w:sz w:val="22"/>
                <w:szCs w:val="22"/>
              </w:rPr>
              <w:t>1%</w:t>
            </w:r>
            <w:r>
              <w:rPr>
                <w:rFonts w:hint="eastAsia" w:ascii="宋体" w:hAnsi="宋体" w:eastAsia="宋体" w:cs="宋体"/>
                <w:color w:val="000000"/>
                <w:sz w:val="22"/>
                <w:szCs w:val="22"/>
              </w:rPr>
              <w:t>扣</w:t>
            </w:r>
            <w:r>
              <w:rPr>
                <w:rFonts w:ascii="Calibri" w:hAnsi="Calibri" w:cs="Calibri"/>
                <w:color w:val="000000"/>
                <w:sz w:val="22"/>
                <w:szCs w:val="22"/>
              </w:rPr>
              <w:t>1</w:t>
            </w:r>
            <w:r>
              <w:rPr>
                <w:rFonts w:hint="eastAsia" w:ascii="宋体" w:hAnsi="宋体" w:eastAsia="宋体" w:cs="宋体"/>
                <w:color w:val="000000"/>
                <w:sz w:val="22"/>
                <w:szCs w:val="22"/>
              </w:rPr>
              <w:t>分，扣完为止</w:t>
            </w:r>
          </w:p>
        </w:tc>
        <w:tc>
          <w:tcPr>
            <w:tcW w:w="24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0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95</w:t>
            </w:r>
          </w:p>
        </w:tc>
        <w:tc>
          <w:tcPr>
            <w:tcW w:w="42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1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实际工作</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2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4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64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采购物品合格率</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采购物品合格率</w:t>
            </w:r>
          </w:p>
        </w:tc>
        <w:tc>
          <w:tcPr>
            <w:tcW w:w="163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合格率</w:t>
            </w:r>
            <w:r>
              <w:rPr>
                <w:rFonts w:ascii="Calibri" w:hAnsi="Calibri" w:cs="Calibri"/>
                <w:color w:val="000000"/>
                <w:sz w:val="22"/>
                <w:szCs w:val="22"/>
              </w:rPr>
              <w:t>100%</w:t>
            </w:r>
            <w:r>
              <w:rPr>
                <w:rFonts w:hint="eastAsia" w:ascii="宋体" w:hAnsi="宋体" w:eastAsia="宋体" w:cs="宋体"/>
                <w:color w:val="000000"/>
                <w:sz w:val="22"/>
                <w:szCs w:val="22"/>
              </w:rPr>
              <w:t>得满分，否则不得分</w:t>
            </w:r>
          </w:p>
        </w:tc>
        <w:tc>
          <w:tcPr>
            <w:tcW w:w="24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0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100</w:t>
            </w:r>
          </w:p>
        </w:tc>
        <w:tc>
          <w:tcPr>
            <w:tcW w:w="42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1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质量评价标准</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2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4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64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学校的各项工作任务及时完成情况</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学校的各项工作任务及时完成情况</w:t>
            </w:r>
          </w:p>
        </w:tc>
        <w:tc>
          <w:tcPr>
            <w:tcW w:w="163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及时完成得满分，否则不得分</w:t>
            </w:r>
          </w:p>
        </w:tc>
        <w:tc>
          <w:tcPr>
            <w:tcW w:w="24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0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42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及时</w:t>
            </w:r>
          </w:p>
        </w:tc>
        <w:tc>
          <w:tcPr>
            <w:tcW w:w="31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年初工作计划</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2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4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成本指标</w:t>
            </w:r>
          </w:p>
        </w:tc>
        <w:tc>
          <w:tcPr>
            <w:tcW w:w="64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支出的公用经费总额与预算安排的比率</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支出的公用经费总额与预算安排的比率</w:t>
            </w:r>
          </w:p>
        </w:tc>
        <w:tc>
          <w:tcPr>
            <w:tcW w:w="163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经费决算数不大于调整预算数得满分，否则不得分</w:t>
            </w:r>
          </w:p>
        </w:tc>
        <w:tc>
          <w:tcPr>
            <w:tcW w:w="24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0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c>
          <w:tcPr>
            <w:tcW w:w="42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教育经费决算数不大于调整预算数</w:t>
            </w:r>
          </w:p>
        </w:tc>
        <w:tc>
          <w:tcPr>
            <w:tcW w:w="31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实际工作</w:t>
            </w: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2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效益指标</w:t>
            </w:r>
          </w:p>
        </w:tc>
        <w:tc>
          <w:tcPr>
            <w:tcW w:w="4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社会效益指标</w:t>
            </w:r>
          </w:p>
        </w:tc>
        <w:tc>
          <w:tcPr>
            <w:tcW w:w="64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学前教育教育高质量发展</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推动学前教育从数量扩张向质量提高转变</w:t>
            </w:r>
          </w:p>
        </w:tc>
        <w:tc>
          <w:tcPr>
            <w:tcW w:w="163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学生、家长、社会对学校整体满意度达到</w:t>
            </w:r>
            <w:r>
              <w:rPr>
                <w:rFonts w:ascii="Calibri" w:hAnsi="Calibri" w:cs="Calibri"/>
                <w:color w:val="000000"/>
                <w:sz w:val="22"/>
                <w:szCs w:val="22"/>
              </w:rPr>
              <w:t>95%</w:t>
            </w:r>
            <w:r>
              <w:rPr>
                <w:rFonts w:hint="eastAsia" w:ascii="宋体" w:hAnsi="宋体" w:eastAsia="宋体" w:cs="宋体"/>
                <w:color w:val="000000"/>
                <w:sz w:val="22"/>
                <w:szCs w:val="22"/>
              </w:rPr>
              <w:t>得满分，每降低</w:t>
            </w:r>
            <w:r>
              <w:rPr>
                <w:rFonts w:ascii="Calibri" w:hAnsi="Calibri" w:cs="Calibri"/>
                <w:color w:val="000000"/>
                <w:sz w:val="22"/>
                <w:szCs w:val="22"/>
              </w:rPr>
              <w:t>1%</w:t>
            </w:r>
            <w:r>
              <w:rPr>
                <w:rFonts w:hint="eastAsia" w:ascii="宋体" w:hAnsi="宋体" w:eastAsia="宋体" w:cs="宋体"/>
                <w:color w:val="000000"/>
                <w:sz w:val="22"/>
                <w:szCs w:val="22"/>
              </w:rPr>
              <w:t>扣</w:t>
            </w:r>
            <w:r>
              <w:rPr>
                <w:rFonts w:ascii="Calibri" w:hAnsi="Calibri" w:cs="Calibri"/>
                <w:color w:val="000000"/>
                <w:sz w:val="22"/>
                <w:szCs w:val="22"/>
              </w:rPr>
              <w:t>1</w:t>
            </w:r>
            <w:r>
              <w:rPr>
                <w:rFonts w:hint="eastAsia" w:ascii="宋体" w:hAnsi="宋体" w:eastAsia="宋体" w:cs="宋体"/>
                <w:color w:val="000000"/>
                <w:sz w:val="22"/>
                <w:szCs w:val="22"/>
              </w:rPr>
              <w:t>分，扣完为止。</w:t>
            </w:r>
          </w:p>
        </w:tc>
        <w:tc>
          <w:tcPr>
            <w:tcW w:w="24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0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95</w:t>
            </w:r>
          </w:p>
        </w:tc>
        <w:tc>
          <w:tcPr>
            <w:tcW w:w="42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1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bookmarkStart w:id="33" w:name="_GoBack"/>
            <w:bookmarkEnd w:id="33"/>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22"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满意度指标</w:t>
            </w:r>
          </w:p>
        </w:tc>
        <w:tc>
          <w:tcPr>
            <w:tcW w:w="4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64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在校师生的满意程度</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在校师生的满意程度</w:t>
            </w:r>
          </w:p>
        </w:tc>
        <w:tc>
          <w:tcPr>
            <w:tcW w:w="163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在校师生的满意度达到</w:t>
            </w:r>
            <w:r>
              <w:rPr>
                <w:rFonts w:ascii="Calibri" w:hAnsi="Calibri" w:cs="Calibri"/>
                <w:color w:val="000000"/>
                <w:sz w:val="22"/>
                <w:szCs w:val="22"/>
              </w:rPr>
              <w:t>95%</w:t>
            </w:r>
            <w:r>
              <w:rPr>
                <w:rFonts w:hint="eastAsia" w:ascii="宋体" w:hAnsi="宋体" w:eastAsia="宋体" w:cs="宋体"/>
                <w:color w:val="000000"/>
                <w:sz w:val="22"/>
                <w:szCs w:val="22"/>
              </w:rPr>
              <w:t>得满分，每降低</w:t>
            </w:r>
            <w:r>
              <w:rPr>
                <w:rFonts w:ascii="Calibri" w:hAnsi="Calibri" w:cs="Calibri"/>
                <w:color w:val="000000"/>
                <w:sz w:val="22"/>
                <w:szCs w:val="22"/>
              </w:rPr>
              <w:t>1%</w:t>
            </w:r>
            <w:r>
              <w:rPr>
                <w:rFonts w:hint="eastAsia" w:ascii="宋体" w:hAnsi="宋体" w:eastAsia="宋体" w:cs="宋体"/>
                <w:color w:val="000000"/>
                <w:sz w:val="22"/>
                <w:szCs w:val="22"/>
              </w:rPr>
              <w:t>扣</w:t>
            </w:r>
            <w:r>
              <w:rPr>
                <w:rFonts w:ascii="Calibri" w:hAnsi="Calibri" w:cs="Calibri"/>
                <w:color w:val="000000"/>
                <w:sz w:val="22"/>
                <w:szCs w:val="22"/>
              </w:rPr>
              <w:t>1</w:t>
            </w:r>
            <w:r>
              <w:rPr>
                <w:rFonts w:hint="eastAsia" w:ascii="宋体" w:hAnsi="宋体" w:eastAsia="宋体" w:cs="宋体"/>
                <w:color w:val="000000"/>
                <w:sz w:val="22"/>
                <w:szCs w:val="22"/>
              </w:rPr>
              <w:t>分，扣完为止。</w:t>
            </w:r>
          </w:p>
        </w:tc>
        <w:tc>
          <w:tcPr>
            <w:tcW w:w="24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0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95</w:t>
            </w:r>
          </w:p>
        </w:tc>
        <w:tc>
          <w:tcPr>
            <w:tcW w:w="42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1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r>
      <w:tr>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2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pPr>
              <w:jc w:val="center"/>
              <w:rPr>
                <w:rFonts w:ascii="Calibri" w:hAnsi="Calibri" w:eastAsia="宋体" w:cs="Calibri"/>
                <w:color w:val="000000"/>
                <w:sz w:val="22"/>
                <w:szCs w:val="22"/>
              </w:rPr>
            </w:pPr>
          </w:p>
        </w:tc>
        <w:tc>
          <w:tcPr>
            <w:tcW w:w="4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643"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家长的满意程度</w:t>
            </w:r>
          </w:p>
        </w:tc>
        <w:tc>
          <w:tcPr>
            <w:tcW w:w="79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家长的满意程度</w:t>
            </w:r>
          </w:p>
        </w:tc>
        <w:tc>
          <w:tcPr>
            <w:tcW w:w="163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hint="eastAsia" w:ascii="宋体" w:hAnsi="宋体" w:eastAsia="宋体" w:cs="宋体"/>
                <w:color w:val="000000"/>
                <w:sz w:val="22"/>
                <w:szCs w:val="22"/>
              </w:rPr>
              <w:t>家长的满意度达到</w:t>
            </w:r>
            <w:r>
              <w:rPr>
                <w:rFonts w:ascii="Calibri" w:hAnsi="Calibri" w:cs="Calibri"/>
                <w:color w:val="000000"/>
                <w:sz w:val="22"/>
                <w:szCs w:val="22"/>
              </w:rPr>
              <w:t>95%</w:t>
            </w:r>
            <w:r>
              <w:rPr>
                <w:rFonts w:hint="eastAsia" w:ascii="宋体" w:hAnsi="宋体" w:eastAsia="宋体" w:cs="宋体"/>
                <w:color w:val="000000"/>
                <w:sz w:val="22"/>
                <w:szCs w:val="22"/>
              </w:rPr>
              <w:t>得满分，每降低</w:t>
            </w:r>
            <w:r>
              <w:rPr>
                <w:rFonts w:ascii="Calibri" w:hAnsi="Calibri" w:cs="Calibri"/>
                <w:color w:val="000000"/>
                <w:sz w:val="22"/>
                <w:szCs w:val="22"/>
              </w:rPr>
              <w:t>1%</w:t>
            </w:r>
            <w:r>
              <w:rPr>
                <w:rFonts w:hint="eastAsia" w:ascii="宋体" w:hAnsi="宋体" w:eastAsia="宋体" w:cs="宋体"/>
                <w:color w:val="000000"/>
                <w:sz w:val="22"/>
                <w:szCs w:val="22"/>
              </w:rPr>
              <w:t>扣</w:t>
            </w:r>
            <w:r>
              <w:rPr>
                <w:rFonts w:ascii="Calibri" w:hAnsi="Calibri" w:cs="Calibri"/>
                <w:color w:val="000000"/>
                <w:sz w:val="22"/>
                <w:szCs w:val="22"/>
              </w:rPr>
              <w:t>1</w:t>
            </w:r>
            <w:r>
              <w:rPr>
                <w:rFonts w:hint="eastAsia" w:ascii="宋体" w:hAnsi="宋体" w:eastAsia="宋体" w:cs="宋体"/>
                <w:color w:val="000000"/>
                <w:sz w:val="22"/>
                <w:szCs w:val="22"/>
              </w:rPr>
              <w:t>分，扣完为止。</w:t>
            </w:r>
          </w:p>
        </w:tc>
        <w:tc>
          <w:tcPr>
            <w:tcW w:w="24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208"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95</w:t>
            </w:r>
          </w:p>
        </w:tc>
        <w:tc>
          <w:tcPr>
            <w:tcW w:w="42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r>
              <w:rPr>
                <w:rFonts w:ascii="Calibri" w:hAnsi="Calibri" w:cs="Calibri"/>
                <w:color w:val="000000"/>
                <w:sz w:val="22"/>
                <w:szCs w:val="22"/>
              </w:rPr>
              <w:t>%</w:t>
            </w:r>
          </w:p>
        </w:tc>
        <w:tc>
          <w:tcPr>
            <w:tcW w:w="31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pPr>
              <w:jc w:val="center"/>
              <w:rPr>
                <w:rFonts w:ascii="Calibri" w:hAnsi="Calibri" w:eastAsia="宋体" w:cs="Calibri"/>
                <w:color w:val="000000"/>
                <w:sz w:val="22"/>
                <w:szCs w:val="22"/>
              </w:rPr>
            </w:pPr>
          </w:p>
        </w:tc>
      </w:tr>
    </w:tbl>
    <w:p>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28" w:name="tz_0002_0006"/>
      <w:bookmarkEnd w:id="28"/>
      <w:r>
        <w:rPr>
          <w:rFonts w:ascii="黑体" w:hAnsi="黑体" w:eastAsia="黑体" w:cs="黑体"/>
          <w:color w:val="000000"/>
          <w:sz w:val="32"/>
        </w:rPr>
        <w:t>六、部门项目预算安排情况及绩效目标</w:t>
      </w:r>
    </w:p>
    <w:p>
      <w:pPr>
        <w:ind w:firstLine="560"/>
      </w:pPr>
      <w:r>
        <w:rPr>
          <w:rFonts w:ascii="方正仿宋_GBK" w:hAnsi="方正仿宋_GBK" w:eastAsia="方正仿宋_GBK" w:cs="方正仿宋_GBK"/>
          <w:color w:val="000000"/>
          <w:sz w:val="28"/>
        </w:rPr>
        <w:t>1、幼儿园生均公用经费（公办幼儿园）绩效目标表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5103" w:type="dxa"/>
            <w:gridSpan w:val="2"/>
            <w:vAlign w:val="center"/>
          </w:tcPr>
          <w:p>
            <w:pPr>
              <w:pStyle w:val="16"/>
            </w:pPr>
            <w:r>
              <w:t>13100325P00001210035G</w:t>
            </w:r>
          </w:p>
        </w:tc>
        <w:tc>
          <w:tcPr>
            <w:tcW w:w="2835" w:type="dxa"/>
            <w:vAlign w:val="center"/>
          </w:tcPr>
          <w:p>
            <w:pPr>
              <w:pStyle w:val="14"/>
            </w:pPr>
            <w:r>
              <w:t>项目名称</w:t>
            </w:r>
          </w:p>
        </w:tc>
        <w:tc>
          <w:tcPr>
            <w:tcW w:w="6095" w:type="dxa"/>
            <w:gridSpan w:val="3"/>
            <w:vAlign w:val="center"/>
          </w:tcPr>
          <w:p>
            <w:pPr>
              <w:pStyle w:val="16"/>
            </w:pPr>
            <w:r>
              <w:t>幼儿园生均公用经费（公办幼儿园）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2268" w:type="dxa"/>
            <w:vAlign w:val="center"/>
          </w:tcPr>
          <w:p>
            <w:pPr>
              <w:pStyle w:val="14"/>
            </w:pPr>
            <w:r>
              <w:t>预算数</w:t>
            </w:r>
          </w:p>
        </w:tc>
        <w:tc>
          <w:tcPr>
            <w:tcW w:w="2835" w:type="dxa"/>
            <w:vAlign w:val="center"/>
          </w:tcPr>
          <w:p>
            <w:pPr>
              <w:pStyle w:val="16"/>
            </w:pPr>
            <w:r>
              <w:t>18.60</w:t>
            </w:r>
          </w:p>
        </w:tc>
        <w:tc>
          <w:tcPr>
            <w:tcW w:w="2835" w:type="dxa"/>
            <w:vAlign w:val="center"/>
          </w:tcPr>
          <w:p>
            <w:pPr>
              <w:pStyle w:val="14"/>
            </w:pPr>
            <w:r>
              <w:t>其中：财政    资金</w:t>
            </w:r>
          </w:p>
        </w:tc>
        <w:tc>
          <w:tcPr>
            <w:tcW w:w="2551" w:type="dxa"/>
            <w:vAlign w:val="center"/>
          </w:tcPr>
          <w:p>
            <w:pPr>
              <w:pStyle w:val="16"/>
            </w:pPr>
            <w:r>
              <w:t>18.60</w:t>
            </w:r>
          </w:p>
        </w:tc>
        <w:tc>
          <w:tcPr>
            <w:tcW w:w="2268" w:type="dxa"/>
            <w:vAlign w:val="center"/>
          </w:tcPr>
          <w:p>
            <w:pPr>
              <w:pStyle w:val="14"/>
            </w:pPr>
            <w:r>
              <w:t>其他资金</w:t>
            </w:r>
          </w:p>
        </w:tc>
        <w:tc>
          <w:tcPr>
            <w:tcW w:w="1276" w:type="dxa"/>
            <w:vAlign w:val="center"/>
          </w:tcPr>
          <w:p>
            <w:pPr>
              <w:pStyle w:val="16"/>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6"/>
            </w:pPr>
            <w:r>
              <w:t>保障幼儿园正常运转、完成教育教学活动和其他日常工作任务，为学前教育教学提供保障。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5103" w:type="dxa"/>
            <w:gridSpan w:val="2"/>
            <w:vAlign w:val="center"/>
          </w:tcPr>
          <w:p>
            <w:pPr>
              <w:pStyle w:val="14"/>
            </w:pPr>
            <w:r>
              <w:t>3月底</w:t>
            </w:r>
          </w:p>
        </w:tc>
        <w:tc>
          <w:tcPr>
            <w:tcW w:w="2835" w:type="dxa"/>
            <w:vAlign w:val="center"/>
          </w:tcPr>
          <w:p>
            <w:pPr>
              <w:pStyle w:val="14"/>
            </w:pPr>
            <w:r>
              <w:t>6月底</w:t>
            </w:r>
          </w:p>
        </w:tc>
        <w:tc>
          <w:tcPr>
            <w:tcW w:w="2551" w:type="dxa"/>
            <w:vAlign w:val="center"/>
          </w:tcPr>
          <w:p>
            <w:pPr>
              <w:pStyle w:val="14"/>
            </w:pPr>
            <w:r>
              <w:t>10月底</w:t>
            </w:r>
          </w:p>
        </w:tc>
        <w:tc>
          <w:tcPr>
            <w:tcW w:w="3544"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7"/>
            </w:pPr>
            <w:r>
              <w:t>25%</w:t>
            </w:r>
          </w:p>
        </w:tc>
        <w:tc>
          <w:tcPr>
            <w:tcW w:w="2835" w:type="dxa"/>
            <w:vAlign w:val="center"/>
          </w:tcPr>
          <w:p>
            <w:pPr>
              <w:pStyle w:val="17"/>
            </w:pPr>
            <w:r>
              <w:t>50%</w:t>
            </w:r>
          </w:p>
        </w:tc>
        <w:tc>
          <w:tcPr>
            <w:tcW w:w="2551" w:type="dxa"/>
            <w:vAlign w:val="center"/>
          </w:tcPr>
          <w:p>
            <w:pPr>
              <w:pStyle w:val="17"/>
            </w:pPr>
            <w:r>
              <w:t>75%</w:t>
            </w:r>
          </w:p>
        </w:tc>
        <w:tc>
          <w:tcPr>
            <w:tcW w:w="3544" w:type="dxa"/>
            <w:gridSpan w:val="2"/>
            <w:vAlign w:val="center"/>
          </w:tcPr>
          <w:p>
            <w:pPr>
              <w:pStyle w:val="17"/>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14033" w:type="dxa"/>
            <w:gridSpan w:val="6"/>
            <w:vAlign w:val="center"/>
          </w:tcPr>
          <w:p>
            <w:pPr>
              <w:pStyle w:val="16"/>
            </w:pPr>
            <w:r>
              <w:t>1.促进学前教育健康发展，办好人民满意的教育</w:t>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5386" w:type="dxa"/>
            <w:vAlign w:val="center"/>
          </w:tcPr>
          <w:p>
            <w:pPr>
              <w:pStyle w:val="14"/>
            </w:pPr>
            <w:r>
              <w:t>绩效指标描述</w:t>
            </w:r>
          </w:p>
        </w:tc>
        <w:tc>
          <w:tcPr>
            <w:tcW w:w="2268" w:type="dxa"/>
            <w:vAlign w:val="center"/>
          </w:tcPr>
          <w:p>
            <w:pPr>
              <w:pStyle w:val="14"/>
            </w:pPr>
            <w:r>
              <w:t>指标值</w:t>
            </w:r>
          </w:p>
        </w:tc>
        <w:tc>
          <w:tcPr>
            <w:tcW w:w="1276"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满足教育教学学生人数</w:t>
            </w:r>
          </w:p>
        </w:tc>
        <w:tc>
          <w:tcPr>
            <w:tcW w:w="5386" w:type="dxa"/>
            <w:vAlign w:val="center"/>
          </w:tcPr>
          <w:p>
            <w:pPr>
              <w:pStyle w:val="16"/>
            </w:pPr>
            <w:r>
              <w:t>满足教育教学学生人数</w:t>
            </w:r>
          </w:p>
        </w:tc>
        <w:tc>
          <w:tcPr>
            <w:tcW w:w="2268" w:type="dxa"/>
            <w:vAlign w:val="center"/>
          </w:tcPr>
          <w:p>
            <w:pPr>
              <w:pStyle w:val="16"/>
            </w:pPr>
            <w:r>
              <w:t>310人</w:t>
            </w:r>
          </w:p>
        </w:tc>
        <w:tc>
          <w:tcPr>
            <w:tcW w:w="1276" w:type="dxa"/>
            <w:vAlign w:val="center"/>
          </w:tcPr>
          <w:p>
            <w:pPr>
              <w:pStyle w:val="16"/>
            </w:pPr>
            <w:r>
              <w:t>园所人数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质量指标</w:t>
            </w:r>
          </w:p>
        </w:tc>
        <w:tc>
          <w:tcPr>
            <w:tcW w:w="2835" w:type="dxa"/>
            <w:vAlign w:val="center"/>
          </w:tcPr>
          <w:p>
            <w:pPr>
              <w:pStyle w:val="16"/>
            </w:pPr>
            <w:r>
              <w:t>购买产品和服务的合格率</w:t>
            </w:r>
          </w:p>
        </w:tc>
        <w:tc>
          <w:tcPr>
            <w:tcW w:w="5386" w:type="dxa"/>
            <w:vAlign w:val="center"/>
          </w:tcPr>
          <w:p>
            <w:pPr>
              <w:pStyle w:val="16"/>
            </w:pPr>
            <w:r>
              <w:t>购买产品和服务的合格率</w:t>
            </w:r>
          </w:p>
        </w:tc>
        <w:tc>
          <w:tcPr>
            <w:tcW w:w="2268" w:type="dxa"/>
            <w:vAlign w:val="center"/>
          </w:tcPr>
          <w:p>
            <w:pPr>
              <w:pStyle w:val="16"/>
            </w:pPr>
            <w:r>
              <w:t>100%</w:t>
            </w:r>
          </w:p>
        </w:tc>
        <w:tc>
          <w:tcPr>
            <w:tcW w:w="1276" w:type="dxa"/>
            <w:vAlign w:val="center"/>
          </w:tcPr>
          <w:p>
            <w:pPr>
              <w:pStyle w:val="16"/>
            </w:pPr>
            <w:r>
              <w:t>产品和服务的使用验收情况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时效指标</w:t>
            </w:r>
          </w:p>
        </w:tc>
        <w:tc>
          <w:tcPr>
            <w:tcW w:w="2835" w:type="dxa"/>
            <w:vAlign w:val="center"/>
          </w:tcPr>
          <w:p>
            <w:pPr>
              <w:pStyle w:val="16"/>
            </w:pPr>
            <w:r>
              <w:t>各项任务完成及时率</w:t>
            </w:r>
          </w:p>
        </w:tc>
        <w:tc>
          <w:tcPr>
            <w:tcW w:w="5386" w:type="dxa"/>
            <w:vAlign w:val="center"/>
          </w:tcPr>
          <w:p>
            <w:pPr>
              <w:pStyle w:val="16"/>
            </w:pPr>
            <w:r>
              <w:t>用于保障学校工作完成及时率</w:t>
            </w:r>
          </w:p>
        </w:tc>
        <w:tc>
          <w:tcPr>
            <w:tcW w:w="2268" w:type="dxa"/>
            <w:vAlign w:val="center"/>
          </w:tcPr>
          <w:p>
            <w:pPr>
              <w:pStyle w:val="16"/>
            </w:pPr>
            <w:r>
              <w:t>100%</w:t>
            </w:r>
          </w:p>
        </w:tc>
        <w:tc>
          <w:tcPr>
            <w:tcW w:w="1276" w:type="dxa"/>
            <w:vAlign w:val="center"/>
          </w:tcPr>
          <w:p>
            <w:pPr>
              <w:pStyle w:val="16"/>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成本指标</w:t>
            </w:r>
          </w:p>
        </w:tc>
        <w:tc>
          <w:tcPr>
            <w:tcW w:w="2835" w:type="dxa"/>
            <w:vAlign w:val="center"/>
          </w:tcPr>
          <w:p>
            <w:pPr>
              <w:pStyle w:val="16"/>
            </w:pPr>
            <w:r>
              <w:t>运行保障成本</w:t>
            </w:r>
          </w:p>
        </w:tc>
        <w:tc>
          <w:tcPr>
            <w:tcW w:w="5386" w:type="dxa"/>
            <w:vAlign w:val="center"/>
          </w:tcPr>
          <w:p>
            <w:pPr>
              <w:pStyle w:val="16"/>
            </w:pPr>
            <w:r>
              <w:t>用于保障学校正常运转的项目支出成本</w:t>
            </w:r>
          </w:p>
        </w:tc>
        <w:tc>
          <w:tcPr>
            <w:tcW w:w="2268" w:type="dxa"/>
            <w:vAlign w:val="center"/>
          </w:tcPr>
          <w:p>
            <w:pPr>
              <w:pStyle w:val="16"/>
            </w:pPr>
            <w:r>
              <w:t>18.6万元</w:t>
            </w:r>
          </w:p>
        </w:tc>
        <w:tc>
          <w:tcPr>
            <w:tcW w:w="1276" w:type="dxa"/>
            <w:vAlign w:val="center"/>
          </w:tcPr>
          <w:p>
            <w:pPr>
              <w:pStyle w:val="16"/>
            </w:pPr>
            <w:r>
              <w:t>河北省财政厅河北省教育厅关于落实公办幼儿园生均公用经费标准的通知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提高教育质量</w:t>
            </w:r>
          </w:p>
        </w:tc>
        <w:tc>
          <w:tcPr>
            <w:tcW w:w="5386" w:type="dxa"/>
            <w:vAlign w:val="center"/>
          </w:tcPr>
          <w:p>
            <w:pPr>
              <w:pStyle w:val="16"/>
            </w:pPr>
            <w:r>
              <w:t>推动学前教育质量提高转变</w:t>
            </w:r>
          </w:p>
        </w:tc>
        <w:tc>
          <w:tcPr>
            <w:tcW w:w="2268" w:type="dxa"/>
            <w:vAlign w:val="center"/>
          </w:tcPr>
          <w:p>
            <w:pPr>
              <w:pStyle w:val="16"/>
            </w:pPr>
            <w:r>
              <w:t>提高</w:t>
            </w:r>
          </w:p>
        </w:tc>
        <w:tc>
          <w:tcPr>
            <w:tcW w:w="1276" w:type="dxa"/>
            <w:vAlign w:val="center"/>
          </w:tcPr>
          <w:p>
            <w:pPr>
              <w:pStyle w:val="16"/>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6"/>
            </w:pPr>
            <w:r>
              <w:t>社会效益指标</w:t>
            </w:r>
          </w:p>
        </w:tc>
        <w:tc>
          <w:tcPr>
            <w:tcW w:w="2835" w:type="dxa"/>
            <w:vAlign w:val="center"/>
          </w:tcPr>
          <w:p>
            <w:pPr>
              <w:pStyle w:val="16"/>
            </w:pPr>
            <w:r>
              <w:t>幼儿综合素质水平</w:t>
            </w:r>
          </w:p>
        </w:tc>
        <w:tc>
          <w:tcPr>
            <w:tcW w:w="5386" w:type="dxa"/>
            <w:vAlign w:val="center"/>
          </w:tcPr>
          <w:p>
            <w:pPr>
              <w:pStyle w:val="16"/>
            </w:pPr>
            <w:r>
              <w:t>幼儿综合素质水平显著提高　</w:t>
            </w:r>
          </w:p>
        </w:tc>
        <w:tc>
          <w:tcPr>
            <w:tcW w:w="2268" w:type="dxa"/>
            <w:vAlign w:val="center"/>
          </w:tcPr>
          <w:p>
            <w:pPr>
              <w:pStyle w:val="16"/>
            </w:pPr>
            <w:r>
              <w:t>显著提高</w:t>
            </w:r>
          </w:p>
        </w:tc>
        <w:tc>
          <w:tcPr>
            <w:tcW w:w="1276" w:type="dxa"/>
            <w:vAlign w:val="center"/>
          </w:tcPr>
          <w:p>
            <w:pPr>
              <w:pStyle w:val="16"/>
            </w:pPr>
            <w:r>
              <w:t>工作实际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幼儿和家长的满意度</w:t>
            </w:r>
          </w:p>
        </w:tc>
        <w:tc>
          <w:tcPr>
            <w:tcW w:w="5386" w:type="dxa"/>
            <w:vAlign w:val="center"/>
          </w:tcPr>
          <w:p>
            <w:pPr>
              <w:pStyle w:val="16"/>
            </w:pPr>
            <w:r>
              <w:t>幼儿和家长对学校教育保育活动的满意度</w:t>
            </w:r>
          </w:p>
        </w:tc>
        <w:tc>
          <w:tcPr>
            <w:tcW w:w="2268" w:type="dxa"/>
            <w:vAlign w:val="center"/>
          </w:tcPr>
          <w:p>
            <w:pPr>
              <w:pStyle w:val="16"/>
            </w:pPr>
            <w:r>
              <w:t>≥90%</w:t>
            </w:r>
          </w:p>
        </w:tc>
        <w:tc>
          <w:tcPr>
            <w:tcW w:w="1276" w:type="dxa"/>
            <w:vAlign w:val="center"/>
          </w:tcPr>
          <w:p>
            <w:pPr>
              <w:pStyle w:val="16"/>
            </w:pPr>
            <w:r>
              <w:t>调查问卷</w:t>
            </w:r>
          </w:p>
        </w:tc>
      </w:tr>
    </w:tbl>
    <w:p>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pPr>
        <w:spacing w:before="10" w:after="10"/>
        <w:ind w:firstLine="640"/>
        <w:outlineLvl w:val="2"/>
      </w:pPr>
      <w:bookmarkStart w:id="29" w:name="tz_0002_0007"/>
      <w:bookmarkEnd w:id="29"/>
      <w:r>
        <w:rPr>
          <w:rFonts w:ascii="黑体" w:hAnsi="黑体" w:eastAsia="黑体" w:cs="黑体"/>
          <w:color w:val="000000"/>
          <w:sz w:val="32"/>
        </w:rPr>
        <w:t>七、政府采购预算情况</w:t>
      </w:r>
    </w:p>
    <w:p>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437廊坊市广阳区第七幼儿园</w:t>
            </w:r>
          </w:p>
        </w:tc>
        <w:tc>
          <w:tcPr>
            <w:tcW w:w="7712" w:type="dxa"/>
            <w:gridSpan w:val="8"/>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6748" w:type="dxa"/>
            <w:gridSpan w:val="7"/>
            <w:vAlign w:val="center"/>
          </w:tcPr>
          <w:p>
            <w:pPr>
              <w:pStyle w:val="14"/>
            </w:pPr>
            <w:r>
              <w:t>政府采购金额（当年部门预算安排资金）</w:t>
            </w:r>
          </w:p>
        </w:tc>
        <w:tc>
          <w:tcPr>
            <w:tcW w:w="964" w:type="dxa"/>
            <w:vMerge w:val="restart"/>
            <w:vAlign w:val="center"/>
          </w:tcPr>
          <w:p>
            <w:pPr>
              <w:pStyle w:val="14"/>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s="Times New Roman"/>
          <w:color w:val="000000"/>
          <w:sz w:val="32"/>
        </w:rPr>
        <w:t xml:space="preserve"> </w:t>
      </w:r>
    </w:p>
    <w:p>
      <w:pPr>
        <w:spacing w:before="10" w:after="10"/>
        <w:ind w:firstLine="640"/>
        <w:outlineLvl w:val="2"/>
      </w:pPr>
      <w:bookmarkStart w:id="30" w:name="tz_0002_0008"/>
      <w:bookmarkEnd w:id="30"/>
      <w:r>
        <w:rPr>
          <w:rFonts w:ascii="黑体" w:hAnsi="黑体" w:eastAsia="黑体" w:cs="黑体"/>
          <w:color w:val="000000"/>
          <w:sz w:val="32"/>
        </w:rPr>
        <w:t>八、国有资产信息</w:t>
      </w:r>
    </w:p>
    <w:p>
      <w:pPr>
        <w:spacing w:line="500" w:lineRule="exact"/>
        <w:ind w:firstLine="560"/>
      </w:pPr>
      <w:r>
        <w:rPr>
          <w:rFonts w:eastAsia="方正仿宋_GBK" w:cs="Times New Roman"/>
          <w:color w:val="000000"/>
          <w:sz w:val="28"/>
        </w:rPr>
        <w:t>廊坊市广阳区第七幼儿园（含所属单位）上年末固定资产金额为378.43万元（详见下表）。本年度拟购置固定资产总额为0.00万元，已按要求列入政府采购预算，详见政府采购预算表。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437廊坊市广阳区第七幼儿园</w:t>
            </w:r>
          </w:p>
        </w:tc>
        <w:tc>
          <w:tcPr>
            <w:tcW w:w="5670" w:type="dxa"/>
            <w:gridSpan w:val="2"/>
            <w:tcBorders>
              <w:top w:val="single" w:color="FFFFFF" w:sz="6" w:space="0"/>
              <w:left w:val="single" w:color="FFFFFF" w:sz="6" w:space="0"/>
              <w:right w:val="single" w:color="FFFFFF" w:sz="6" w:space="0"/>
            </w:tcBorders>
            <w:vAlign w:val="center"/>
          </w:tcPr>
          <w:p>
            <w:pPr>
              <w:pStyle w:val="11"/>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378.43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jc w:val="center"/>
        </w:trPr>
        <w:tc>
          <w:tcPr>
            <w:tcW w:w="7370" w:type="dxa"/>
            <w:vAlign w:val="center"/>
          </w:tcPr>
          <w:p>
            <w:pPr>
              <w:pStyle w:val="16"/>
            </w:pPr>
            <w:r>
              <w:t>4、其他固定资产</w:t>
            </w:r>
          </w:p>
        </w:tc>
        <w:tc>
          <w:tcPr>
            <w:tcW w:w="2835" w:type="dxa"/>
            <w:vAlign w:val="center"/>
          </w:tcPr>
          <w:p>
            <w:pPr>
              <w:pStyle w:val="17"/>
            </w:pPr>
            <w:r>
              <w:t>1551</w:t>
            </w:r>
          </w:p>
        </w:tc>
        <w:tc>
          <w:tcPr>
            <w:tcW w:w="2835" w:type="dxa"/>
            <w:vAlign w:val="center"/>
          </w:tcPr>
          <w:p>
            <w:pPr>
              <w:pStyle w:val="15"/>
            </w:pPr>
            <w:r>
              <w:t>378.43</w:t>
            </w:r>
          </w:p>
        </w:tc>
      </w:tr>
    </w:tbl>
    <w:p>
      <w:pPr>
        <w:ind w:firstLine="640"/>
      </w:pPr>
      <w:r>
        <w:rPr>
          <w:rFonts w:eastAsia="方正仿宋_GBK" w:cs="Times New Roman"/>
          <w:color w:val="000000"/>
          <w:sz w:val="32"/>
        </w:rPr>
        <w:t xml:space="preserve"> </w:t>
      </w:r>
    </w:p>
    <w:p>
      <w:pPr>
        <w:spacing w:before="10" w:after="10"/>
        <w:ind w:firstLine="640"/>
        <w:outlineLvl w:val="2"/>
      </w:pPr>
      <w:bookmarkStart w:id="31" w:name="tz_0002_0009"/>
      <w:bookmarkEnd w:id="31"/>
      <w:r>
        <w:rPr>
          <w:rFonts w:ascii="黑体" w:hAnsi="黑体" w:eastAsia="黑体" w:cs="黑体"/>
          <w:color w:val="000000"/>
          <w:sz w:val="32"/>
        </w:rPr>
        <w:t>九、名词解释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32" w:name="tz_0002_0010"/>
      <w:bookmarkEnd w:id="32"/>
      <w:r>
        <w:rPr>
          <w:rFonts w:ascii="黑体" w:hAnsi="黑体" w:eastAsia="黑体" w:cs="黑体"/>
          <w:color w:val="000000"/>
          <w:sz w:val="32"/>
        </w:rPr>
        <w:t>十、其他需要说明的事项</w:t>
      </w:r>
    </w:p>
    <w:p>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9D"/>
    <w:rsid w:val="000904B8"/>
    <w:rsid w:val="00464924"/>
    <w:rsid w:val="00705E4E"/>
    <w:rsid w:val="0093384A"/>
    <w:rsid w:val="00B4009D"/>
    <w:rsid w:val="00DE4CAD"/>
    <w:rsid w:val="16060526"/>
    <w:rsid w:val="1DE735EB"/>
    <w:rsid w:val="6FE67F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unhideWhenUsed/>
    <w:uiPriority w:val="99"/>
    <w:pPr>
      <w:tabs>
        <w:tab w:val="center" w:pos="4153"/>
        <w:tab w:val="right" w:pos="8306"/>
      </w:tabs>
      <w:snapToGrid w:val="0"/>
    </w:pPr>
    <w:rPr>
      <w:sz w:val="18"/>
      <w:szCs w:val="18"/>
    </w:rPr>
  </w:style>
  <w:style w:type="paragraph" w:styleId="4">
    <w:name w:val="header"/>
    <w:basedOn w:val="1"/>
    <w:link w:val="29"/>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uiPriority w:val="99"/>
    <w:rPr>
      <w:color w:val="0000FF"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9">
    <w:name w:val="页眉 Char"/>
    <w:basedOn w:val="9"/>
    <w:link w:val="4"/>
    <w:uiPriority w:val="99"/>
    <w:rPr>
      <w:rFonts w:ascii="Times New Roman" w:hAnsi="Times New Roman" w:eastAsia="Times New Roman"/>
      <w:sz w:val="18"/>
      <w:szCs w:val="18"/>
      <w:lang w:eastAsia="uk-UA"/>
    </w:rPr>
  </w:style>
  <w:style w:type="character" w:customStyle="1" w:styleId="30">
    <w:name w:val="页脚 Char"/>
    <w:basedOn w:val="9"/>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25</Pages>
  <Words>1524</Words>
  <Characters>8690</Characters>
  <Lines>72</Lines>
  <Paragraphs>20</Paragraphs>
  <TotalTime>1</TotalTime>
  <ScaleCrop>false</ScaleCrop>
  <LinksUpToDate>false</LinksUpToDate>
  <CharactersWithSpaces>10194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2025-03-03T10:49:00Z</dcterms:created>
  <dc:creator>lenovo001</dc:creator>
  <cp:lastModifiedBy>lenovo001</cp:lastModifiedBy>
  <dcterms:modified xsi:type="dcterms:W3CDTF">2025-03-05T01:36:44Z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1C6C5C1081724ACEBA78A6B756AEFE21</vt:lpwstr>
  </property>
</Properties>
</file>