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Fonts w:hint="eastAsia"/>
          <w:lang w:val="en-US" w:eastAsia="zh-CN"/>
        </w:rPr>
        <w:t>3</w:t>
      </w:r>
      <w:r>
        <w:rPr>
          <w:rStyle w:val="9"/>
        </w:rPr>
        <w:fldChar w:fldCharType="end"/>
      </w:r>
    </w:p>
    <w:p>
      <w:pPr>
        <w:pStyle w:val="4"/>
        <w:tabs>
          <w:tab w:val="right" w:leader="dot" w:pos="14562"/>
        </w:tabs>
      </w:pPr>
      <w:bookmarkStart w:id="1" w:name="tz_0001_0002"/>
      <w:bookmarkEnd w:id="1"/>
      <w:r>
        <w:fldChar w:fldCharType="begin"/>
      </w:r>
      <w:r>
        <w:instrText xml:space="preserve"> HYPERLINK  \l "tz_0001_0002" </w:instrText>
      </w:r>
      <w:r>
        <w:fldChar w:fldCharType="separate"/>
      </w:r>
      <w:r>
        <w:rPr>
          <w:rStyle w:val="9"/>
        </w:rPr>
        <w:t>单位预算收入总表</w:t>
      </w:r>
      <w:r>
        <w:rPr>
          <w:rStyle w:val="9"/>
        </w:rPr>
        <w:tab/>
      </w:r>
      <w:r>
        <w:rPr>
          <w:rStyle w:val="9"/>
          <w:rFonts w:hint="eastAsia"/>
          <w:lang w:val="en-US" w:eastAsia="zh-CN"/>
        </w:rPr>
        <w:t>5</w:t>
      </w:r>
      <w:r>
        <w:fldChar w:fldCharType="end"/>
      </w:r>
    </w:p>
    <w:p>
      <w:pPr>
        <w:pStyle w:val="4"/>
        <w:tabs>
          <w:tab w:val="right" w:leader="dot" w:pos="14562"/>
        </w:tabs>
      </w:pPr>
      <w:bookmarkStart w:id="2" w:name="tz_0001_0003"/>
      <w:bookmarkEnd w:id="2"/>
      <w:r>
        <w:fldChar w:fldCharType="begin"/>
      </w:r>
      <w:r>
        <w:instrText xml:space="preserve"> HYPERLINK  \l "tz_0001_0003" </w:instrText>
      </w:r>
      <w:r>
        <w:fldChar w:fldCharType="separate"/>
      </w:r>
      <w:r>
        <w:rPr>
          <w:rStyle w:val="9"/>
        </w:rPr>
        <w:t>单位预算支出总表</w:t>
      </w:r>
      <w:r>
        <w:rPr>
          <w:rStyle w:val="9"/>
        </w:rPr>
        <w:tab/>
      </w:r>
      <w:r>
        <w:rPr>
          <w:rStyle w:val="9"/>
          <w:rFonts w:hint="eastAsia"/>
          <w:lang w:val="en-US" w:eastAsia="zh-CN"/>
        </w:rPr>
        <w:t>7</w:t>
      </w:r>
      <w:r>
        <w:fldChar w:fldCharType="end"/>
      </w:r>
    </w:p>
    <w:p>
      <w:pPr>
        <w:pStyle w:val="4"/>
        <w:tabs>
          <w:tab w:val="right" w:leader="dot" w:pos="14562"/>
        </w:tabs>
      </w:pPr>
      <w:bookmarkStart w:id="3" w:name="tz_0001_0004"/>
      <w:bookmarkEnd w:id="3"/>
      <w:r>
        <w:fldChar w:fldCharType="begin"/>
      </w:r>
      <w:r>
        <w:instrText xml:space="preserve"> HYPERLINK  \l "tz_0001_0004" </w:instrText>
      </w:r>
      <w:r>
        <w:fldChar w:fldCharType="separate"/>
      </w:r>
      <w:r>
        <w:rPr>
          <w:rStyle w:val="9"/>
        </w:rPr>
        <w:t>单位预算财政拨款收支总表</w:t>
      </w:r>
      <w:r>
        <w:rPr>
          <w:rStyle w:val="9"/>
        </w:rPr>
        <w:tab/>
      </w:r>
      <w:r>
        <w:rPr>
          <w:rStyle w:val="9"/>
          <w:rFonts w:hint="eastAsia"/>
          <w:lang w:val="en-US" w:eastAsia="zh-CN"/>
        </w:rPr>
        <w:t>8</w:t>
      </w:r>
      <w:r>
        <w:fldChar w:fldCharType="end"/>
      </w:r>
    </w:p>
    <w:p>
      <w:pPr>
        <w:pStyle w:val="4"/>
        <w:tabs>
          <w:tab w:val="right" w:leader="dot" w:pos="14562"/>
        </w:tabs>
        <w:rPr>
          <w:rFonts w:hint="eastAsia" w:eastAsia="方正仿宋_GBK"/>
          <w:lang w:val="en-US" w:eastAsia="zh-CN"/>
        </w:rPr>
      </w:pPr>
      <w:bookmarkStart w:id="4" w:name="tz_0001_0005"/>
      <w:bookmarkEnd w:id="4"/>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bookmarkStart w:id="5" w:name="tz_0001_0006"/>
      <w:bookmarkEnd w:id="5"/>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bookmarkStart w:id="6" w:name="tz_0001_0007"/>
      <w:bookmarkEnd w:id="6"/>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bookmarkStart w:id="7" w:name="tz_0001_0008"/>
      <w:bookmarkEnd w:id="7"/>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bookmarkStart w:id="8" w:name="tz_0001_0009"/>
      <w:bookmarkEnd w:id="8"/>
      <w:r>
        <w:fldChar w:fldCharType="begin"/>
      </w:r>
      <w:r>
        <w:instrText xml:space="preserve"> HYPERLINK  \l "tz_0001_0009" </w:instrText>
      </w:r>
      <w:r>
        <w:fldChar w:fldCharType="separate"/>
      </w:r>
      <w:r>
        <w:rPr>
          <w:rStyle w:val="9"/>
        </w:rPr>
        <w:t>单位预算财政拨款“三公”经费支出表</w:t>
      </w:r>
      <w:r>
        <w:rPr>
          <w:rStyle w:val="9"/>
        </w:rPr>
        <w:tab/>
      </w:r>
      <w:r>
        <w:rPr>
          <w:rStyle w:val="9"/>
          <w:rFonts w:hint="eastAsia"/>
          <w:lang w:val="en-US" w:eastAsia="zh-CN"/>
        </w:rPr>
        <w:t>1</w:t>
      </w:r>
      <w:r>
        <w:fldChar w:fldCharType="end"/>
      </w:r>
      <w:r>
        <w:rPr>
          <w:rFonts w:hint="eastAsia"/>
          <w:lang w:val="en-US" w:eastAsia="zh-CN"/>
        </w:rPr>
        <w:t>6</w:t>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Fonts w:hint="eastAsia"/>
          <w:lang w:val="en-US" w:eastAsia="zh-CN"/>
        </w:rPr>
        <w:t>1</w:t>
      </w:r>
      <w:r>
        <w:rPr>
          <w:rStyle w:val="9"/>
        </w:rPr>
        <w:fldChar w:fldCharType="end"/>
      </w:r>
      <w:r>
        <w:rPr>
          <w:rStyle w:val="9"/>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"tz_0002_0002" </w:instrText>
      </w:r>
      <w:r>
        <w:fldChar w:fldCharType="separate"/>
      </w:r>
      <w:r>
        <w:rPr>
          <w:rStyle w:val="9"/>
        </w:rPr>
        <w:t>二、单位预算安排的总体情况</w:t>
      </w:r>
      <w:r>
        <w:rPr>
          <w:rStyle w:val="9"/>
        </w:rPr>
        <w:tab/>
      </w:r>
      <w:r>
        <w:rPr>
          <w:rStyle w:val="9"/>
          <w:rFonts w:hint="eastAsia"/>
          <w:lang w:val="en-US" w:eastAsia="zh-CN"/>
        </w:rPr>
        <w:t>1</w:t>
      </w:r>
      <w:r>
        <w:rPr>
          <w:rStyle w:val="9"/>
        </w:rPr>
        <w:fldChar w:fldCharType="end"/>
      </w:r>
      <w:r>
        <w:rPr>
          <w:rStyle w:val="9"/>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"tz_0002_0003" </w:instrText>
      </w:r>
      <w:r>
        <w:fldChar w:fldCharType="separate"/>
      </w:r>
      <w:r>
        <w:rPr>
          <w:rStyle w:val="9"/>
        </w:rPr>
        <w:t>三、机关运行经费安排情况</w:t>
      </w:r>
      <w:r>
        <w:rPr>
          <w:rStyle w:val="9"/>
        </w:rPr>
        <w:tab/>
      </w:r>
      <w:r>
        <w:rPr>
          <w:rStyle w:val="9"/>
          <w:rFonts w:hint="eastAsia"/>
          <w:lang w:val="en-US" w:eastAsia="zh-CN"/>
        </w:rPr>
        <w:t>1</w:t>
      </w:r>
      <w:r>
        <w:rPr>
          <w:rStyle w:val="9"/>
        </w:rPr>
        <w:fldChar w:fldCharType="end"/>
      </w:r>
      <w:r>
        <w:rPr>
          <w:rStyle w:val="9"/>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Fonts w:hint="eastAsia"/>
          <w:lang w:val="en-US" w:eastAsia="zh-CN"/>
        </w:rPr>
        <w:t>1</w:t>
      </w:r>
      <w:r>
        <w:rPr>
          <w:rStyle w:val="9"/>
        </w:rPr>
        <w:fldChar w:fldCharType="end"/>
      </w:r>
      <w:r>
        <w:rPr>
          <w:rStyle w:val="9"/>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Fonts w:hint="eastAsia"/>
          <w:lang w:val="en-US" w:eastAsia="zh-CN"/>
        </w:rPr>
        <w:t>1</w:t>
      </w:r>
      <w:r>
        <w:rPr>
          <w:rStyle w:val="9"/>
        </w:rPr>
        <w:fldChar w:fldCharType="end"/>
      </w:r>
      <w:r>
        <w:rPr>
          <w:rStyle w:val="9"/>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"tz_0002_0006" </w:instrText>
      </w:r>
      <w:r>
        <w:fldChar w:fldCharType="separate"/>
      </w:r>
      <w:r>
        <w:rPr>
          <w:rStyle w:val="9"/>
        </w:rPr>
        <w:t>六、政府采购预算情况</w:t>
      </w:r>
      <w:r>
        <w:rPr>
          <w:rStyle w:val="9"/>
        </w:rPr>
        <w:tab/>
      </w:r>
      <w:r>
        <w:rPr>
          <w:rStyle w:val="9"/>
          <w:rFonts w:hint="eastAsia"/>
          <w:lang w:val="en-US" w:eastAsia="zh-CN"/>
        </w:rPr>
        <w:t>2</w:t>
      </w:r>
      <w:r>
        <w:rPr>
          <w:rStyle w:val="9"/>
        </w:rPr>
        <w:fldChar w:fldCharType="end"/>
      </w:r>
      <w:r>
        <w:rPr>
          <w:rStyle w:val="9"/>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"tz_0002_0007" </w:instrText>
      </w:r>
      <w:r>
        <w:fldChar w:fldCharType="separate"/>
      </w:r>
      <w:r>
        <w:rPr>
          <w:rStyle w:val="9"/>
        </w:rPr>
        <w:t>七、国有资产信息</w:t>
      </w:r>
      <w:r>
        <w:rPr>
          <w:rStyle w:val="9"/>
        </w:rPr>
        <w:tab/>
      </w:r>
      <w:r>
        <w:rPr>
          <w:rStyle w:val="9"/>
          <w:rFonts w:hint="eastAsia"/>
          <w:lang w:val="en-US" w:eastAsia="zh-CN"/>
        </w:rPr>
        <w:t>2</w:t>
      </w:r>
      <w:r>
        <w:rPr>
          <w:rStyle w:val="9"/>
        </w:rPr>
        <w:fldChar w:fldCharType="end"/>
      </w:r>
      <w:r>
        <w:rPr>
          <w:rStyle w:val="9"/>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"tz_0002_0008" </w:instrText>
      </w:r>
      <w:r>
        <w:fldChar w:fldCharType="separate"/>
      </w:r>
      <w:r>
        <w:rPr>
          <w:rStyle w:val="9"/>
        </w:rPr>
        <w:t>八、名词解释</w:t>
      </w:r>
      <w:r>
        <w:rPr>
          <w:rStyle w:val="9"/>
        </w:rPr>
        <w:tab/>
      </w:r>
      <w:r>
        <w:rPr>
          <w:rStyle w:val="9"/>
          <w:rFonts w:hint="eastAsia"/>
          <w:lang w:val="en-US" w:eastAsia="zh-CN"/>
        </w:rPr>
        <w:t>2</w:t>
      </w:r>
      <w:r>
        <w:rPr>
          <w:rStyle w:val="9"/>
        </w:rPr>
        <w:fldChar w:fldCharType="end"/>
      </w:r>
      <w:r>
        <w:rPr>
          <w:rStyle w:val="9"/>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"tz_0002_0009" </w:instrText>
      </w:r>
      <w:r>
        <w:fldChar w:fldCharType="separate"/>
      </w:r>
      <w:r>
        <w:rPr>
          <w:rStyle w:val="9"/>
        </w:rPr>
        <w:t>九、其他需要说明的事项</w:t>
      </w:r>
      <w:r>
        <w:rPr>
          <w:rStyle w:val="9"/>
        </w:rPr>
        <w:tab/>
      </w:r>
      <w:r>
        <w:rPr>
          <w:rStyle w:val="9"/>
          <w:rFonts w:hint="eastAsia"/>
          <w:lang w:val="en-US" w:eastAsia="zh-CN"/>
        </w:rPr>
        <w:t>2</w:t>
      </w:r>
      <w:r>
        <w:rPr>
          <w:rStyle w:val="9"/>
        </w:rPr>
        <w:fldChar w:fldCharType="end"/>
      </w:r>
      <w:r>
        <w:rPr>
          <w:rStyle w:val="9"/>
          <w:rFonts w:hint="eastAsia"/>
          <w:lang w:val="en-US" w:eastAsia="zh-CN"/>
        </w:rPr>
        <w:t>2</w:t>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bookmarkStart w:id="9" w:name="_GoBack"/>
    </w:p>
    <w:p>
      <w:pPr>
        <w:rPr>
          <w:lang w:val="uk-UA"/>
        </w:rPr>
      </w:pPr>
    </w:p>
    <w:bookmarkEnd w:id="9"/>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tabs>
          <w:tab w:val="left" w:pos="6720"/>
        </w:tabs>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260012中国共产主义青年团廊坊市广阳区委员会</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74.22</w:t>
            </w:r>
          </w:p>
        </w:tc>
        <w:tc>
          <w:tcPr>
            <w:tcW w:w="4535" w:type="dxa"/>
            <w:vAlign w:val="center"/>
          </w:tcPr>
          <w:p>
            <w:pPr>
              <w:pStyle w:val="15"/>
            </w:pPr>
            <w:r>
              <w:t>一、一般公共服务支出</w:t>
            </w:r>
          </w:p>
        </w:tc>
        <w:tc>
          <w:tcPr>
            <w:tcW w:w="2126" w:type="dxa"/>
            <w:vAlign w:val="center"/>
          </w:tcPr>
          <w:p>
            <w:pPr>
              <w:pStyle w:val="14"/>
            </w:pPr>
            <w:r>
              <w:t>61.00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74.22</w:t>
            </w:r>
          </w:p>
        </w:tc>
        <w:tc>
          <w:tcPr>
            <w:tcW w:w="4535" w:type="dxa"/>
            <w:vAlign w:val="center"/>
          </w:tcPr>
          <w:p>
            <w:pPr>
              <w:pStyle w:val="17"/>
            </w:pPr>
            <w:r>
              <w:t>本年支出合计</w:t>
            </w:r>
          </w:p>
        </w:tc>
        <w:tc>
          <w:tcPr>
            <w:tcW w:w="2126" w:type="dxa"/>
            <w:vAlign w:val="center"/>
          </w:tcPr>
          <w:p>
            <w:pPr>
              <w:pStyle w:val="18"/>
            </w:pPr>
            <w:r>
              <w:t>74.22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74.22</w:t>
            </w:r>
          </w:p>
        </w:tc>
        <w:tc>
          <w:tcPr>
            <w:tcW w:w="4535" w:type="dxa"/>
            <w:vAlign w:val="center"/>
          </w:tcPr>
          <w:p>
            <w:pPr>
              <w:pStyle w:val="17"/>
            </w:pPr>
            <w:r>
              <w:t>支出总计</w:t>
            </w:r>
          </w:p>
        </w:tc>
        <w:tc>
          <w:tcPr>
            <w:tcW w:w="2126" w:type="dxa"/>
            <w:vAlign w:val="center"/>
          </w:tcPr>
          <w:p>
            <w:pPr>
              <w:pStyle w:val="18"/>
            </w:pPr>
            <w:r>
              <w:t>74.22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260012中国共产主义青年团廊坊市广阳区委员会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74.22</w:t>
            </w:r>
          </w:p>
        </w:tc>
        <w:tc>
          <w:tcPr>
            <w:tcW w:w="1134" w:type="dxa"/>
            <w:vAlign w:val="center"/>
          </w:tcPr>
          <w:p>
            <w:pPr>
              <w:pStyle w:val="18"/>
            </w:pPr>
            <w:r>
              <w:t>74.22</w:t>
            </w:r>
          </w:p>
        </w:tc>
        <w:tc>
          <w:tcPr>
            <w:tcW w:w="1134" w:type="dxa"/>
            <w:vAlign w:val="center"/>
          </w:tcPr>
          <w:p>
            <w:pPr>
              <w:pStyle w:val="18"/>
            </w:pPr>
            <w:r>
              <w:t>74.22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61.00</w:t>
            </w:r>
          </w:p>
        </w:tc>
        <w:tc>
          <w:tcPr>
            <w:tcW w:w="1134" w:type="dxa"/>
            <w:vAlign w:val="center"/>
          </w:tcPr>
          <w:p>
            <w:pPr>
              <w:pStyle w:val="14"/>
            </w:pPr>
            <w:r>
              <w:t>61.00</w:t>
            </w:r>
          </w:p>
        </w:tc>
        <w:tc>
          <w:tcPr>
            <w:tcW w:w="1134" w:type="dxa"/>
            <w:vAlign w:val="center"/>
          </w:tcPr>
          <w:p>
            <w:pPr>
              <w:pStyle w:val="14"/>
            </w:pPr>
            <w:r>
              <w:t>61.00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20129</w:t>
            </w:r>
          </w:p>
        </w:tc>
        <w:tc>
          <w:tcPr>
            <w:tcW w:w="1559" w:type="dxa"/>
            <w:vAlign w:val="center"/>
          </w:tcPr>
          <w:p>
            <w:pPr>
              <w:pStyle w:val="15"/>
            </w:pPr>
            <w:r>
              <w:t>群众团体事务</w:t>
            </w:r>
          </w:p>
        </w:tc>
        <w:tc>
          <w:tcPr>
            <w:tcW w:w="1134" w:type="dxa"/>
            <w:vAlign w:val="center"/>
          </w:tcPr>
          <w:p>
            <w:pPr>
              <w:pStyle w:val="14"/>
            </w:pPr>
            <w:r>
              <w:t>61.00</w:t>
            </w:r>
          </w:p>
        </w:tc>
        <w:tc>
          <w:tcPr>
            <w:tcW w:w="1134" w:type="dxa"/>
            <w:vAlign w:val="center"/>
          </w:tcPr>
          <w:p>
            <w:pPr>
              <w:pStyle w:val="14"/>
            </w:pPr>
            <w:r>
              <w:t>61.00</w:t>
            </w:r>
          </w:p>
        </w:tc>
        <w:tc>
          <w:tcPr>
            <w:tcW w:w="1134" w:type="dxa"/>
            <w:vAlign w:val="center"/>
          </w:tcPr>
          <w:p>
            <w:pPr>
              <w:pStyle w:val="14"/>
            </w:pPr>
            <w:r>
              <w:t>61.00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2012901</w:t>
            </w:r>
          </w:p>
        </w:tc>
        <w:tc>
          <w:tcPr>
            <w:tcW w:w="1559" w:type="dxa"/>
            <w:vAlign w:val="center"/>
          </w:tcPr>
          <w:p>
            <w:pPr>
              <w:pStyle w:val="15"/>
            </w:pPr>
            <w:r>
              <w:t>行政运行</w:t>
            </w:r>
          </w:p>
        </w:tc>
        <w:tc>
          <w:tcPr>
            <w:tcW w:w="1134" w:type="dxa"/>
            <w:vAlign w:val="center"/>
          </w:tcPr>
          <w:p>
            <w:pPr>
              <w:pStyle w:val="14"/>
            </w:pPr>
            <w:r>
              <w:t>61.00</w:t>
            </w:r>
          </w:p>
        </w:tc>
        <w:tc>
          <w:tcPr>
            <w:tcW w:w="1134" w:type="dxa"/>
            <w:vAlign w:val="center"/>
          </w:tcPr>
          <w:p>
            <w:pPr>
              <w:pStyle w:val="14"/>
            </w:pPr>
            <w:r>
              <w:t>61.00</w:t>
            </w:r>
          </w:p>
        </w:tc>
        <w:tc>
          <w:tcPr>
            <w:tcW w:w="1134" w:type="dxa"/>
            <w:vAlign w:val="center"/>
          </w:tcPr>
          <w:p>
            <w:pPr>
              <w:pStyle w:val="14"/>
            </w:pPr>
            <w:r>
              <w:t>61.00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6.15</w:t>
            </w:r>
          </w:p>
        </w:tc>
        <w:tc>
          <w:tcPr>
            <w:tcW w:w="1134" w:type="dxa"/>
            <w:vAlign w:val="center"/>
          </w:tcPr>
          <w:p>
            <w:pPr>
              <w:pStyle w:val="14"/>
            </w:pPr>
            <w:r>
              <w:t>6.15</w:t>
            </w:r>
          </w:p>
        </w:tc>
        <w:tc>
          <w:tcPr>
            <w:tcW w:w="1134" w:type="dxa"/>
            <w:vAlign w:val="center"/>
          </w:tcPr>
          <w:p>
            <w:pPr>
              <w:pStyle w:val="14"/>
            </w:pPr>
            <w:r>
              <w:t>6.15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0.15</w:t>
            </w:r>
          </w:p>
        </w:tc>
        <w:tc>
          <w:tcPr>
            <w:tcW w:w="1134" w:type="dxa"/>
            <w:vAlign w:val="center"/>
          </w:tcPr>
          <w:p>
            <w:pPr>
              <w:pStyle w:val="14"/>
            </w:pPr>
            <w:r>
              <w:t>0.15</w:t>
            </w:r>
          </w:p>
        </w:tc>
        <w:tc>
          <w:tcPr>
            <w:tcW w:w="1134" w:type="dxa"/>
            <w:vAlign w:val="center"/>
          </w:tcPr>
          <w:p>
            <w:pPr>
              <w:pStyle w:val="14"/>
            </w:pPr>
            <w:r>
              <w:t>0.15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0.15</w:t>
            </w:r>
          </w:p>
        </w:tc>
        <w:tc>
          <w:tcPr>
            <w:tcW w:w="1134" w:type="dxa"/>
            <w:vAlign w:val="center"/>
          </w:tcPr>
          <w:p>
            <w:pPr>
              <w:pStyle w:val="14"/>
            </w:pPr>
            <w:r>
              <w:t>0.15</w:t>
            </w:r>
          </w:p>
        </w:tc>
        <w:tc>
          <w:tcPr>
            <w:tcW w:w="1134" w:type="dxa"/>
            <w:vAlign w:val="center"/>
          </w:tcPr>
          <w:p>
            <w:pPr>
              <w:pStyle w:val="14"/>
            </w:pPr>
            <w:r>
              <w:t>0.15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2.11</w:t>
            </w:r>
          </w:p>
        </w:tc>
        <w:tc>
          <w:tcPr>
            <w:tcW w:w="1134" w:type="dxa"/>
            <w:vAlign w:val="center"/>
          </w:tcPr>
          <w:p>
            <w:pPr>
              <w:pStyle w:val="14"/>
            </w:pPr>
            <w:r>
              <w:t>2.11</w:t>
            </w:r>
          </w:p>
        </w:tc>
        <w:tc>
          <w:tcPr>
            <w:tcW w:w="1134" w:type="dxa"/>
            <w:vAlign w:val="center"/>
          </w:tcPr>
          <w:p>
            <w:pPr>
              <w:pStyle w:val="14"/>
            </w:pPr>
            <w:r>
              <w:t>2.11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2.11</w:t>
            </w:r>
          </w:p>
        </w:tc>
        <w:tc>
          <w:tcPr>
            <w:tcW w:w="1134" w:type="dxa"/>
            <w:vAlign w:val="center"/>
          </w:tcPr>
          <w:p>
            <w:pPr>
              <w:pStyle w:val="14"/>
            </w:pPr>
            <w:r>
              <w:t>2.11</w:t>
            </w:r>
          </w:p>
        </w:tc>
        <w:tc>
          <w:tcPr>
            <w:tcW w:w="1134" w:type="dxa"/>
            <w:vAlign w:val="center"/>
          </w:tcPr>
          <w:p>
            <w:pPr>
              <w:pStyle w:val="14"/>
            </w:pPr>
            <w:r>
              <w:t>2.11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2.11</w:t>
            </w:r>
          </w:p>
        </w:tc>
        <w:tc>
          <w:tcPr>
            <w:tcW w:w="1134" w:type="dxa"/>
            <w:vAlign w:val="center"/>
          </w:tcPr>
          <w:p>
            <w:pPr>
              <w:pStyle w:val="14"/>
            </w:pPr>
            <w:r>
              <w:t>2.11</w:t>
            </w:r>
          </w:p>
        </w:tc>
        <w:tc>
          <w:tcPr>
            <w:tcW w:w="1134" w:type="dxa"/>
            <w:vAlign w:val="center"/>
          </w:tcPr>
          <w:p>
            <w:pPr>
              <w:pStyle w:val="14"/>
            </w:pPr>
            <w:r>
              <w:t>2.11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4.96</w:t>
            </w:r>
          </w:p>
        </w:tc>
        <w:tc>
          <w:tcPr>
            <w:tcW w:w="1134" w:type="dxa"/>
            <w:vAlign w:val="center"/>
          </w:tcPr>
          <w:p>
            <w:pPr>
              <w:pStyle w:val="14"/>
            </w:pPr>
            <w:r>
              <w:t>4.96</w:t>
            </w:r>
          </w:p>
        </w:tc>
        <w:tc>
          <w:tcPr>
            <w:tcW w:w="1134" w:type="dxa"/>
            <w:vAlign w:val="center"/>
          </w:tcPr>
          <w:p>
            <w:pPr>
              <w:pStyle w:val="14"/>
            </w:pPr>
            <w:r>
              <w:t>4.96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4.96</w:t>
            </w:r>
          </w:p>
        </w:tc>
        <w:tc>
          <w:tcPr>
            <w:tcW w:w="1134" w:type="dxa"/>
            <w:vAlign w:val="center"/>
          </w:tcPr>
          <w:p>
            <w:pPr>
              <w:pStyle w:val="14"/>
            </w:pPr>
            <w:r>
              <w:t>4.96</w:t>
            </w:r>
          </w:p>
        </w:tc>
        <w:tc>
          <w:tcPr>
            <w:tcW w:w="1134" w:type="dxa"/>
            <w:vAlign w:val="center"/>
          </w:tcPr>
          <w:p>
            <w:pPr>
              <w:pStyle w:val="14"/>
            </w:pPr>
            <w:r>
              <w:t>4.96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4.96</w:t>
            </w:r>
          </w:p>
        </w:tc>
        <w:tc>
          <w:tcPr>
            <w:tcW w:w="1134" w:type="dxa"/>
            <w:vAlign w:val="center"/>
          </w:tcPr>
          <w:p>
            <w:pPr>
              <w:pStyle w:val="14"/>
            </w:pPr>
            <w:r>
              <w:t>4.96</w:t>
            </w:r>
          </w:p>
        </w:tc>
        <w:tc>
          <w:tcPr>
            <w:tcW w:w="1134" w:type="dxa"/>
            <w:vAlign w:val="center"/>
          </w:tcPr>
          <w:p>
            <w:pPr>
              <w:pStyle w:val="14"/>
            </w:pPr>
            <w:r>
              <w:t>4.96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260012中国共产主义青年团廊坊市广阳区委员会</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74.22</w:t>
            </w:r>
          </w:p>
        </w:tc>
        <w:tc>
          <w:tcPr>
            <w:tcW w:w="1361" w:type="dxa"/>
            <w:vAlign w:val="center"/>
          </w:tcPr>
          <w:p>
            <w:pPr>
              <w:pStyle w:val="18"/>
            </w:pPr>
            <w:r>
              <w:t>74.22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61.00</w:t>
            </w:r>
          </w:p>
        </w:tc>
        <w:tc>
          <w:tcPr>
            <w:tcW w:w="1361" w:type="dxa"/>
            <w:vAlign w:val="center"/>
          </w:tcPr>
          <w:p>
            <w:pPr>
              <w:pStyle w:val="14"/>
            </w:pPr>
            <w:r>
              <w:t>61.00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20129</w:t>
            </w:r>
          </w:p>
        </w:tc>
        <w:tc>
          <w:tcPr>
            <w:tcW w:w="4535" w:type="dxa"/>
            <w:vAlign w:val="center"/>
          </w:tcPr>
          <w:p>
            <w:pPr>
              <w:pStyle w:val="15"/>
            </w:pPr>
            <w:r>
              <w:t>群众团体事务</w:t>
            </w:r>
          </w:p>
        </w:tc>
        <w:tc>
          <w:tcPr>
            <w:tcW w:w="1361" w:type="dxa"/>
            <w:vAlign w:val="center"/>
          </w:tcPr>
          <w:p>
            <w:pPr>
              <w:pStyle w:val="14"/>
            </w:pPr>
            <w:r>
              <w:t>61.00</w:t>
            </w:r>
          </w:p>
        </w:tc>
        <w:tc>
          <w:tcPr>
            <w:tcW w:w="1361" w:type="dxa"/>
            <w:vAlign w:val="center"/>
          </w:tcPr>
          <w:p>
            <w:pPr>
              <w:pStyle w:val="14"/>
            </w:pPr>
            <w:r>
              <w:t>61.00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2012901</w:t>
            </w:r>
          </w:p>
        </w:tc>
        <w:tc>
          <w:tcPr>
            <w:tcW w:w="4535" w:type="dxa"/>
            <w:vAlign w:val="center"/>
          </w:tcPr>
          <w:p>
            <w:pPr>
              <w:pStyle w:val="15"/>
            </w:pPr>
            <w:r>
              <w:t>行政运行</w:t>
            </w:r>
          </w:p>
        </w:tc>
        <w:tc>
          <w:tcPr>
            <w:tcW w:w="1361" w:type="dxa"/>
            <w:vAlign w:val="center"/>
          </w:tcPr>
          <w:p>
            <w:pPr>
              <w:pStyle w:val="14"/>
            </w:pPr>
            <w:r>
              <w:t>61.00</w:t>
            </w:r>
          </w:p>
        </w:tc>
        <w:tc>
          <w:tcPr>
            <w:tcW w:w="1361" w:type="dxa"/>
            <w:vAlign w:val="center"/>
          </w:tcPr>
          <w:p>
            <w:pPr>
              <w:pStyle w:val="14"/>
            </w:pPr>
            <w:r>
              <w:t>61.00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6.15</w:t>
            </w:r>
          </w:p>
        </w:tc>
        <w:tc>
          <w:tcPr>
            <w:tcW w:w="1361" w:type="dxa"/>
            <w:vAlign w:val="center"/>
          </w:tcPr>
          <w:p>
            <w:pPr>
              <w:pStyle w:val="14"/>
            </w:pPr>
            <w:r>
              <w:t>6.15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6.00</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6.00</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20827</w:t>
            </w:r>
          </w:p>
        </w:tc>
        <w:tc>
          <w:tcPr>
            <w:tcW w:w="4535" w:type="dxa"/>
            <w:vAlign w:val="center"/>
          </w:tcPr>
          <w:p>
            <w:pPr>
              <w:pStyle w:val="15"/>
            </w:pPr>
            <w:r>
              <w:t>财政对其他社会保险基金的补助</w:t>
            </w:r>
          </w:p>
        </w:tc>
        <w:tc>
          <w:tcPr>
            <w:tcW w:w="1361" w:type="dxa"/>
            <w:vAlign w:val="center"/>
          </w:tcPr>
          <w:p>
            <w:pPr>
              <w:pStyle w:val="14"/>
            </w:pPr>
            <w:r>
              <w:t>0.15</w:t>
            </w:r>
          </w:p>
        </w:tc>
        <w:tc>
          <w:tcPr>
            <w:tcW w:w="1361" w:type="dxa"/>
            <w:vAlign w:val="center"/>
          </w:tcPr>
          <w:p>
            <w:pPr>
              <w:pStyle w:val="14"/>
            </w:pPr>
            <w:r>
              <w:t>0.15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2082702</w:t>
            </w:r>
          </w:p>
        </w:tc>
        <w:tc>
          <w:tcPr>
            <w:tcW w:w="4535" w:type="dxa"/>
            <w:vAlign w:val="center"/>
          </w:tcPr>
          <w:p>
            <w:pPr>
              <w:pStyle w:val="15"/>
            </w:pPr>
            <w:r>
              <w:t>财政对工伤保险基金的补助</w:t>
            </w:r>
          </w:p>
        </w:tc>
        <w:tc>
          <w:tcPr>
            <w:tcW w:w="1361" w:type="dxa"/>
            <w:vAlign w:val="center"/>
          </w:tcPr>
          <w:p>
            <w:pPr>
              <w:pStyle w:val="14"/>
            </w:pPr>
            <w:r>
              <w:t>0.15</w:t>
            </w:r>
          </w:p>
        </w:tc>
        <w:tc>
          <w:tcPr>
            <w:tcW w:w="1361" w:type="dxa"/>
            <w:vAlign w:val="center"/>
          </w:tcPr>
          <w:p>
            <w:pPr>
              <w:pStyle w:val="14"/>
            </w:pPr>
            <w:r>
              <w:t>0.15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2.11</w:t>
            </w:r>
          </w:p>
        </w:tc>
        <w:tc>
          <w:tcPr>
            <w:tcW w:w="1361" w:type="dxa"/>
            <w:vAlign w:val="center"/>
          </w:tcPr>
          <w:p>
            <w:pPr>
              <w:pStyle w:val="14"/>
            </w:pPr>
            <w:r>
              <w:t>2.11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2.11</w:t>
            </w:r>
          </w:p>
        </w:tc>
        <w:tc>
          <w:tcPr>
            <w:tcW w:w="1361" w:type="dxa"/>
            <w:vAlign w:val="center"/>
          </w:tcPr>
          <w:p>
            <w:pPr>
              <w:pStyle w:val="14"/>
            </w:pPr>
            <w:r>
              <w:t>2.11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2.11</w:t>
            </w:r>
          </w:p>
        </w:tc>
        <w:tc>
          <w:tcPr>
            <w:tcW w:w="1361" w:type="dxa"/>
            <w:vAlign w:val="center"/>
          </w:tcPr>
          <w:p>
            <w:pPr>
              <w:pStyle w:val="14"/>
            </w:pPr>
            <w:r>
              <w:t>2.11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4.96</w:t>
            </w:r>
          </w:p>
        </w:tc>
        <w:tc>
          <w:tcPr>
            <w:tcW w:w="1361" w:type="dxa"/>
            <w:vAlign w:val="center"/>
          </w:tcPr>
          <w:p>
            <w:pPr>
              <w:pStyle w:val="14"/>
            </w:pPr>
            <w:r>
              <w:t>4.96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4.96</w:t>
            </w:r>
          </w:p>
        </w:tc>
        <w:tc>
          <w:tcPr>
            <w:tcW w:w="1361" w:type="dxa"/>
            <w:vAlign w:val="center"/>
          </w:tcPr>
          <w:p>
            <w:pPr>
              <w:pStyle w:val="14"/>
            </w:pPr>
            <w:r>
              <w:t>4.96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4.96</w:t>
            </w:r>
          </w:p>
        </w:tc>
        <w:tc>
          <w:tcPr>
            <w:tcW w:w="1361" w:type="dxa"/>
            <w:vAlign w:val="center"/>
          </w:tcPr>
          <w:p>
            <w:pPr>
              <w:pStyle w:val="14"/>
            </w:pPr>
            <w:r>
              <w:t>4.96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260012中国共产主义青年团廊坊市广阳区委员会</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74.22</w:t>
            </w:r>
          </w:p>
        </w:tc>
        <w:tc>
          <w:tcPr>
            <w:tcW w:w="3402" w:type="dxa"/>
            <w:vAlign w:val="center"/>
          </w:tcPr>
          <w:p>
            <w:pPr>
              <w:pStyle w:val="15"/>
            </w:pPr>
            <w:r>
              <w:t>一、一般公共服务支出</w:t>
            </w:r>
          </w:p>
        </w:tc>
        <w:tc>
          <w:tcPr>
            <w:tcW w:w="1474" w:type="dxa"/>
            <w:vAlign w:val="center"/>
          </w:tcPr>
          <w:p>
            <w:pPr>
              <w:pStyle w:val="14"/>
            </w:pPr>
            <w:r>
              <w:t>61.00</w:t>
            </w:r>
          </w:p>
        </w:tc>
        <w:tc>
          <w:tcPr>
            <w:tcW w:w="1474" w:type="dxa"/>
            <w:vAlign w:val="center"/>
          </w:tcPr>
          <w:p>
            <w:pPr>
              <w:pStyle w:val="14"/>
            </w:pPr>
            <w:r>
              <w:t>61.00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6.15</w:t>
            </w:r>
          </w:p>
        </w:tc>
        <w:tc>
          <w:tcPr>
            <w:tcW w:w="1474" w:type="dxa"/>
            <w:vAlign w:val="center"/>
          </w:tcPr>
          <w:p>
            <w:pPr>
              <w:pStyle w:val="14"/>
            </w:pPr>
            <w:r>
              <w:t>6.15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2.11</w:t>
            </w:r>
          </w:p>
        </w:tc>
        <w:tc>
          <w:tcPr>
            <w:tcW w:w="1474" w:type="dxa"/>
            <w:vAlign w:val="center"/>
          </w:tcPr>
          <w:p>
            <w:pPr>
              <w:pStyle w:val="14"/>
            </w:pPr>
            <w:r>
              <w:t>2.11</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4.96</w:t>
            </w:r>
          </w:p>
        </w:tc>
        <w:tc>
          <w:tcPr>
            <w:tcW w:w="1474" w:type="dxa"/>
            <w:vAlign w:val="center"/>
          </w:tcPr>
          <w:p>
            <w:pPr>
              <w:pStyle w:val="14"/>
            </w:pPr>
            <w:r>
              <w:t>4.96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74.22</w:t>
            </w:r>
          </w:p>
        </w:tc>
        <w:tc>
          <w:tcPr>
            <w:tcW w:w="3402" w:type="dxa"/>
            <w:vAlign w:val="center"/>
          </w:tcPr>
          <w:p>
            <w:pPr>
              <w:pStyle w:val="17"/>
            </w:pPr>
            <w:r>
              <w:t>本年支出合计</w:t>
            </w:r>
          </w:p>
        </w:tc>
        <w:tc>
          <w:tcPr>
            <w:tcW w:w="1474" w:type="dxa"/>
            <w:vAlign w:val="center"/>
          </w:tcPr>
          <w:p>
            <w:pPr>
              <w:pStyle w:val="18"/>
            </w:pPr>
            <w:r>
              <w:t>74.22</w:t>
            </w:r>
          </w:p>
        </w:tc>
        <w:tc>
          <w:tcPr>
            <w:tcW w:w="1474" w:type="dxa"/>
            <w:vAlign w:val="center"/>
          </w:tcPr>
          <w:p>
            <w:pPr>
              <w:pStyle w:val="18"/>
            </w:pPr>
            <w:r>
              <w:t>74.22</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74.22</w:t>
            </w:r>
          </w:p>
        </w:tc>
        <w:tc>
          <w:tcPr>
            <w:tcW w:w="3402" w:type="dxa"/>
            <w:vAlign w:val="center"/>
          </w:tcPr>
          <w:p>
            <w:pPr>
              <w:pStyle w:val="17"/>
            </w:pPr>
            <w:r>
              <w:t>支出总计</w:t>
            </w:r>
          </w:p>
        </w:tc>
        <w:tc>
          <w:tcPr>
            <w:tcW w:w="1474" w:type="dxa"/>
            <w:vAlign w:val="center"/>
          </w:tcPr>
          <w:p>
            <w:pPr>
              <w:pStyle w:val="18"/>
            </w:pPr>
            <w:r>
              <w:t>74.22</w:t>
            </w:r>
          </w:p>
        </w:tc>
        <w:tc>
          <w:tcPr>
            <w:tcW w:w="1474" w:type="dxa"/>
            <w:vAlign w:val="center"/>
          </w:tcPr>
          <w:p>
            <w:pPr>
              <w:pStyle w:val="18"/>
            </w:pPr>
            <w:r>
              <w:t>74.22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260012中国共产主义青年团廊坊市广阳区委员会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74.22</w:t>
            </w:r>
          </w:p>
        </w:tc>
        <w:tc>
          <w:tcPr>
            <w:tcW w:w="2551" w:type="dxa"/>
            <w:vAlign w:val="center"/>
          </w:tcPr>
          <w:p>
            <w:pPr>
              <w:pStyle w:val="18"/>
            </w:pPr>
            <w:r>
              <w:t>74.22</w:t>
            </w:r>
          </w:p>
        </w:tc>
        <w:tc>
          <w:tcPr>
            <w:tcW w:w="255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61.00</w:t>
            </w:r>
          </w:p>
        </w:tc>
        <w:tc>
          <w:tcPr>
            <w:tcW w:w="2551" w:type="dxa"/>
            <w:vAlign w:val="center"/>
          </w:tcPr>
          <w:p>
            <w:pPr>
              <w:pStyle w:val="14"/>
            </w:pPr>
            <w:r>
              <w:t>61.00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20129</w:t>
            </w:r>
          </w:p>
        </w:tc>
        <w:tc>
          <w:tcPr>
            <w:tcW w:w="4535" w:type="dxa"/>
            <w:vAlign w:val="center"/>
          </w:tcPr>
          <w:p>
            <w:pPr>
              <w:pStyle w:val="15"/>
            </w:pPr>
            <w:r>
              <w:t>群众团体事务</w:t>
            </w:r>
          </w:p>
        </w:tc>
        <w:tc>
          <w:tcPr>
            <w:tcW w:w="2551" w:type="dxa"/>
            <w:vAlign w:val="center"/>
          </w:tcPr>
          <w:p>
            <w:pPr>
              <w:pStyle w:val="14"/>
            </w:pPr>
            <w:r>
              <w:t>61.00</w:t>
            </w:r>
          </w:p>
        </w:tc>
        <w:tc>
          <w:tcPr>
            <w:tcW w:w="2551" w:type="dxa"/>
            <w:vAlign w:val="center"/>
          </w:tcPr>
          <w:p>
            <w:pPr>
              <w:pStyle w:val="14"/>
            </w:pPr>
            <w:r>
              <w:t>61.00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2012901</w:t>
            </w:r>
          </w:p>
        </w:tc>
        <w:tc>
          <w:tcPr>
            <w:tcW w:w="4535" w:type="dxa"/>
            <w:vAlign w:val="center"/>
          </w:tcPr>
          <w:p>
            <w:pPr>
              <w:pStyle w:val="15"/>
            </w:pPr>
            <w:r>
              <w:t>行政运行</w:t>
            </w:r>
          </w:p>
        </w:tc>
        <w:tc>
          <w:tcPr>
            <w:tcW w:w="2551" w:type="dxa"/>
            <w:vAlign w:val="center"/>
          </w:tcPr>
          <w:p>
            <w:pPr>
              <w:pStyle w:val="14"/>
            </w:pPr>
            <w:r>
              <w:t>61.00</w:t>
            </w:r>
          </w:p>
        </w:tc>
        <w:tc>
          <w:tcPr>
            <w:tcW w:w="2551" w:type="dxa"/>
            <w:vAlign w:val="center"/>
          </w:tcPr>
          <w:p>
            <w:pPr>
              <w:pStyle w:val="14"/>
            </w:pPr>
            <w:r>
              <w:t>61.00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6.15</w:t>
            </w:r>
          </w:p>
        </w:tc>
        <w:tc>
          <w:tcPr>
            <w:tcW w:w="2551" w:type="dxa"/>
            <w:vAlign w:val="center"/>
          </w:tcPr>
          <w:p>
            <w:pPr>
              <w:pStyle w:val="14"/>
            </w:pPr>
            <w:r>
              <w:t>6.15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6.00</w:t>
            </w:r>
          </w:p>
        </w:tc>
        <w:tc>
          <w:tcPr>
            <w:tcW w:w="2551" w:type="dxa"/>
            <w:vAlign w:val="center"/>
          </w:tcPr>
          <w:p>
            <w:pPr>
              <w:pStyle w:val="14"/>
            </w:pPr>
            <w:r>
              <w:t>6.00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6.00</w:t>
            </w:r>
          </w:p>
        </w:tc>
        <w:tc>
          <w:tcPr>
            <w:tcW w:w="2551" w:type="dxa"/>
            <w:vAlign w:val="center"/>
          </w:tcPr>
          <w:p>
            <w:pPr>
              <w:pStyle w:val="14"/>
            </w:pPr>
            <w:r>
              <w:t>6.00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0.15</w:t>
            </w:r>
          </w:p>
        </w:tc>
        <w:tc>
          <w:tcPr>
            <w:tcW w:w="2551" w:type="dxa"/>
            <w:vAlign w:val="center"/>
          </w:tcPr>
          <w:p>
            <w:pPr>
              <w:pStyle w:val="14"/>
            </w:pPr>
            <w:r>
              <w:t>0.15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0.15</w:t>
            </w:r>
          </w:p>
        </w:tc>
        <w:tc>
          <w:tcPr>
            <w:tcW w:w="2551" w:type="dxa"/>
            <w:vAlign w:val="center"/>
          </w:tcPr>
          <w:p>
            <w:pPr>
              <w:pStyle w:val="14"/>
            </w:pPr>
            <w:r>
              <w:t>0.15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2.11</w:t>
            </w:r>
          </w:p>
        </w:tc>
        <w:tc>
          <w:tcPr>
            <w:tcW w:w="2551" w:type="dxa"/>
            <w:vAlign w:val="center"/>
          </w:tcPr>
          <w:p>
            <w:pPr>
              <w:pStyle w:val="14"/>
            </w:pPr>
            <w:r>
              <w:t>2.11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2.11</w:t>
            </w:r>
          </w:p>
        </w:tc>
        <w:tc>
          <w:tcPr>
            <w:tcW w:w="2551" w:type="dxa"/>
            <w:vAlign w:val="center"/>
          </w:tcPr>
          <w:p>
            <w:pPr>
              <w:pStyle w:val="14"/>
            </w:pPr>
            <w:r>
              <w:t>2.11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2.11</w:t>
            </w:r>
          </w:p>
        </w:tc>
        <w:tc>
          <w:tcPr>
            <w:tcW w:w="2551" w:type="dxa"/>
            <w:vAlign w:val="center"/>
          </w:tcPr>
          <w:p>
            <w:pPr>
              <w:pStyle w:val="14"/>
            </w:pPr>
            <w:r>
              <w:t>2.11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4.96</w:t>
            </w:r>
          </w:p>
        </w:tc>
        <w:tc>
          <w:tcPr>
            <w:tcW w:w="2551" w:type="dxa"/>
            <w:vAlign w:val="center"/>
          </w:tcPr>
          <w:p>
            <w:pPr>
              <w:pStyle w:val="14"/>
            </w:pPr>
            <w:r>
              <w:t>4.96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4.96</w:t>
            </w:r>
          </w:p>
        </w:tc>
        <w:tc>
          <w:tcPr>
            <w:tcW w:w="2551" w:type="dxa"/>
            <w:vAlign w:val="center"/>
          </w:tcPr>
          <w:p>
            <w:pPr>
              <w:pStyle w:val="14"/>
            </w:pPr>
            <w:r>
              <w:t>4.96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4.96</w:t>
            </w:r>
          </w:p>
        </w:tc>
        <w:tc>
          <w:tcPr>
            <w:tcW w:w="2551" w:type="dxa"/>
            <w:vAlign w:val="center"/>
          </w:tcPr>
          <w:p>
            <w:pPr>
              <w:pStyle w:val="14"/>
            </w:pPr>
            <w:r>
              <w:t>4.96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260012中国共产主义青年团廊坊市广阳区委员会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74.22</w:t>
            </w:r>
          </w:p>
        </w:tc>
        <w:tc>
          <w:tcPr>
            <w:tcW w:w="2551" w:type="dxa"/>
            <w:vAlign w:val="center"/>
          </w:tcPr>
          <w:p>
            <w:pPr>
              <w:pStyle w:val="18"/>
            </w:pPr>
            <w:r>
              <w:t>65.08</w:t>
            </w:r>
          </w:p>
        </w:tc>
        <w:tc>
          <w:tcPr>
            <w:tcW w:w="2551" w:type="dxa"/>
            <w:vAlign w:val="center"/>
          </w:tcPr>
          <w:p>
            <w:pPr>
              <w:pStyle w:val="18"/>
            </w:pPr>
            <w:r>
              <w:t>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65.08</w:t>
            </w:r>
          </w:p>
        </w:tc>
        <w:tc>
          <w:tcPr>
            <w:tcW w:w="2551" w:type="dxa"/>
            <w:vAlign w:val="center"/>
          </w:tcPr>
          <w:p>
            <w:pPr>
              <w:pStyle w:val="14"/>
            </w:pPr>
            <w:r>
              <w:t>65.08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18.94</w:t>
            </w:r>
          </w:p>
        </w:tc>
        <w:tc>
          <w:tcPr>
            <w:tcW w:w="2551" w:type="dxa"/>
            <w:vAlign w:val="center"/>
          </w:tcPr>
          <w:p>
            <w:pPr>
              <w:pStyle w:val="14"/>
            </w:pPr>
            <w:r>
              <w:t>18.94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17.23</w:t>
            </w:r>
          </w:p>
        </w:tc>
        <w:tc>
          <w:tcPr>
            <w:tcW w:w="2551" w:type="dxa"/>
            <w:vAlign w:val="center"/>
          </w:tcPr>
          <w:p>
            <w:pPr>
              <w:pStyle w:val="14"/>
            </w:pPr>
            <w:r>
              <w:t>17.23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9.75</w:t>
            </w:r>
          </w:p>
        </w:tc>
        <w:tc>
          <w:tcPr>
            <w:tcW w:w="2551" w:type="dxa"/>
            <w:vAlign w:val="center"/>
          </w:tcPr>
          <w:p>
            <w:pPr>
              <w:pStyle w:val="14"/>
            </w:pPr>
            <w:r>
              <w:t>9.75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5.94</w:t>
            </w:r>
          </w:p>
        </w:tc>
        <w:tc>
          <w:tcPr>
            <w:tcW w:w="2551" w:type="dxa"/>
            <w:vAlign w:val="center"/>
          </w:tcPr>
          <w:p>
            <w:pPr>
              <w:pStyle w:val="14"/>
            </w:pPr>
            <w:r>
              <w:t>5.94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6.00</w:t>
            </w:r>
          </w:p>
        </w:tc>
        <w:tc>
          <w:tcPr>
            <w:tcW w:w="2551" w:type="dxa"/>
            <w:vAlign w:val="center"/>
          </w:tcPr>
          <w:p>
            <w:pPr>
              <w:pStyle w:val="14"/>
            </w:pPr>
            <w:r>
              <w:t>6.00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2.11</w:t>
            </w:r>
          </w:p>
        </w:tc>
        <w:tc>
          <w:tcPr>
            <w:tcW w:w="2551" w:type="dxa"/>
            <w:vAlign w:val="center"/>
          </w:tcPr>
          <w:p>
            <w:pPr>
              <w:pStyle w:val="14"/>
            </w:pPr>
            <w:r>
              <w:t>2.11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0.15</w:t>
            </w:r>
          </w:p>
        </w:tc>
        <w:tc>
          <w:tcPr>
            <w:tcW w:w="2551" w:type="dxa"/>
            <w:vAlign w:val="center"/>
          </w:tcPr>
          <w:p>
            <w:pPr>
              <w:pStyle w:val="14"/>
            </w:pPr>
            <w:r>
              <w:t>0.15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4.96</w:t>
            </w:r>
          </w:p>
        </w:tc>
        <w:tc>
          <w:tcPr>
            <w:tcW w:w="2551" w:type="dxa"/>
            <w:vAlign w:val="center"/>
          </w:tcPr>
          <w:p>
            <w:pPr>
              <w:pStyle w:val="14"/>
            </w:pPr>
            <w:r>
              <w:t>4.96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9.14</w:t>
            </w:r>
          </w:p>
        </w:tc>
        <w:tc>
          <w:tcPr>
            <w:tcW w:w="2551" w:type="dxa"/>
            <w:vAlign w:val="center"/>
          </w:tcPr>
          <w:p>
            <w:pPr>
              <w:pStyle w:val="14"/>
            </w:pPr>
          </w:p>
        </w:tc>
        <w:tc>
          <w:tcPr>
            <w:tcW w:w="2551" w:type="dxa"/>
            <w:vAlign w:val="center"/>
          </w:tcPr>
          <w:p>
            <w:pPr>
              <w:pStyle w:val="14"/>
            </w:pPr>
            <w:r>
              <w:t>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0.64</w:t>
            </w:r>
          </w:p>
        </w:tc>
        <w:tc>
          <w:tcPr>
            <w:tcW w:w="2551" w:type="dxa"/>
            <w:vAlign w:val="center"/>
          </w:tcPr>
          <w:p>
            <w:pPr>
              <w:pStyle w:val="14"/>
            </w:pPr>
          </w:p>
        </w:tc>
        <w:tc>
          <w:tcPr>
            <w:tcW w:w="2551" w:type="dxa"/>
            <w:vAlign w:val="center"/>
          </w:tcPr>
          <w:p>
            <w:pPr>
              <w:pStyle w:val="14"/>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0.05</w:t>
            </w:r>
          </w:p>
        </w:tc>
        <w:tc>
          <w:tcPr>
            <w:tcW w:w="2551" w:type="dxa"/>
            <w:vAlign w:val="center"/>
          </w:tcPr>
          <w:p>
            <w:pPr>
              <w:pStyle w:val="14"/>
            </w:pPr>
          </w:p>
        </w:tc>
        <w:tc>
          <w:tcPr>
            <w:tcW w:w="2551" w:type="dxa"/>
            <w:vAlign w:val="center"/>
          </w:tcPr>
          <w:p>
            <w:pPr>
              <w:pStyle w:val="14"/>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0.13</w:t>
            </w:r>
          </w:p>
        </w:tc>
        <w:tc>
          <w:tcPr>
            <w:tcW w:w="2551" w:type="dxa"/>
            <w:vAlign w:val="center"/>
          </w:tcPr>
          <w:p>
            <w:pPr>
              <w:pStyle w:val="14"/>
            </w:pPr>
          </w:p>
        </w:tc>
        <w:tc>
          <w:tcPr>
            <w:tcW w:w="2551" w:type="dxa"/>
            <w:vAlign w:val="center"/>
          </w:tcPr>
          <w:p>
            <w:pPr>
              <w:pStyle w:val="14"/>
            </w:pPr>
            <w:r>
              <w:t>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0.36</w:t>
            </w:r>
          </w:p>
        </w:tc>
        <w:tc>
          <w:tcPr>
            <w:tcW w:w="2551" w:type="dxa"/>
            <w:vAlign w:val="center"/>
          </w:tcPr>
          <w:p>
            <w:pPr>
              <w:pStyle w:val="14"/>
            </w:pPr>
          </w:p>
        </w:tc>
        <w:tc>
          <w:tcPr>
            <w:tcW w:w="2551" w:type="dxa"/>
            <w:vAlign w:val="center"/>
          </w:tcPr>
          <w:p>
            <w:pPr>
              <w:pStyle w:val="14"/>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2.04</w:t>
            </w:r>
          </w:p>
        </w:tc>
        <w:tc>
          <w:tcPr>
            <w:tcW w:w="2551" w:type="dxa"/>
            <w:vAlign w:val="center"/>
          </w:tcPr>
          <w:p>
            <w:pPr>
              <w:pStyle w:val="14"/>
            </w:pPr>
          </w:p>
        </w:tc>
        <w:tc>
          <w:tcPr>
            <w:tcW w:w="2551" w:type="dxa"/>
            <w:vAlign w:val="center"/>
          </w:tcPr>
          <w:p>
            <w:pPr>
              <w:pStyle w:val="14"/>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0.23</w:t>
            </w:r>
          </w:p>
        </w:tc>
        <w:tc>
          <w:tcPr>
            <w:tcW w:w="2551" w:type="dxa"/>
            <w:vAlign w:val="center"/>
          </w:tcPr>
          <w:p>
            <w:pPr>
              <w:pStyle w:val="14"/>
            </w:pPr>
          </w:p>
        </w:tc>
        <w:tc>
          <w:tcPr>
            <w:tcW w:w="2551" w:type="dxa"/>
            <w:vAlign w:val="center"/>
          </w:tcPr>
          <w:p>
            <w:pPr>
              <w:pStyle w:val="14"/>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0.64</w:t>
            </w:r>
          </w:p>
        </w:tc>
        <w:tc>
          <w:tcPr>
            <w:tcW w:w="2551" w:type="dxa"/>
            <w:vAlign w:val="center"/>
          </w:tcPr>
          <w:p>
            <w:pPr>
              <w:pStyle w:val="14"/>
            </w:pPr>
          </w:p>
        </w:tc>
        <w:tc>
          <w:tcPr>
            <w:tcW w:w="2551" w:type="dxa"/>
            <w:vAlign w:val="center"/>
          </w:tcPr>
          <w:p>
            <w:pPr>
              <w:pStyle w:val="14"/>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0.04</w:t>
            </w:r>
          </w:p>
        </w:tc>
        <w:tc>
          <w:tcPr>
            <w:tcW w:w="2551" w:type="dxa"/>
            <w:vAlign w:val="center"/>
          </w:tcPr>
          <w:p>
            <w:pPr>
              <w:pStyle w:val="14"/>
            </w:pPr>
          </w:p>
        </w:tc>
        <w:tc>
          <w:tcPr>
            <w:tcW w:w="2551" w:type="dxa"/>
            <w:vAlign w:val="center"/>
          </w:tcPr>
          <w:p>
            <w:pPr>
              <w:pStyle w:val="14"/>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0.35</w:t>
            </w:r>
          </w:p>
        </w:tc>
        <w:tc>
          <w:tcPr>
            <w:tcW w:w="2551" w:type="dxa"/>
            <w:vAlign w:val="center"/>
          </w:tcPr>
          <w:p>
            <w:pPr>
              <w:pStyle w:val="14"/>
            </w:pPr>
          </w:p>
        </w:tc>
        <w:tc>
          <w:tcPr>
            <w:tcW w:w="2551" w:type="dxa"/>
            <w:vAlign w:val="center"/>
          </w:tcPr>
          <w:p>
            <w:pPr>
              <w:pStyle w:val="14"/>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0.31</w:t>
            </w:r>
          </w:p>
        </w:tc>
        <w:tc>
          <w:tcPr>
            <w:tcW w:w="2551" w:type="dxa"/>
            <w:vAlign w:val="center"/>
          </w:tcPr>
          <w:p>
            <w:pPr>
              <w:pStyle w:val="14"/>
            </w:pPr>
          </w:p>
        </w:tc>
        <w:tc>
          <w:tcPr>
            <w:tcW w:w="2551" w:type="dxa"/>
            <w:vAlign w:val="center"/>
          </w:tcPr>
          <w:p>
            <w:pPr>
              <w:pStyle w:val="14"/>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2.19</w:t>
            </w:r>
          </w:p>
        </w:tc>
        <w:tc>
          <w:tcPr>
            <w:tcW w:w="2551" w:type="dxa"/>
            <w:vAlign w:val="center"/>
          </w:tcPr>
          <w:p>
            <w:pPr>
              <w:pStyle w:val="14"/>
            </w:pPr>
          </w:p>
        </w:tc>
        <w:tc>
          <w:tcPr>
            <w:tcW w:w="2551" w:type="dxa"/>
            <w:vAlign w:val="center"/>
          </w:tcPr>
          <w:p>
            <w:pPr>
              <w:pStyle w:val="14"/>
            </w:pPr>
            <w:r>
              <w:t>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2.16</w:t>
            </w:r>
          </w:p>
        </w:tc>
        <w:tc>
          <w:tcPr>
            <w:tcW w:w="2551" w:type="dxa"/>
            <w:vAlign w:val="center"/>
          </w:tcPr>
          <w:p>
            <w:pPr>
              <w:pStyle w:val="14"/>
            </w:pPr>
          </w:p>
        </w:tc>
        <w:tc>
          <w:tcPr>
            <w:tcW w:w="2551" w:type="dxa"/>
            <w:vAlign w:val="center"/>
          </w:tcPr>
          <w:p>
            <w:pPr>
              <w:pStyle w:val="14"/>
            </w:pPr>
            <w:r>
              <w:t>2.16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260012中国共产主义青年团廊坊市广阳区委员会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260012中国共产主义青年团廊坊市广阳区委员会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260012中国共产主义青年团廊坊市广阳区委员会</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“三公”经费小计</w:t>
            </w:r>
          </w:p>
        </w:tc>
        <w:tc>
          <w:tcPr>
            <w:tcW w:w="2381" w:type="dxa"/>
            <w:vAlign w:val="center"/>
          </w:tcPr>
          <w:p>
            <w:pPr>
              <w:pStyle w:val="18"/>
            </w:pPr>
            <w:r>
              <w:t>2.19</w:t>
            </w:r>
          </w:p>
        </w:tc>
        <w:tc>
          <w:tcPr>
            <w:tcW w:w="2381" w:type="dxa"/>
            <w:vAlign w:val="center"/>
          </w:tcPr>
          <w:p>
            <w:pPr>
              <w:pStyle w:val="18"/>
            </w:pPr>
            <w:r>
              <w:t>2.19</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t>2.19</w:t>
            </w:r>
          </w:p>
        </w:tc>
        <w:tc>
          <w:tcPr>
            <w:tcW w:w="2381" w:type="dxa"/>
            <w:vAlign w:val="center"/>
          </w:tcPr>
          <w:p>
            <w:pPr>
              <w:pStyle w:val="14"/>
            </w:pPr>
            <w:r>
              <w:t>2.19</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t>2.19</w:t>
            </w:r>
          </w:p>
        </w:tc>
        <w:tc>
          <w:tcPr>
            <w:tcW w:w="2381" w:type="dxa"/>
            <w:vAlign w:val="center"/>
          </w:tcPr>
          <w:p>
            <w:pPr>
              <w:pStyle w:val="14"/>
            </w:pPr>
            <w:r>
              <w:t>2.19</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中国共产主义青年团廊坊市广阳区委员会2025年单位预算信息公开情况说明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按照《中华人民共和国预算法》、《地方预决算公开操作规程》和《关于进一步推进预算公开工作的实施意见》规定，现将中国共产主义青年团廊坊市广阳区委员会2025年单位预算公开如下：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0"/>
      </w:pPr>
      <w:r>
        <w:t>（一）行使领导全区共青团工作、领导全区少先队工作的职权，对全区青年社团组织进行指导和管理。</w:t>
      </w:r>
    </w:p>
    <w:p>
      <w:pPr>
        <w:pStyle w:val="20"/>
      </w:pPr>
      <w:r>
        <w:t>（二）参与制定广阳区的青少年事业发展规划和青少年工作方针、政策，对青少年活动阵地和青少年服务机构的建设等事务进行规划和管理。</w:t>
      </w:r>
    </w:p>
    <w:p>
      <w:pPr>
        <w:pStyle w:val="20"/>
      </w:pPr>
      <w:r>
        <w:t>（三）调查青年思想动态和青年工作状况，研究青少年运动、青少年工作理论和思想教育问题，提出相应对策，开展各种活动。</w:t>
      </w:r>
    </w:p>
    <w:p>
      <w:pPr>
        <w:pStyle w:val="20"/>
      </w:pPr>
      <w:r>
        <w:t>（四）协助区政府教育部门做好中、小学生的教育管理工作。</w:t>
      </w:r>
    </w:p>
    <w:p>
      <w:pPr>
        <w:pStyle w:val="20"/>
      </w:pPr>
      <w:r>
        <w:t>（五）在经济建设中，组织和带领青年发挥生力军和突击队作用。</w:t>
      </w:r>
    </w:p>
    <w:p>
      <w:pPr>
        <w:pStyle w:val="20"/>
      </w:pPr>
      <w:r>
        <w:t>（六）制定青年志愿者行动发展规划，做好青年志愿者行动的组织指导工作。</w:t>
      </w:r>
    </w:p>
    <w:p>
      <w:pPr>
        <w:pStyle w:val="20"/>
      </w:pPr>
      <w:r>
        <w:t>（七）会同有关部门依法维护青少年合法权益。</w:t>
      </w:r>
    </w:p>
    <w:p>
      <w:pPr>
        <w:pStyle w:val="20"/>
      </w:pPr>
      <w:r>
        <w:t>（八）承担区委、区政府和上级团的领导机关交办的有关事项。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中国共产主义青年团廊坊市广阳区委员会</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2025年预算收入74.22万元，其中：一般公共预算收入74.22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中国共产主义青年团廊坊市广阳区委员会年度单位预算中支出预算的总体情况。2025年支出预算74.22万元，其中基本支出74.22万元，包括人员经费65.08万元和日常公用经费9.14万元；项目支出0.00万元，主要为无项目支出安排。</w:t>
      </w:r>
    </w:p>
    <w:p>
      <w:pPr>
        <w:pStyle w:val="21"/>
      </w:pPr>
      <w:r>
        <w:t>3、比上年增减情况</w:t>
      </w:r>
    </w:p>
    <w:p>
      <w:pPr>
        <w:pStyle w:val="21"/>
      </w:pPr>
      <w:r>
        <w:t>2025年预算收支安排74.22万元，较2024年预算减少14.99万元，其中：基本支出减少14.99万元，主要为人员类经费支出减少。项目支出增加0.00万元，主要为无项目支出安排。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2025年，我单位机关运行经费共计安排9.14万元，主要用于日常维修、办公用房水电费、办公用房取暖费、办公用房物业管理费等日常运行支出。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2025年，我单位财政拨款“三公”经费预算安排2.19万元，其中因公出国（境）费0.00万元；公务用车购置及运维费2.19万元（其中：公务用车购置费为0.00万元，公务用车运维费2.19万元)；公务接待费0.00万元。与2024年相比增加0.00万元，增减变化的主要原因是与2024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260012中国共产主义青年团廊坊市广阳区委员会</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中国共产主义青年团廊坊市广阳区委员会上年末固定资产金额为5.56万元（详见下表）。本年度拟购置固定资产总额为0.00万元，已按要求列入政府采购预算，详见政府采购预算表。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2"/>
            </w:pPr>
            <w:r>
              <w:t>260012中国共产主义青年团廊坊市广阳区委员会</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2、车辆（台、辆）</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4、其他固定资产</w:t>
            </w:r>
          </w:p>
        </w:tc>
        <w:tc>
          <w:tcPr>
            <w:tcW w:w="2835" w:type="dxa"/>
            <w:vAlign w:val="center"/>
          </w:tcPr>
          <w:p>
            <w:pPr>
              <w:pStyle w:val="16"/>
            </w:pPr>
            <w:r>
              <w:t>20</w:t>
            </w:r>
          </w:p>
        </w:tc>
        <w:tc>
          <w:tcPr>
            <w:tcW w:w="2835" w:type="dxa"/>
            <w:vAlign w:val="center"/>
          </w:tcPr>
          <w:p>
            <w:pPr>
              <w:pStyle w:val="14"/>
            </w:pPr>
            <w:r>
              <w:t>5.56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205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192757"/>
    <w:rsid w:val="001061F0"/>
    <w:rsid w:val="00192757"/>
    <w:rsid w:val="00837711"/>
    <w:rsid w:val="00AA6918"/>
    <w:rsid w:val="30465837"/>
    <w:rsid w:val="52E83F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ascii="Times New Roman" w:hAnsi="Times New Roman" w:eastAsia="Times New Roman"/>
      <w:sz w:val="18"/>
      <w:szCs w:val="18"/>
      <w:lang w:eastAsia="uk-UA"/>
    </w:rPr>
  </w:style>
  <w:style w:type="character" w:customStyle="1" w:styleId="26">
    <w:name w:val="页脚 Char"/>
    <w:basedOn w:val="8"/>
    <w:link w:val="2"/>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526</Words>
  <Characters>3003</Characters>
  <Lines>25</Lines>
  <Paragraphs>7</Paragraphs>
  <TotalTime>5</TotalTime>
  <ScaleCrop>false</ScaleCrop>
  <LinksUpToDate>false</LinksUpToDate>
  <CharactersWithSpaces>3522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2025-03-03T14:26:00Z</dcterms:created>
  <dc:creator>lenovo001</dc:creator>
  <cp:lastModifiedBy>lenovo001</cp:lastModifiedBy>
  <dcterms:modified xsi:type="dcterms:W3CDTF">2025-03-04T06:40:42Z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334AA26540B34488AD301C74442FC98D</vt:lpwstr>
  </property>
</Properties>
</file>