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21</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22</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22</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23</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24</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433廊坊市广阳区第三幼儿园</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660.82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660.82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660.82</w:t>
            </w:r>
          </w:p>
        </w:tc>
        <w:tc>
          <w:tcPr>
            <w:tcW w:w="4535" w:type="dxa"/>
            <w:vAlign w:val="center"/>
          </w:tcPr>
          <w:p>
            <w:pPr>
              <w:pStyle w:val="18"/>
            </w:pPr>
            <w:r>
              <w:t>本年支出合计</w:t>
            </w:r>
          </w:p>
        </w:tc>
        <w:tc>
          <w:tcPr>
            <w:tcW w:w="2126" w:type="dxa"/>
            <w:vAlign w:val="center"/>
          </w:tcPr>
          <w:p>
            <w:pPr>
              <w:pStyle w:val="19"/>
            </w:pPr>
            <w:r>
              <w:t>660.82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660.82</w:t>
            </w:r>
          </w:p>
        </w:tc>
        <w:tc>
          <w:tcPr>
            <w:tcW w:w="4535" w:type="dxa"/>
            <w:vAlign w:val="center"/>
          </w:tcPr>
          <w:p>
            <w:pPr>
              <w:pStyle w:val="18"/>
            </w:pPr>
            <w:r>
              <w:t>支出总计</w:t>
            </w:r>
          </w:p>
        </w:tc>
        <w:tc>
          <w:tcPr>
            <w:tcW w:w="2126" w:type="dxa"/>
            <w:vAlign w:val="center"/>
          </w:tcPr>
          <w:p>
            <w:pPr>
              <w:pStyle w:val="19"/>
            </w:pPr>
            <w:r>
              <w:t>660.82</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433廊坊市广阳区第三幼儿园</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660.82</w:t>
            </w:r>
          </w:p>
        </w:tc>
        <w:tc>
          <w:tcPr>
            <w:tcW w:w="1134" w:type="dxa"/>
            <w:vAlign w:val="center"/>
          </w:tcPr>
          <w:p>
            <w:pPr>
              <w:pStyle w:val="19"/>
            </w:pPr>
            <w:r>
              <w:t>660.82</w:t>
            </w:r>
          </w:p>
        </w:tc>
        <w:tc>
          <w:tcPr>
            <w:tcW w:w="1134" w:type="dxa"/>
            <w:vAlign w:val="center"/>
          </w:tcPr>
          <w:p>
            <w:pPr>
              <w:pStyle w:val="19"/>
            </w:pPr>
            <w:r>
              <w:t>660.82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660.82</w:t>
            </w:r>
          </w:p>
        </w:tc>
        <w:tc>
          <w:tcPr>
            <w:tcW w:w="1134" w:type="dxa"/>
            <w:vAlign w:val="center"/>
          </w:tcPr>
          <w:p>
            <w:pPr>
              <w:pStyle w:val="15"/>
            </w:pPr>
            <w:r>
              <w:t>660.82</w:t>
            </w:r>
          </w:p>
        </w:tc>
        <w:tc>
          <w:tcPr>
            <w:tcW w:w="1134" w:type="dxa"/>
            <w:vAlign w:val="center"/>
          </w:tcPr>
          <w:p>
            <w:pPr>
              <w:pStyle w:val="15"/>
            </w:pPr>
            <w:r>
              <w:t>660.82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660.82</w:t>
            </w:r>
          </w:p>
        </w:tc>
        <w:tc>
          <w:tcPr>
            <w:tcW w:w="1134" w:type="dxa"/>
            <w:vAlign w:val="center"/>
          </w:tcPr>
          <w:p>
            <w:pPr>
              <w:pStyle w:val="15"/>
            </w:pPr>
            <w:r>
              <w:t>660.82</w:t>
            </w:r>
          </w:p>
        </w:tc>
        <w:tc>
          <w:tcPr>
            <w:tcW w:w="1134" w:type="dxa"/>
            <w:vAlign w:val="center"/>
          </w:tcPr>
          <w:p>
            <w:pPr>
              <w:pStyle w:val="15"/>
            </w:pPr>
            <w:r>
              <w:t>660.82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660.82</w:t>
            </w:r>
          </w:p>
        </w:tc>
        <w:tc>
          <w:tcPr>
            <w:tcW w:w="1134" w:type="dxa"/>
            <w:vAlign w:val="center"/>
          </w:tcPr>
          <w:p>
            <w:pPr>
              <w:pStyle w:val="15"/>
            </w:pPr>
            <w:r>
              <w:t>660.82</w:t>
            </w:r>
          </w:p>
        </w:tc>
        <w:tc>
          <w:tcPr>
            <w:tcW w:w="1134" w:type="dxa"/>
            <w:vAlign w:val="center"/>
          </w:tcPr>
          <w:p>
            <w:pPr>
              <w:pStyle w:val="15"/>
            </w:pPr>
            <w:r>
              <w:t>660.82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660.82</w:t>
            </w:r>
          </w:p>
        </w:tc>
        <w:tc>
          <w:tcPr>
            <w:tcW w:w="1361" w:type="dxa"/>
            <w:vAlign w:val="center"/>
          </w:tcPr>
          <w:p>
            <w:pPr>
              <w:pStyle w:val="19"/>
            </w:pPr>
            <w:r>
              <w:t>639.22</w:t>
            </w:r>
          </w:p>
        </w:tc>
        <w:tc>
          <w:tcPr>
            <w:tcW w:w="1361" w:type="dxa"/>
            <w:vAlign w:val="center"/>
          </w:tcPr>
          <w:p>
            <w:pPr>
              <w:pStyle w:val="19"/>
            </w:pPr>
            <w:r>
              <w:t>21.60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660.82</w:t>
            </w:r>
          </w:p>
        </w:tc>
        <w:tc>
          <w:tcPr>
            <w:tcW w:w="1361" w:type="dxa"/>
            <w:vAlign w:val="center"/>
          </w:tcPr>
          <w:p>
            <w:pPr>
              <w:pStyle w:val="15"/>
            </w:pPr>
            <w:r>
              <w:t>639.22</w:t>
            </w:r>
          </w:p>
        </w:tc>
        <w:tc>
          <w:tcPr>
            <w:tcW w:w="1361" w:type="dxa"/>
            <w:vAlign w:val="center"/>
          </w:tcPr>
          <w:p>
            <w:pPr>
              <w:pStyle w:val="15"/>
            </w:pPr>
            <w:r>
              <w:t>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660.82</w:t>
            </w:r>
          </w:p>
        </w:tc>
        <w:tc>
          <w:tcPr>
            <w:tcW w:w="1361" w:type="dxa"/>
            <w:vAlign w:val="center"/>
          </w:tcPr>
          <w:p>
            <w:pPr>
              <w:pStyle w:val="15"/>
            </w:pPr>
            <w:r>
              <w:t>639.22</w:t>
            </w:r>
          </w:p>
        </w:tc>
        <w:tc>
          <w:tcPr>
            <w:tcW w:w="1361" w:type="dxa"/>
            <w:vAlign w:val="center"/>
          </w:tcPr>
          <w:p>
            <w:pPr>
              <w:pStyle w:val="15"/>
            </w:pPr>
            <w:r>
              <w:t>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660.82</w:t>
            </w:r>
          </w:p>
        </w:tc>
        <w:tc>
          <w:tcPr>
            <w:tcW w:w="1361" w:type="dxa"/>
            <w:vAlign w:val="center"/>
          </w:tcPr>
          <w:p>
            <w:pPr>
              <w:pStyle w:val="15"/>
            </w:pPr>
            <w:r>
              <w:t>639.22</w:t>
            </w:r>
          </w:p>
        </w:tc>
        <w:tc>
          <w:tcPr>
            <w:tcW w:w="1361" w:type="dxa"/>
            <w:vAlign w:val="center"/>
          </w:tcPr>
          <w:p>
            <w:pPr>
              <w:pStyle w:val="15"/>
            </w:pPr>
            <w:r>
              <w:t>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660.82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660.82</w:t>
            </w:r>
          </w:p>
        </w:tc>
        <w:tc>
          <w:tcPr>
            <w:tcW w:w="1474" w:type="dxa"/>
            <w:vAlign w:val="center"/>
          </w:tcPr>
          <w:p>
            <w:pPr>
              <w:pStyle w:val="15"/>
            </w:pPr>
            <w:r>
              <w:t>660.82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660.82</w:t>
            </w:r>
          </w:p>
        </w:tc>
        <w:tc>
          <w:tcPr>
            <w:tcW w:w="3402" w:type="dxa"/>
            <w:vAlign w:val="center"/>
          </w:tcPr>
          <w:p>
            <w:pPr>
              <w:pStyle w:val="18"/>
            </w:pPr>
            <w:r>
              <w:t>本年支出合计</w:t>
            </w:r>
          </w:p>
        </w:tc>
        <w:tc>
          <w:tcPr>
            <w:tcW w:w="1474" w:type="dxa"/>
            <w:vAlign w:val="center"/>
          </w:tcPr>
          <w:p>
            <w:pPr>
              <w:pStyle w:val="19"/>
            </w:pPr>
            <w:r>
              <w:t>660.82</w:t>
            </w:r>
          </w:p>
        </w:tc>
        <w:tc>
          <w:tcPr>
            <w:tcW w:w="1474" w:type="dxa"/>
            <w:vAlign w:val="center"/>
          </w:tcPr>
          <w:p>
            <w:pPr>
              <w:pStyle w:val="19"/>
            </w:pPr>
            <w:r>
              <w:t>660.82</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660.82</w:t>
            </w:r>
          </w:p>
        </w:tc>
        <w:tc>
          <w:tcPr>
            <w:tcW w:w="3402" w:type="dxa"/>
            <w:vAlign w:val="center"/>
          </w:tcPr>
          <w:p>
            <w:pPr>
              <w:pStyle w:val="18"/>
            </w:pPr>
            <w:r>
              <w:t>支出总计</w:t>
            </w:r>
          </w:p>
        </w:tc>
        <w:tc>
          <w:tcPr>
            <w:tcW w:w="1474" w:type="dxa"/>
            <w:vAlign w:val="center"/>
          </w:tcPr>
          <w:p>
            <w:pPr>
              <w:pStyle w:val="19"/>
            </w:pPr>
            <w:r>
              <w:t>660.82</w:t>
            </w:r>
          </w:p>
        </w:tc>
        <w:tc>
          <w:tcPr>
            <w:tcW w:w="1474" w:type="dxa"/>
            <w:vAlign w:val="center"/>
          </w:tcPr>
          <w:p>
            <w:pPr>
              <w:pStyle w:val="19"/>
            </w:pPr>
            <w:r>
              <w:t>660.82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660.82</w:t>
            </w:r>
          </w:p>
        </w:tc>
        <w:tc>
          <w:tcPr>
            <w:tcW w:w="2551" w:type="dxa"/>
            <w:vAlign w:val="center"/>
          </w:tcPr>
          <w:p>
            <w:pPr>
              <w:pStyle w:val="19"/>
            </w:pPr>
            <w:r>
              <w:t>639.22</w:t>
            </w:r>
          </w:p>
        </w:tc>
        <w:tc>
          <w:tcPr>
            <w:tcW w:w="2551" w:type="dxa"/>
            <w:vAlign w:val="center"/>
          </w:tcPr>
          <w:p>
            <w:pPr>
              <w:pStyle w:val="19"/>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660.82</w:t>
            </w:r>
          </w:p>
        </w:tc>
        <w:tc>
          <w:tcPr>
            <w:tcW w:w="2551" w:type="dxa"/>
            <w:vAlign w:val="center"/>
          </w:tcPr>
          <w:p>
            <w:pPr>
              <w:pStyle w:val="15"/>
            </w:pPr>
            <w:r>
              <w:t>639.22</w:t>
            </w:r>
          </w:p>
        </w:tc>
        <w:tc>
          <w:tcPr>
            <w:tcW w:w="2551" w:type="dxa"/>
            <w:vAlign w:val="center"/>
          </w:tcPr>
          <w:p>
            <w:pPr>
              <w:pStyle w:val="15"/>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660.82</w:t>
            </w:r>
          </w:p>
        </w:tc>
        <w:tc>
          <w:tcPr>
            <w:tcW w:w="2551" w:type="dxa"/>
            <w:vAlign w:val="center"/>
          </w:tcPr>
          <w:p>
            <w:pPr>
              <w:pStyle w:val="15"/>
            </w:pPr>
            <w:r>
              <w:t>639.22</w:t>
            </w:r>
          </w:p>
        </w:tc>
        <w:tc>
          <w:tcPr>
            <w:tcW w:w="2551" w:type="dxa"/>
            <w:vAlign w:val="center"/>
          </w:tcPr>
          <w:p>
            <w:pPr>
              <w:pStyle w:val="15"/>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660.82</w:t>
            </w:r>
          </w:p>
        </w:tc>
        <w:tc>
          <w:tcPr>
            <w:tcW w:w="2551" w:type="dxa"/>
            <w:vAlign w:val="center"/>
          </w:tcPr>
          <w:p>
            <w:pPr>
              <w:pStyle w:val="15"/>
            </w:pPr>
            <w:r>
              <w:t>639.22</w:t>
            </w:r>
          </w:p>
        </w:tc>
        <w:tc>
          <w:tcPr>
            <w:tcW w:w="2551" w:type="dxa"/>
            <w:vAlign w:val="center"/>
          </w:tcPr>
          <w:p>
            <w:pPr>
              <w:pStyle w:val="15"/>
            </w:pPr>
            <w:r>
              <w:t>21.60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639.22</w:t>
            </w:r>
          </w:p>
        </w:tc>
        <w:tc>
          <w:tcPr>
            <w:tcW w:w="2551" w:type="dxa"/>
            <w:vAlign w:val="center"/>
          </w:tcPr>
          <w:p>
            <w:pPr>
              <w:pStyle w:val="19"/>
            </w:pPr>
            <w:r>
              <w:t>634.94</w:t>
            </w:r>
          </w:p>
        </w:tc>
        <w:tc>
          <w:tcPr>
            <w:tcW w:w="2551" w:type="dxa"/>
            <w:vAlign w:val="center"/>
          </w:tcPr>
          <w:p>
            <w:pPr>
              <w:pStyle w:val="19"/>
            </w:pPr>
            <w: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634.94</w:t>
            </w:r>
          </w:p>
        </w:tc>
        <w:tc>
          <w:tcPr>
            <w:tcW w:w="2551" w:type="dxa"/>
            <w:vAlign w:val="center"/>
          </w:tcPr>
          <w:p>
            <w:pPr>
              <w:pStyle w:val="15"/>
            </w:pPr>
            <w:r>
              <w:t>634.94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182.95</w:t>
            </w:r>
          </w:p>
        </w:tc>
        <w:tc>
          <w:tcPr>
            <w:tcW w:w="2551" w:type="dxa"/>
            <w:vAlign w:val="center"/>
          </w:tcPr>
          <w:p>
            <w:pPr>
              <w:pStyle w:val="15"/>
            </w:pPr>
            <w:r>
              <w:t>182.95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67.11</w:t>
            </w:r>
          </w:p>
        </w:tc>
        <w:tc>
          <w:tcPr>
            <w:tcW w:w="2551" w:type="dxa"/>
            <w:vAlign w:val="center"/>
          </w:tcPr>
          <w:p>
            <w:pPr>
              <w:pStyle w:val="15"/>
            </w:pPr>
            <w:r>
              <w:t>67.11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29.79</w:t>
            </w:r>
          </w:p>
        </w:tc>
        <w:tc>
          <w:tcPr>
            <w:tcW w:w="2551" w:type="dxa"/>
            <w:vAlign w:val="center"/>
          </w:tcPr>
          <w:p>
            <w:pPr>
              <w:pStyle w:val="15"/>
            </w:pPr>
            <w:r>
              <w:t>29.79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226.97</w:t>
            </w:r>
          </w:p>
        </w:tc>
        <w:tc>
          <w:tcPr>
            <w:tcW w:w="2551" w:type="dxa"/>
            <w:vAlign w:val="center"/>
          </w:tcPr>
          <w:p>
            <w:pPr>
              <w:pStyle w:val="15"/>
            </w:pPr>
            <w:r>
              <w:t>226.97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57.56</w:t>
            </w:r>
          </w:p>
        </w:tc>
        <w:tc>
          <w:tcPr>
            <w:tcW w:w="2551" w:type="dxa"/>
            <w:vAlign w:val="center"/>
          </w:tcPr>
          <w:p>
            <w:pPr>
              <w:pStyle w:val="15"/>
            </w:pPr>
            <w:r>
              <w:t>57.56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22.44</w:t>
            </w:r>
          </w:p>
        </w:tc>
        <w:tc>
          <w:tcPr>
            <w:tcW w:w="2551" w:type="dxa"/>
            <w:vAlign w:val="center"/>
          </w:tcPr>
          <w:p>
            <w:pPr>
              <w:pStyle w:val="15"/>
            </w:pPr>
            <w:r>
              <w:t>22.44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48.12</w:t>
            </w:r>
          </w:p>
        </w:tc>
        <w:tc>
          <w:tcPr>
            <w:tcW w:w="2551" w:type="dxa"/>
            <w:vAlign w:val="center"/>
          </w:tcPr>
          <w:p>
            <w:pPr>
              <w:pStyle w:val="15"/>
            </w:pPr>
            <w:r>
              <w:t>48.12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4.28</w:t>
            </w:r>
          </w:p>
        </w:tc>
        <w:tc>
          <w:tcPr>
            <w:tcW w:w="2551" w:type="dxa"/>
            <w:vAlign w:val="center"/>
          </w:tcPr>
          <w:p>
            <w:pPr>
              <w:pStyle w:val="15"/>
            </w:pPr>
          </w:p>
        </w:tc>
        <w:tc>
          <w:tcPr>
            <w:tcW w:w="2551" w:type="dxa"/>
            <w:vAlign w:val="center"/>
          </w:tcPr>
          <w:p>
            <w:pPr>
              <w:pStyle w:val="15"/>
            </w:pPr>
            <w: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3.41</w:t>
            </w:r>
          </w:p>
        </w:tc>
        <w:tc>
          <w:tcPr>
            <w:tcW w:w="2551" w:type="dxa"/>
            <w:vAlign w:val="center"/>
          </w:tcPr>
          <w:p>
            <w:pPr>
              <w:pStyle w:val="15"/>
            </w:pPr>
          </w:p>
        </w:tc>
        <w:tc>
          <w:tcPr>
            <w:tcW w:w="2551" w:type="dxa"/>
            <w:vAlign w:val="center"/>
          </w:tcPr>
          <w:p>
            <w:pPr>
              <w:pStyle w:val="15"/>
            </w:pPr>
            <w:r>
              <w:t>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0.87</w:t>
            </w:r>
          </w:p>
        </w:tc>
        <w:tc>
          <w:tcPr>
            <w:tcW w:w="2551" w:type="dxa"/>
            <w:vAlign w:val="center"/>
          </w:tcPr>
          <w:p>
            <w:pPr>
              <w:pStyle w:val="15"/>
            </w:pPr>
          </w:p>
        </w:tc>
        <w:tc>
          <w:tcPr>
            <w:tcW w:w="2551" w:type="dxa"/>
            <w:vAlign w:val="center"/>
          </w:tcPr>
          <w:p>
            <w:pPr>
              <w:pStyle w:val="15"/>
            </w:pPr>
            <w:r>
              <w:t>0.87</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433廊坊市广阳区第三幼儿园</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廊坊市广阳区第三幼儿园2025年部门预算信息公开情况说明</w:t>
      </w:r>
    </w:p>
    <w:p>
      <w:pPr>
        <w:jc w:val="center"/>
      </w:pPr>
      <w:r>
        <w:rPr>
          <w:rFonts w:ascii="方正小标宋_GBK" w:hAnsi="方正小标宋_GBK" w:eastAsia="方正小标宋_GBK" w:cs="方正小标宋_GBK"/>
          <w:color w:val="000000"/>
          <w:sz w:val="44"/>
        </w:rPr>
        <w:t>廊坊市广阳区第三幼儿园2025年部门预算信息公开情况说明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按照《中华人民共和国预算法》、《地方预决算公开操作规程》和《关于进一步推进预算公开工作的实施意见》规定，现将廊坊市广阳区第三幼儿园2025年部门预算公开如下：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（一）贯彻执行党和国家的教育方针、政策、法律法规，制定我校的长远规划和年度计划，并组织实施。</w:t>
      </w:r>
    </w:p>
    <w:p>
      <w:pPr>
        <w:pStyle w:val="21"/>
      </w:pPr>
      <w:r>
        <w:t>（二）负责教育基本信息的统计、分析。</w:t>
      </w:r>
    </w:p>
    <w:p>
      <w:pPr>
        <w:pStyle w:val="21"/>
      </w:pPr>
      <w:r>
        <w:t>（三）负责基础教育的管理。推进学前教育均衡发展和促进教育公平，全面实施素质教育。</w:t>
      </w:r>
    </w:p>
    <w:p>
      <w:pPr>
        <w:pStyle w:val="21"/>
      </w:pPr>
      <w:r>
        <w:t>（四）负责学校教师队伍的建设和管理，提高教师队伍素质。</w:t>
      </w:r>
    </w:p>
    <w:p>
      <w:pPr>
        <w:pStyle w:val="21"/>
      </w:pPr>
      <w:r>
        <w:t>（五）负责本部门教育经费的统筹管理，教育经费预决算工作，教育经费的管理和使用；统筹规划和管理学校基本建设和设施的配置及计划统计工作。</w:t>
      </w:r>
    </w:p>
    <w:p>
      <w:pPr>
        <w:pStyle w:val="21"/>
      </w:pPr>
      <w:r>
        <w:t>（六）管理学校的党建、思想政治、宣传统战和维护稳定以及德育、体育、卫生防疫与艺术教育、国防教育工作；负责学校的安全监督管理。</w:t>
      </w:r>
    </w:p>
    <w:p>
      <w:pPr>
        <w:pStyle w:val="21"/>
      </w:pPr>
      <w:r>
        <w:t>（七）负责做好学校的招生、考试工作；负责管理本校教师学历教育及考试工作。</w:t>
      </w:r>
    </w:p>
    <w:p>
      <w:pPr>
        <w:pStyle w:val="21"/>
      </w:pPr>
      <w:r>
        <w:t>（八）负责组织开展学校教育的督导评估、检查验收、质量监测等工作。</w:t>
      </w:r>
    </w:p>
    <w:p>
      <w:pPr>
        <w:pStyle w:val="21"/>
      </w:pPr>
      <w:r>
        <w:t>（九）负责学校党的政治建设、思想建设、组织建设、作风建设、纪律建设和制度建设。</w:t>
      </w:r>
    </w:p>
    <w:p>
      <w:pPr>
        <w:pStyle w:val="21"/>
      </w:pPr>
      <w:r>
        <w:t>（十）负责学校学生和教师的思想政治工作，学校思想政治队伍建设和学校校本课程教育教学。</w:t>
      </w:r>
    </w:p>
    <w:p>
      <w:pPr>
        <w:pStyle w:val="21"/>
      </w:pPr>
      <w:r>
        <w:t>（十一）负责学校安全稳定工作。</w:t>
      </w:r>
    </w:p>
    <w:p>
      <w:pPr>
        <w:pStyle w:val="21"/>
      </w:pPr>
      <w:r>
        <w:t>（十二）做好本校体育事业发展规划、全民健身计划，开展群众性体育活动。</w:t>
      </w:r>
    </w:p>
    <w:p>
      <w:pPr>
        <w:pStyle w:val="21"/>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廊坊市广阳区第三幼儿园</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按照预算管理有关规定，目前部门预算的编制实行综合预算管理，即全部收入和支出都反映在预算中。廊坊市广阳区第三幼儿园机关及所属事业单位的收支包含在部门预算中。</w:t>
      </w:r>
    </w:p>
    <w:p>
      <w:pPr>
        <w:pStyle w:val="22"/>
      </w:pPr>
      <w:r>
        <w:t>1、收入说明</w:t>
      </w:r>
    </w:p>
    <w:p>
      <w:pPr>
        <w:pStyle w:val="22"/>
      </w:pPr>
      <w:r>
        <w:t>反映本部门当年全部收入。2025年预算收入660.82万元，其中：一般公共预算收入660.82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廊坊市广阳区第三幼儿园年度部门预算中支出预算的总体情况。2025年支出预算660.82万元，其中基本支出639.22万元，包括人员经费634.94万元和日常公用经费4.28万元；项目支出21.60万元，主要为幼儿园生均公用经费。</w:t>
      </w:r>
    </w:p>
    <w:p>
      <w:pPr>
        <w:pStyle w:val="22"/>
      </w:pPr>
      <w:r>
        <w:t>3、比上年增减情况</w:t>
      </w:r>
    </w:p>
    <w:p>
      <w:pPr>
        <w:pStyle w:val="22"/>
      </w:pPr>
      <w:r>
        <w:t>2025年预算收支安排660.82万元，较2024年预算减少18.94万元，其中：基本支出减少5.85万元，主要为人员经费减少。项目支出减少13.09万元，主要为支出学前教育发展资金减少。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2025年，我部门机关运行经费共计安排4.28万元，主要用于日常维修、办公用房水电费、办公用房取暖费、办公用房物业管理费等日常运行支出。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5"/>
      </w:pPr>
    </w:p>
    <w:p>
      <w:pPr>
        <w:spacing w:line="500" w:lineRule="exact"/>
        <w:ind w:firstLine="560"/>
      </w:pPr>
      <w:r>
        <w:rPr>
          <w:rFonts w:eastAsia="方正仿宋_GBK" w:cs="Times New Roman"/>
          <w:color w:val="000000"/>
          <w:sz w:val="28"/>
        </w:rPr>
        <w:t>（二）分项绩效目标</w:t>
      </w:r>
    </w:p>
    <w:p>
      <w:pPr>
        <w:pStyle w:val="26"/>
      </w:pPr>
      <w:r>
        <w:t>1、教育教学质量</w:t>
      </w:r>
    </w:p>
    <w:p>
      <w:pPr>
        <w:pStyle w:val="26"/>
      </w:pPr>
      <w:r>
        <w:t>绩效目标: 按质按量完成教育教学方面的各项任务，稳步提升学校的教育教学质量。</w:t>
      </w:r>
    </w:p>
    <w:p>
      <w:pPr>
        <w:pStyle w:val="26"/>
      </w:pPr>
      <w:r>
        <w:t>绩效指标:学生综合素质评价优秀率达到85%,合格率达到100%。</w:t>
      </w:r>
    </w:p>
    <w:p>
      <w:pPr>
        <w:pStyle w:val="26"/>
      </w:pPr>
      <w:r>
        <w:t>2、培养高素质的教师队伍</w:t>
      </w:r>
    </w:p>
    <w:p>
      <w:pPr>
        <w:pStyle w:val="26"/>
      </w:pPr>
      <w:r>
        <w:t>绩效目标:开展制度化的教研组活动,培训学习活动,青年教师比赛课,网络继续教育培训等各类活动。</w:t>
      </w:r>
    </w:p>
    <w:p>
      <w:pPr>
        <w:pStyle w:val="26"/>
      </w:pPr>
      <w:r>
        <w:t>绩效指标:确保年度教师队伍培训率达到95%以上,有效促进教师教育教学水平的提升。</w:t>
      </w:r>
    </w:p>
    <w:p>
      <w:pPr>
        <w:pStyle w:val="26"/>
      </w:pPr>
      <w:r>
        <w:t>3、学校办学条件的发展建设</w:t>
      </w:r>
    </w:p>
    <w:p>
      <w:pPr>
        <w:pStyle w:val="26"/>
      </w:pPr>
      <w:r>
        <w:t>绩效目标:不断改善办学条件，提升学校基础设施设备的整体水平。加强学校基础设施设备的维护,确保校园安全,落实校园防火及其他安全隐患的预防工作。</w:t>
      </w:r>
    </w:p>
    <w:p>
      <w:pPr>
        <w:pStyle w:val="26"/>
      </w:pPr>
      <w:r>
        <w:t>绩效指标:确保校园各设施设备的正常运行。</w:t>
      </w:r>
    </w:p>
    <w:p>
      <w:pPr>
        <w:pStyle w:val="26"/>
      </w:pPr>
      <w:r>
        <w:t>4、推动学校思想文化建设工作</w:t>
      </w:r>
    </w:p>
    <w:p>
      <w:pPr>
        <w:pStyle w:val="26"/>
      </w:pPr>
      <w:r>
        <w:t>绩效目标:完善拓展德育队伍建设，树立全员育人观念，并取得一定成绩，形成学校、家庭、社会三位一体的教育格局。强化德育评比体制。</w:t>
      </w:r>
    </w:p>
    <w:p>
      <w:pPr>
        <w:pStyle w:val="26"/>
      </w:pPr>
      <w:r>
        <w:t>绩效指标:完善心理咨询室的建设，寓心理健康教育于教育教学工作中，开展好理论学习和个案分析。</w:t>
      </w:r>
    </w:p>
    <w:p>
      <w:pPr>
        <w:pStyle w:val="26"/>
      </w:pPr>
      <w:r>
        <w:t>5、促进学校社会影响力</w:t>
      </w:r>
    </w:p>
    <w:p>
      <w:pPr>
        <w:pStyle w:val="26"/>
      </w:pPr>
      <w:r>
        <w:t>绩效目标:办人民满意的学校。</w:t>
      </w:r>
    </w:p>
    <w:p>
      <w:pPr>
        <w:pStyle w:val="26"/>
      </w:pPr>
      <w:r>
        <w:t>绩效指标:教师、学生、家长整体满意度达到95%以上。</w:t>
      </w:r>
    </w:p>
    <w:p>
      <w:pPr>
        <w:spacing w:line="500" w:lineRule="exact"/>
        <w:ind w:firstLine="560"/>
      </w:pPr>
      <w:r>
        <w:rPr>
          <w:rFonts w:eastAsia="方正仿宋_GBK" w:cs="Times New Roman"/>
          <w:color w:val="000000"/>
          <w:sz w:val="28"/>
        </w:rPr>
        <w:t>（三）工作保障措施</w:t>
      </w:r>
    </w:p>
    <w:p>
      <w:pPr>
        <w:pStyle w:val="27"/>
      </w:pPr>
      <w:r>
        <w:t>1、成立学校监督小组，监督学校工作，强化工作落实。</w:t>
      </w:r>
    </w:p>
    <w:p>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7"/>
      </w:pPr>
      <w:r>
        <w:t>4、学校体育、卫生工作。根据《幼儿园健康体检管理办法》要求，对在校学生每年进行1次常规健康体检。</w:t>
      </w:r>
    </w:p>
    <w:p>
      <w:pPr>
        <w:pStyle w:val="27"/>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7"/>
      </w:pPr>
      <w:r>
        <w:t>6、加强政治理论学习，强化党风廉政建设。做好师德传承活动，落实老中青传帮带。弘扬办学精神。加强师德宣传与学习活动。开展形式多样、扎实有效的师德教育活动。</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7、逐步制订、完善相关制度，规范教师师德。加强校本培训和继续教育工作，提升教师能力。落实教师评价工作，完善考核机制。搭建教师发展平台。</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Layout w:type="fixed"/>
        <w:tblCellMar>
          <w:top w:w="0" w:type="dxa"/>
          <w:left w:w="0" w:type="dxa"/>
          <w:bottom w:w="0" w:type="dxa"/>
          <w:right w:w="0" w:type="dxa"/>
        </w:tblCellMar>
      </w:tblPr>
      <w:tblGrid>
        <w:gridCol w:w="1123"/>
        <w:gridCol w:w="1267"/>
        <w:gridCol w:w="1691"/>
        <w:gridCol w:w="2346"/>
        <w:gridCol w:w="4646"/>
        <w:gridCol w:w="752"/>
        <w:gridCol w:w="833"/>
        <w:gridCol w:w="1049"/>
        <w:gridCol w:w="1123"/>
      </w:tblGrid>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570" w:hRule="atLeast"/>
          <w:jc w:val="center"/>
        </w:trPr>
        <w:tc>
          <w:tcPr>
            <w:tcW w:w="5000" w:type="pct"/>
            <w:gridSpan w:val="9"/>
            <w:tcBorders>
              <w:bottom w:val="single" w:color="000000" w:themeColor="text1" w:sz="8" w:space="0"/>
              <w:tl2br w:val="nil"/>
              <w:tr2bl w:val="nil"/>
            </w:tcBorders>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42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57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79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56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88"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7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585"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42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57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79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56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PrEx>
        <w:trPr>
          <w:cantSplit/>
          <w:trHeight w:val="450" w:hRule="atLeast"/>
          <w:jc w:val="center"/>
        </w:trPr>
        <w:tc>
          <w:tcPr>
            <w:tcW w:w="37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幼儿园毕业生生合格率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幼儿园毕业生合格率</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毕业生合格率</w:t>
            </w:r>
            <w:r>
              <w:rPr>
                <w:rFonts w:ascii="Calibri" w:hAnsi="Calibri" w:cs="Calibri"/>
                <w:color w:val="000000"/>
                <w:sz w:val="22"/>
                <w:szCs w:val="22"/>
              </w:rPr>
              <w:t>100%</w:t>
            </w:r>
            <w:r>
              <w:rPr>
                <w:rFonts w:hint="eastAsia" w:ascii="宋体" w:hAnsi="宋体" w:eastAsia="宋体" w:cs="宋体"/>
                <w:color w:val="000000"/>
                <w:sz w:val="22"/>
                <w:szCs w:val="22"/>
              </w:rPr>
              <w:t>得满分，否则不得分</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岗位职责</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不低于</w:t>
            </w:r>
            <w:r>
              <w:rPr>
                <w:rFonts w:ascii="Calibri" w:hAnsi="Calibri" w:cs="Calibri"/>
                <w:color w:val="000000"/>
                <w:sz w:val="22"/>
                <w:szCs w:val="22"/>
              </w:rPr>
              <w:t>95%</w:t>
            </w:r>
            <w:r>
              <w:rPr>
                <w:rFonts w:hint="eastAsia" w:ascii="宋体" w:hAnsi="宋体" w:eastAsia="宋体" w:cs="宋体"/>
                <w:color w:val="000000"/>
                <w:sz w:val="22"/>
                <w:szCs w:val="22"/>
              </w:rPr>
              <w:t>得满分，否则不得分</w:t>
            </w:r>
            <w:r>
              <w:rPr>
                <w:rFonts w:ascii="Calibri" w:hAnsi="Calibri" w:cs="Calibri"/>
                <w:color w:val="000000"/>
                <w:sz w:val="22"/>
                <w:szCs w:val="22"/>
              </w:rPr>
              <w:t>5</w:t>
            </w:r>
            <w:r>
              <w:rPr>
                <w:rFonts w:hint="eastAsia" w:ascii="宋体" w:hAnsi="宋体" w:eastAsia="宋体" w:cs="宋体"/>
                <w:color w:val="000000"/>
                <w:sz w:val="22"/>
                <w:szCs w:val="22"/>
              </w:rPr>
              <w:t>每减少</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采购物资、建设工程合格率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采购物资、建设工程合格率</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合格率</w:t>
            </w:r>
            <w:r>
              <w:rPr>
                <w:rFonts w:ascii="Calibri" w:hAnsi="Calibri" w:cs="Calibri"/>
                <w:color w:val="000000"/>
                <w:sz w:val="22"/>
                <w:szCs w:val="22"/>
              </w:rPr>
              <w:t>100%</w:t>
            </w:r>
            <w:r>
              <w:rPr>
                <w:rFonts w:hint="eastAsia" w:ascii="宋体" w:hAnsi="宋体" w:eastAsia="宋体" w:cs="宋体"/>
                <w:color w:val="000000"/>
                <w:sz w:val="22"/>
                <w:szCs w:val="22"/>
              </w:rPr>
              <w:t>得满分，否则不得分</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质量评价标准</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及时完成得满分，否则不得分</w:t>
            </w:r>
            <w:bookmarkStart w:id="33" w:name="_GoBack"/>
            <w:bookmarkEnd w:id="33"/>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年初工作计划</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经费决算数不大于调整预算数得满分，否则不得分</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教育经费决算数不大于调整预算数</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学前教育教育高质量发展</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推动学前教育从数量扩张向质量提高转变</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学生、家长、社会对学校整体满意度达到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部门职责</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r>
        <w:tblPrEx>
          <w:tblBorders>
            <w:top w:val="single" w:color="B0C4DE" w:sz="8" w:space="0"/>
            <w:left w:val="single" w:color="B0C4DE" w:sz="8" w:space="0"/>
            <w:bottom w:val="single" w:color="B0C4DE" w:sz="8" w:space="0"/>
            <w:right w:val="single" w:color="B0C4DE" w:sz="8" w:space="0"/>
            <w:insideH w:val="single" w:color="B0C4DE" w:sz="8" w:space="0"/>
            <w:insideV w:val="single" w:color="B0C4DE"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2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57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15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1、幼儿园生均公用经费（公办幼儿园）绩效目标表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13100325P000012100197</w:t>
            </w:r>
          </w:p>
        </w:tc>
        <w:tc>
          <w:tcPr>
            <w:tcW w:w="2835" w:type="dxa"/>
            <w:vAlign w:val="center"/>
          </w:tcPr>
          <w:p>
            <w:pPr>
              <w:pStyle w:val="14"/>
            </w:pPr>
            <w:r>
              <w:t>项目名称</w:t>
            </w:r>
          </w:p>
        </w:tc>
        <w:tc>
          <w:tcPr>
            <w:tcW w:w="6095" w:type="dxa"/>
            <w:gridSpan w:val="3"/>
            <w:vAlign w:val="center"/>
          </w:tcPr>
          <w:p>
            <w:pPr>
              <w:pStyle w:val="16"/>
            </w:pPr>
            <w:r>
              <w:t>幼儿园生均公用经费（公办幼儿园）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21.60</w:t>
            </w:r>
          </w:p>
        </w:tc>
        <w:tc>
          <w:tcPr>
            <w:tcW w:w="2835" w:type="dxa"/>
            <w:vAlign w:val="center"/>
          </w:tcPr>
          <w:p>
            <w:pPr>
              <w:pStyle w:val="14"/>
            </w:pPr>
            <w:r>
              <w:t>其中：财政    资金</w:t>
            </w:r>
          </w:p>
        </w:tc>
        <w:tc>
          <w:tcPr>
            <w:tcW w:w="2551" w:type="dxa"/>
            <w:vAlign w:val="center"/>
          </w:tcPr>
          <w:p>
            <w:pPr>
              <w:pStyle w:val="16"/>
            </w:pPr>
            <w:r>
              <w:t>21.60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通过项目的开展，进一步提升办园水平，促进学前教育健康发展，办好人民满意的教育。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w:t>
            </w:r>
          </w:p>
        </w:tc>
        <w:tc>
          <w:tcPr>
            <w:tcW w:w="2835" w:type="dxa"/>
            <w:vAlign w:val="center"/>
          </w:tcPr>
          <w:p>
            <w:pPr>
              <w:pStyle w:val="17"/>
            </w:pPr>
            <w:r>
              <w:t>60%</w:t>
            </w:r>
          </w:p>
        </w:tc>
        <w:tc>
          <w:tcPr>
            <w:tcW w:w="2551" w:type="dxa"/>
            <w:vAlign w:val="center"/>
          </w:tcPr>
          <w:p>
            <w:pPr>
              <w:pStyle w:val="17"/>
            </w:pPr>
            <w:r>
              <w:t>90%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1.通过项目的开展，进一步提升办园水平，促进学前教育健康发展，办好人民满意的教育。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满足教育教学学生人数</w:t>
            </w:r>
          </w:p>
        </w:tc>
        <w:tc>
          <w:tcPr>
            <w:tcW w:w="5386" w:type="dxa"/>
            <w:vAlign w:val="center"/>
          </w:tcPr>
          <w:p>
            <w:pPr>
              <w:pStyle w:val="16"/>
            </w:pPr>
            <w:r>
              <w:t>满足教育教学学生人数</w:t>
            </w:r>
          </w:p>
        </w:tc>
        <w:tc>
          <w:tcPr>
            <w:tcW w:w="2268" w:type="dxa"/>
            <w:vAlign w:val="center"/>
          </w:tcPr>
          <w:p>
            <w:pPr>
              <w:pStyle w:val="16"/>
            </w:pPr>
            <w:r>
              <w:t>360人</w:t>
            </w:r>
          </w:p>
        </w:tc>
        <w:tc>
          <w:tcPr>
            <w:tcW w:w="1276" w:type="dxa"/>
            <w:vAlign w:val="center"/>
          </w:tcPr>
          <w:p>
            <w:pPr>
              <w:pStyle w:val="16"/>
            </w:pPr>
            <w:r>
              <w:t>实际在园幼儿人数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资金支出合规率</w:t>
            </w:r>
          </w:p>
        </w:tc>
        <w:tc>
          <w:tcPr>
            <w:tcW w:w="5386" w:type="dxa"/>
            <w:vAlign w:val="center"/>
          </w:tcPr>
          <w:p>
            <w:pPr>
              <w:pStyle w:val="16"/>
            </w:pPr>
            <w:r>
              <w:t>资金支出合规率</w:t>
            </w:r>
          </w:p>
        </w:tc>
        <w:tc>
          <w:tcPr>
            <w:tcW w:w="2268" w:type="dxa"/>
            <w:vAlign w:val="center"/>
          </w:tcPr>
          <w:p>
            <w:pPr>
              <w:pStyle w:val="16"/>
            </w:pPr>
            <w:r>
              <w:t>100%</w:t>
            </w:r>
          </w:p>
        </w:tc>
        <w:tc>
          <w:tcPr>
            <w:tcW w:w="1276" w:type="dxa"/>
            <w:vAlign w:val="center"/>
          </w:tcPr>
          <w:p>
            <w:pPr>
              <w:pStyle w:val="16"/>
            </w:pPr>
            <w:r>
              <w:t>产品和服务的使用验收情况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5386" w:type="dxa"/>
            <w:vAlign w:val="center"/>
          </w:tcPr>
          <w:p>
            <w:pPr>
              <w:pStyle w:val="16"/>
            </w:pPr>
            <w:r>
              <w:t>各项任务完成及时率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5386" w:type="dxa"/>
            <w:vAlign w:val="center"/>
          </w:tcPr>
          <w:p>
            <w:pPr>
              <w:pStyle w:val="16"/>
            </w:pPr>
            <w:r>
              <w:t>用于保障学校正常运转的项目支出成本</w:t>
            </w:r>
          </w:p>
        </w:tc>
        <w:tc>
          <w:tcPr>
            <w:tcW w:w="2268" w:type="dxa"/>
            <w:vAlign w:val="center"/>
          </w:tcPr>
          <w:p>
            <w:pPr>
              <w:pStyle w:val="16"/>
            </w:pPr>
            <w:r>
              <w:t>21.6万元</w:t>
            </w:r>
          </w:p>
        </w:tc>
        <w:tc>
          <w:tcPr>
            <w:tcW w:w="1276" w:type="dxa"/>
            <w:vAlign w:val="center"/>
          </w:tcPr>
          <w:p>
            <w:pPr>
              <w:pStyle w:val="16"/>
            </w:pPr>
            <w:r>
              <w:t>冀财教[2023]116号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学前教育高质量发展</w:t>
            </w:r>
          </w:p>
        </w:tc>
        <w:tc>
          <w:tcPr>
            <w:tcW w:w="5386" w:type="dxa"/>
            <w:vAlign w:val="center"/>
          </w:tcPr>
          <w:p>
            <w:pPr>
              <w:pStyle w:val="16"/>
            </w:pPr>
            <w:r>
              <w:t>该资金用于学校正常运转，改善办学条件，促进学前教育均衡发展及学生素质提高</w:t>
            </w:r>
          </w:p>
        </w:tc>
        <w:tc>
          <w:tcPr>
            <w:tcW w:w="2268" w:type="dxa"/>
            <w:vAlign w:val="center"/>
          </w:tcPr>
          <w:p>
            <w:pPr>
              <w:pStyle w:val="16"/>
            </w:pPr>
            <w:r>
              <w:t>改善</w:t>
            </w:r>
          </w:p>
        </w:tc>
        <w:tc>
          <w:tcPr>
            <w:tcW w:w="1276" w:type="dxa"/>
            <w:vAlign w:val="center"/>
          </w:tcPr>
          <w:p>
            <w:pPr>
              <w:pStyle w:val="16"/>
            </w:pPr>
            <w:r>
              <w:t>工作计划、工作总结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提升整体幼儿素质水平</w:t>
            </w:r>
          </w:p>
        </w:tc>
        <w:tc>
          <w:tcPr>
            <w:tcW w:w="5386" w:type="dxa"/>
            <w:vAlign w:val="center"/>
          </w:tcPr>
          <w:p>
            <w:pPr>
              <w:pStyle w:val="16"/>
            </w:pPr>
            <w:r>
              <w:t>提升整体幼儿素质水平</w:t>
            </w:r>
          </w:p>
        </w:tc>
        <w:tc>
          <w:tcPr>
            <w:tcW w:w="2268" w:type="dxa"/>
            <w:vAlign w:val="center"/>
          </w:tcPr>
          <w:p>
            <w:pPr>
              <w:pStyle w:val="16"/>
            </w:pPr>
            <w:r>
              <w:t>提升</w:t>
            </w:r>
          </w:p>
        </w:tc>
        <w:tc>
          <w:tcPr>
            <w:tcW w:w="1276" w:type="dxa"/>
            <w:vAlign w:val="center"/>
          </w:tcPr>
          <w:p>
            <w:pPr>
              <w:pStyle w:val="16"/>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在校师生满意度</w:t>
            </w:r>
          </w:p>
        </w:tc>
        <w:tc>
          <w:tcPr>
            <w:tcW w:w="5386" w:type="dxa"/>
            <w:vAlign w:val="center"/>
          </w:tcPr>
          <w:p>
            <w:pPr>
              <w:pStyle w:val="16"/>
            </w:pPr>
            <w:r>
              <w:t>在校师生满意度</w:t>
            </w:r>
          </w:p>
        </w:tc>
        <w:tc>
          <w:tcPr>
            <w:tcW w:w="2268" w:type="dxa"/>
            <w:vAlign w:val="center"/>
          </w:tcPr>
          <w:p>
            <w:pPr>
              <w:pStyle w:val="16"/>
            </w:pPr>
            <w:r>
              <w:t>≥90%</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433廊坊市广阳区第三幼儿园</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廊坊市广阳区第三幼儿园（含所属单位）上年末固定资产金额为1320.59万元（详见下表）。本年度拟购置固定资产总额为0.00万元，已按要求列入政府采购预算，详见政府采购预算表。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433廊坊市广阳区第三幼儿园</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1320.59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r>
              <w:t>4548.18</w:t>
            </w:r>
          </w:p>
        </w:tc>
        <w:tc>
          <w:tcPr>
            <w:tcW w:w="2835" w:type="dxa"/>
            <w:vAlign w:val="center"/>
          </w:tcPr>
          <w:p>
            <w:pPr>
              <w:pStyle w:val="15"/>
            </w:pPr>
            <w:r>
              <w:t>1297.52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23.08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39"/>
    <w:rsid w:val="00411D39"/>
    <w:rsid w:val="00717238"/>
    <w:rsid w:val="009D588D"/>
    <w:rsid w:val="00B36E79"/>
    <w:rsid w:val="00CB4516"/>
    <w:rsid w:val="00D73A29"/>
    <w:rsid w:val="0C76148C"/>
    <w:rsid w:val="14AF2005"/>
    <w:rsid w:val="51DE32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1513</Words>
  <Characters>8628</Characters>
  <Lines>71</Lines>
  <Paragraphs>20</Paragraphs>
  <TotalTime>1</TotalTime>
  <ScaleCrop>false</ScaleCrop>
  <LinksUpToDate>false</LinksUpToDate>
  <CharactersWithSpaces>10121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2025-03-03T10:49:00Z</dcterms:created>
  <dc:creator>lenovo001</dc:creator>
  <cp:lastModifiedBy>lenovo001</cp:lastModifiedBy>
  <dcterms:modified xsi:type="dcterms:W3CDTF">2025-03-05T01:19:36Z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56393DEB798440849F79FBAD7BAA2F28</vt:lpwstr>
  </property>
</Properties>
</file>