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p>
    <w:p>
      <w:pPr>
        <w:jc w:val="center"/>
      </w:pPr>
    </w:p>
    <w:p>
      <w:pPr>
        <w:jc w:val="center"/>
      </w:pPr>
    </w:p>
    <w:p>
      <w:pPr>
        <w:jc w:val="center"/>
        <w:rPr>
          <w:rFonts w:eastAsiaTheme="minorEastAsia"/>
          <w:lang w:eastAsia="zh-CN"/>
        </w:r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rPr>
          <w:rFonts w:eastAsiaTheme="minorEastAsia"/>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434001廊坊市广阳区第四幼儿园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379.89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379.89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379.89</w:t>
            </w:r>
          </w:p>
        </w:tc>
        <w:tc>
          <w:tcPr>
            <w:tcW w:w="4535" w:type="dxa"/>
            <w:vAlign w:val="center"/>
          </w:tcPr>
          <w:p>
            <w:pPr>
              <w:pStyle w:val="19"/>
            </w:pPr>
            <w:r>
              <w:t>本年支出合计</w:t>
            </w:r>
          </w:p>
        </w:tc>
        <w:tc>
          <w:tcPr>
            <w:tcW w:w="2126" w:type="dxa"/>
            <w:vAlign w:val="center"/>
          </w:tcPr>
          <w:p>
            <w:pPr>
              <w:pStyle w:val="20"/>
            </w:pPr>
            <w:r>
              <w:t>379.89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379.89</w:t>
            </w:r>
          </w:p>
        </w:tc>
        <w:tc>
          <w:tcPr>
            <w:tcW w:w="4535" w:type="dxa"/>
            <w:vAlign w:val="center"/>
          </w:tcPr>
          <w:p>
            <w:pPr>
              <w:pStyle w:val="19"/>
            </w:pPr>
            <w:r>
              <w:t>支出总计</w:t>
            </w:r>
          </w:p>
        </w:tc>
        <w:tc>
          <w:tcPr>
            <w:tcW w:w="2126" w:type="dxa"/>
            <w:vAlign w:val="center"/>
          </w:tcPr>
          <w:p>
            <w:pPr>
              <w:pStyle w:val="20"/>
            </w:pPr>
            <w:r>
              <w:t>379.89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434001廊坊市广阳区第四幼儿园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379.89</w:t>
            </w:r>
          </w:p>
        </w:tc>
        <w:tc>
          <w:tcPr>
            <w:tcW w:w="1134" w:type="dxa"/>
            <w:vAlign w:val="center"/>
          </w:tcPr>
          <w:p>
            <w:pPr>
              <w:pStyle w:val="20"/>
            </w:pPr>
            <w:r>
              <w:t>379.89</w:t>
            </w:r>
          </w:p>
        </w:tc>
        <w:tc>
          <w:tcPr>
            <w:tcW w:w="1134" w:type="dxa"/>
            <w:vAlign w:val="center"/>
          </w:tcPr>
          <w:p>
            <w:pPr>
              <w:pStyle w:val="20"/>
            </w:pPr>
            <w:r>
              <w:t>379.89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r>
              <w:t>379.89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434001廊坊市广阳区第四幼儿园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379.89</w:t>
            </w:r>
          </w:p>
        </w:tc>
        <w:tc>
          <w:tcPr>
            <w:tcW w:w="1361" w:type="dxa"/>
            <w:vAlign w:val="center"/>
          </w:tcPr>
          <w:p>
            <w:pPr>
              <w:pStyle w:val="20"/>
            </w:pPr>
            <w:r>
              <w:t>365.69</w:t>
            </w:r>
          </w:p>
        </w:tc>
        <w:tc>
          <w:tcPr>
            <w:tcW w:w="1361" w:type="dxa"/>
            <w:vAlign w:val="center"/>
          </w:tcPr>
          <w:p>
            <w:pPr>
              <w:pStyle w:val="20"/>
            </w:pPr>
            <w:r>
              <w:t>14.20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379.89</w:t>
            </w:r>
          </w:p>
        </w:tc>
        <w:tc>
          <w:tcPr>
            <w:tcW w:w="1361" w:type="dxa"/>
            <w:vAlign w:val="center"/>
          </w:tcPr>
          <w:p>
            <w:pPr>
              <w:pStyle w:val="16"/>
            </w:pPr>
            <w:r>
              <w:t>365.69</w:t>
            </w:r>
          </w:p>
        </w:tc>
        <w:tc>
          <w:tcPr>
            <w:tcW w:w="1361" w:type="dxa"/>
            <w:vAlign w:val="center"/>
          </w:tcPr>
          <w:p>
            <w:pPr>
              <w:pStyle w:val="16"/>
            </w:pPr>
            <w:r>
              <w:t>14.20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379.89</w:t>
            </w:r>
          </w:p>
        </w:tc>
        <w:tc>
          <w:tcPr>
            <w:tcW w:w="1361" w:type="dxa"/>
            <w:vAlign w:val="center"/>
          </w:tcPr>
          <w:p>
            <w:pPr>
              <w:pStyle w:val="16"/>
            </w:pPr>
            <w:r>
              <w:t>365.69</w:t>
            </w:r>
          </w:p>
        </w:tc>
        <w:tc>
          <w:tcPr>
            <w:tcW w:w="1361" w:type="dxa"/>
            <w:vAlign w:val="center"/>
          </w:tcPr>
          <w:p>
            <w:pPr>
              <w:pStyle w:val="16"/>
            </w:pPr>
            <w:r>
              <w:t>14.20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379.89</w:t>
            </w:r>
          </w:p>
        </w:tc>
        <w:tc>
          <w:tcPr>
            <w:tcW w:w="1361" w:type="dxa"/>
            <w:vAlign w:val="center"/>
          </w:tcPr>
          <w:p>
            <w:pPr>
              <w:pStyle w:val="16"/>
            </w:pPr>
            <w:r>
              <w:t>365.69</w:t>
            </w:r>
          </w:p>
        </w:tc>
        <w:tc>
          <w:tcPr>
            <w:tcW w:w="1361" w:type="dxa"/>
            <w:vAlign w:val="center"/>
          </w:tcPr>
          <w:p>
            <w:pPr>
              <w:pStyle w:val="16"/>
            </w:pPr>
            <w:r>
              <w:t>14.20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434001廊坊市广阳区第四幼儿园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379.89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379.89</w:t>
            </w:r>
          </w:p>
        </w:tc>
        <w:tc>
          <w:tcPr>
            <w:tcW w:w="1474" w:type="dxa"/>
            <w:vAlign w:val="center"/>
          </w:tcPr>
          <w:p>
            <w:pPr>
              <w:pStyle w:val="16"/>
            </w:pPr>
            <w:r>
              <w:t>379.89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379.89</w:t>
            </w:r>
          </w:p>
        </w:tc>
        <w:tc>
          <w:tcPr>
            <w:tcW w:w="3402" w:type="dxa"/>
            <w:vAlign w:val="center"/>
          </w:tcPr>
          <w:p>
            <w:pPr>
              <w:pStyle w:val="19"/>
            </w:pPr>
            <w:r>
              <w:t>本年支出合计</w:t>
            </w:r>
          </w:p>
        </w:tc>
        <w:tc>
          <w:tcPr>
            <w:tcW w:w="1474" w:type="dxa"/>
            <w:vAlign w:val="center"/>
          </w:tcPr>
          <w:p>
            <w:pPr>
              <w:pStyle w:val="20"/>
            </w:pPr>
            <w:r>
              <w:t>379.89</w:t>
            </w:r>
          </w:p>
        </w:tc>
        <w:tc>
          <w:tcPr>
            <w:tcW w:w="1474" w:type="dxa"/>
            <w:vAlign w:val="center"/>
          </w:tcPr>
          <w:p>
            <w:pPr>
              <w:pStyle w:val="20"/>
            </w:pPr>
            <w:r>
              <w:t>379.89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379.89</w:t>
            </w:r>
          </w:p>
        </w:tc>
        <w:tc>
          <w:tcPr>
            <w:tcW w:w="3402" w:type="dxa"/>
            <w:vAlign w:val="center"/>
          </w:tcPr>
          <w:p>
            <w:pPr>
              <w:pStyle w:val="19"/>
            </w:pPr>
            <w:r>
              <w:t>支出总计</w:t>
            </w:r>
          </w:p>
        </w:tc>
        <w:tc>
          <w:tcPr>
            <w:tcW w:w="1474" w:type="dxa"/>
            <w:vAlign w:val="center"/>
          </w:tcPr>
          <w:p>
            <w:pPr>
              <w:pStyle w:val="20"/>
            </w:pPr>
            <w:r>
              <w:t>379.89</w:t>
            </w:r>
          </w:p>
        </w:tc>
        <w:tc>
          <w:tcPr>
            <w:tcW w:w="1474" w:type="dxa"/>
            <w:vAlign w:val="center"/>
          </w:tcPr>
          <w:p>
            <w:pPr>
              <w:pStyle w:val="20"/>
            </w:pPr>
            <w:r>
              <w:t>379.89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379.89</w:t>
            </w:r>
          </w:p>
        </w:tc>
        <w:tc>
          <w:tcPr>
            <w:tcW w:w="2551" w:type="dxa"/>
            <w:vAlign w:val="center"/>
          </w:tcPr>
          <w:p>
            <w:pPr>
              <w:pStyle w:val="20"/>
            </w:pPr>
            <w:r>
              <w:t>365.69</w:t>
            </w:r>
          </w:p>
        </w:tc>
        <w:tc>
          <w:tcPr>
            <w:tcW w:w="2551" w:type="dxa"/>
            <w:vAlign w:val="center"/>
          </w:tcPr>
          <w:p>
            <w:pPr>
              <w:pStyle w:val="20"/>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379.89</w:t>
            </w:r>
          </w:p>
        </w:tc>
        <w:tc>
          <w:tcPr>
            <w:tcW w:w="2551" w:type="dxa"/>
            <w:vAlign w:val="center"/>
          </w:tcPr>
          <w:p>
            <w:pPr>
              <w:pStyle w:val="16"/>
            </w:pPr>
            <w:r>
              <w:t>365.69</w:t>
            </w:r>
          </w:p>
        </w:tc>
        <w:tc>
          <w:tcPr>
            <w:tcW w:w="2551" w:type="dxa"/>
            <w:vAlign w:val="center"/>
          </w:tcPr>
          <w:p>
            <w:pPr>
              <w:pStyle w:val="16"/>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379.89</w:t>
            </w:r>
          </w:p>
        </w:tc>
        <w:tc>
          <w:tcPr>
            <w:tcW w:w="2551" w:type="dxa"/>
            <w:vAlign w:val="center"/>
          </w:tcPr>
          <w:p>
            <w:pPr>
              <w:pStyle w:val="16"/>
            </w:pPr>
            <w:r>
              <w:t>365.69</w:t>
            </w:r>
          </w:p>
        </w:tc>
        <w:tc>
          <w:tcPr>
            <w:tcW w:w="2551" w:type="dxa"/>
            <w:vAlign w:val="center"/>
          </w:tcPr>
          <w:p>
            <w:pPr>
              <w:pStyle w:val="16"/>
            </w:pPr>
            <w:r>
              <w:t>14.20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379.89</w:t>
            </w:r>
          </w:p>
        </w:tc>
        <w:tc>
          <w:tcPr>
            <w:tcW w:w="2551" w:type="dxa"/>
            <w:vAlign w:val="center"/>
          </w:tcPr>
          <w:p>
            <w:pPr>
              <w:pStyle w:val="16"/>
            </w:pPr>
            <w:r>
              <w:t>365.69</w:t>
            </w:r>
          </w:p>
        </w:tc>
        <w:tc>
          <w:tcPr>
            <w:tcW w:w="2551" w:type="dxa"/>
            <w:vAlign w:val="center"/>
          </w:tcPr>
          <w:p>
            <w:pPr>
              <w:pStyle w:val="16"/>
            </w:pPr>
            <w:r>
              <w:t>14.20</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365.69</w:t>
            </w:r>
          </w:p>
        </w:tc>
        <w:tc>
          <w:tcPr>
            <w:tcW w:w="2551" w:type="dxa"/>
            <w:vAlign w:val="center"/>
          </w:tcPr>
          <w:p>
            <w:pPr>
              <w:pStyle w:val="20"/>
            </w:pPr>
            <w:r>
              <w:t>365.69</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365.64</w:t>
            </w:r>
          </w:p>
        </w:tc>
        <w:tc>
          <w:tcPr>
            <w:tcW w:w="2551" w:type="dxa"/>
            <w:vAlign w:val="center"/>
          </w:tcPr>
          <w:p>
            <w:pPr>
              <w:pStyle w:val="16"/>
            </w:pPr>
            <w:r>
              <w:t>365.64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92.59</w:t>
            </w:r>
          </w:p>
        </w:tc>
        <w:tc>
          <w:tcPr>
            <w:tcW w:w="2551" w:type="dxa"/>
            <w:vAlign w:val="center"/>
          </w:tcPr>
          <w:p>
            <w:pPr>
              <w:pStyle w:val="16"/>
            </w:pPr>
            <w:r>
              <w:t>92.59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37.75</w:t>
            </w:r>
          </w:p>
        </w:tc>
        <w:tc>
          <w:tcPr>
            <w:tcW w:w="2551" w:type="dxa"/>
            <w:vAlign w:val="center"/>
          </w:tcPr>
          <w:p>
            <w:pPr>
              <w:pStyle w:val="16"/>
            </w:pPr>
            <w:r>
              <w:t>37.75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53.49</w:t>
            </w:r>
          </w:p>
        </w:tc>
        <w:tc>
          <w:tcPr>
            <w:tcW w:w="2551" w:type="dxa"/>
            <w:vAlign w:val="center"/>
          </w:tcPr>
          <w:p>
            <w:pPr>
              <w:pStyle w:val="16"/>
            </w:pPr>
            <w:r>
              <w:t>53.49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104.28</w:t>
            </w:r>
          </w:p>
        </w:tc>
        <w:tc>
          <w:tcPr>
            <w:tcW w:w="2551" w:type="dxa"/>
            <w:vAlign w:val="center"/>
          </w:tcPr>
          <w:p>
            <w:pPr>
              <w:pStyle w:val="16"/>
            </w:pPr>
            <w:r>
              <w:t>104.28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34.35</w:t>
            </w:r>
          </w:p>
        </w:tc>
        <w:tc>
          <w:tcPr>
            <w:tcW w:w="2551" w:type="dxa"/>
            <w:vAlign w:val="center"/>
          </w:tcPr>
          <w:p>
            <w:pPr>
              <w:pStyle w:val="16"/>
            </w:pPr>
            <w:r>
              <w:t>34.35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12.23</w:t>
            </w:r>
          </w:p>
        </w:tc>
        <w:tc>
          <w:tcPr>
            <w:tcW w:w="2551" w:type="dxa"/>
            <w:vAlign w:val="center"/>
          </w:tcPr>
          <w:p>
            <w:pPr>
              <w:pStyle w:val="16"/>
            </w:pPr>
            <w:r>
              <w:t>12.23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1.10</w:t>
            </w:r>
          </w:p>
        </w:tc>
        <w:tc>
          <w:tcPr>
            <w:tcW w:w="2551" w:type="dxa"/>
            <w:vAlign w:val="center"/>
          </w:tcPr>
          <w:p>
            <w:pPr>
              <w:pStyle w:val="16"/>
            </w:pPr>
            <w:r>
              <w:t>1.10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28.88</w:t>
            </w:r>
          </w:p>
        </w:tc>
        <w:tc>
          <w:tcPr>
            <w:tcW w:w="2551" w:type="dxa"/>
            <w:vAlign w:val="center"/>
          </w:tcPr>
          <w:p>
            <w:pPr>
              <w:pStyle w:val="16"/>
            </w:pPr>
            <w:r>
              <w:t>28.88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0.97</w:t>
            </w:r>
          </w:p>
        </w:tc>
        <w:tc>
          <w:tcPr>
            <w:tcW w:w="2551" w:type="dxa"/>
            <w:vAlign w:val="center"/>
          </w:tcPr>
          <w:p>
            <w:pPr>
              <w:pStyle w:val="16"/>
            </w:pPr>
            <w:r>
              <w:t>0.97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434001廊坊市广阳区第四幼儿园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434001廊坊市广阳区第四幼儿园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廊坊市广阳区第四幼儿园2023年单位预算信息公开情况说明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预算法》、《地方预决算公开操作规程》和《关于进一步推进预算公开工作的实施意见》规定，现将廊坊市广阳区第四幼儿园2023年单位预算公开如下：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（一）改善办公条件，提升教育环境，开展教师培训，提高教师队伍水平</w:t>
      </w:r>
    </w:p>
    <w:p>
      <w:pPr>
        <w:pStyle w:val="30"/>
      </w:pPr>
      <w:r>
        <w:t>（二）降低幼儿辍学率 （三）改善办园条件，促进学前教育健康发展，办好人民满意的教育</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廊坊市广阳区第四幼儿园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反映本部门当年全部收入。2023年预算收入379.89万元，其中：一般公共预算收入379.89万元，基金预算收入0万元，财政专户核拨收入0万元，其他来源收入0万元，上年结转0万元。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第四幼儿园2023年度部门预算中支出预算的总体情况。2023年支出预算379.89万元，其中：基本支出365.69万元，包括人员经费365.69万元和日常公用经费0万元；项目支出14.2万元，全部为本级支出，主要为学前阶段生均公用经费项目。</w:t>
      </w:r>
    </w:p>
    <w:p>
      <w:pPr>
        <w:pStyle w:val="31"/>
      </w:pPr>
      <w:r>
        <w:t>3、比上年增减情况</w:t>
      </w:r>
    </w:p>
    <w:p>
      <w:pPr>
        <w:pStyle w:val="31"/>
      </w:pPr>
      <w:r>
        <w:t>2023年预算收支安排379.89万元，较2022年预算增加89.96万元，其中：基本支出增加365.69万元，增加原因主要为人员经费支出增加；项目支出减少275.73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 按质按量完成教育教学方面的各项任务，稳步提升学校的教育教学质量绩效指标:学生综合素质评价优秀率达到85%,合格率达到100%。</w:t>
      </w:r>
    </w:p>
    <w:p>
      <w:pPr>
        <w:pStyle w:val="27"/>
      </w:pPr>
      <w:r>
        <w:t>2、培养高素质的教师队伤</w:t>
      </w:r>
    </w:p>
    <w:p>
      <w:pPr>
        <w:pStyle w:val="27"/>
      </w:pPr>
      <w:r>
        <w:t>绩效目标:开展制度化的教研组活动,培训学习活动,青年教师比赛课,网络继续教育培训等各类活动.</w:t>
      </w:r>
    </w:p>
    <w:p>
      <w:pPr>
        <w:pStyle w:val="27"/>
      </w:pPr>
      <w:r>
        <w:t>绩效指标:确保年度教师队伤培训率达到95%以上,有效促进教师教育教学水平的提升</w:t>
      </w:r>
    </w:p>
    <w:p>
      <w:pPr>
        <w:pStyle w:val="27"/>
      </w:pPr>
      <w:r>
        <w:t>3、学校办学条件的发展建设</w:t>
      </w:r>
    </w:p>
    <w:p>
      <w:pPr>
        <w:pStyle w:val="27"/>
      </w:pPr>
      <w:r>
        <w:t>结效目标:不断改善办学条件，提升学校基础设施设备的整体水平。加强学校基础设施设备的维护,确保校园安全,落实校园防火及其他安全隐患的预防工作。绩效指标:确保校园各设施设备的正常运行。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1、成立家园监督小组，监督学校工作，强化工作落实。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49"/>
        <w:gridCol w:w="1110"/>
        <w:gridCol w:w="1701"/>
        <w:gridCol w:w="5812"/>
        <w:gridCol w:w="2268"/>
        <w:gridCol w:w="992"/>
        <w:gridCol w:w="671"/>
        <w:gridCol w:w="846"/>
        <w:gridCol w:w="78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11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81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509"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78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b/>
                <w:bCs/>
                <w:color w:val="000000"/>
              </w:rPr>
            </w:pPr>
          </w:p>
        </w:tc>
        <w:tc>
          <w:tcPr>
            <w:tcW w:w="111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812"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26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67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4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78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保障幼儿人数</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每未完成</w:t>
            </w:r>
            <w:r>
              <w:rPr>
                <w:rStyle w:val="37"/>
              </w:rPr>
              <w:t>10</w:t>
            </w:r>
            <w:r>
              <w:rPr>
                <w:rStyle w:val="36"/>
                <w:rFonts w:hint="default"/>
              </w:rPr>
              <w:t>人，扣减分值</w:t>
            </w:r>
            <w:r>
              <w:rPr>
                <w:rStyle w:val="37"/>
              </w:rPr>
              <w:t>1%</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992"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67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360</w:t>
            </w:r>
          </w:p>
        </w:tc>
        <w:tc>
          <w:tcPr>
            <w:tcW w:w="846"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实际招生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保障教学天数</w:t>
            </w:r>
          </w:p>
        </w:tc>
        <w:tc>
          <w:tcPr>
            <w:tcW w:w="5812" w:type="dxa"/>
            <w:shd w:val="clear" w:color="auto" w:fill="auto"/>
            <w:tcMar>
              <w:top w:w="15" w:type="dxa"/>
              <w:left w:w="15" w:type="dxa"/>
              <w:bottom w:w="0" w:type="dxa"/>
              <w:right w:w="15" w:type="dxa"/>
            </w:tcMar>
          </w:tcPr>
          <w:p>
            <w:pPr>
              <w:rPr>
                <w:color w:val="000000"/>
                <w:sz w:val="22"/>
                <w:szCs w:val="22"/>
              </w:rPr>
            </w:pPr>
            <w:r>
              <w:rPr>
                <w:rStyle w:val="36"/>
                <w:rFonts w:hint="default"/>
              </w:rPr>
              <w:t>每减少</w:t>
            </w:r>
            <w:r>
              <w:rPr>
                <w:rStyle w:val="37"/>
              </w:rPr>
              <w:t>10</w:t>
            </w:r>
            <w:r>
              <w:rPr>
                <w:rStyle w:val="36"/>
                <w:rFonts w:hint="default"/>
              </w:rPr>
              <w:t>天，减数量分值的</w:t>
            </w:r>
            <w:r>
              <w:rPr>
                <w:rStyle w:val="37"/>
              </w:rPr>
              <w:t>10%</w:t>
            </w:r>
            <w:r>
              <w:rPr>
                <w:rStyle w:val="36"/>
                <w:rFonts w:hint="default"/>
              </w:rPr>
              <w:t>。</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280</w:t>
            </w:r>
          </w:p>
        </w:tc>
        <w:tc>
          <w:tcPr>
            <w:tcW w:w="846"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天</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运转保障率</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每降低</w:t>
            </w:r>
            <w:r>
              <w:rPr>
                <w:rStyle w:val="37"/>
              </w:rPr>
              <w:t>5%</w:t>
            </w:r>
            <w:r>
              <w:rPr>
                <w:rStyle w:val="36"/>
                <w:rFonts w:hint="default"/>
              </w:rPr>
              <w:t>，扣标准分值的</w:t>
            </w:r>
            <w:r>
              <w:rPr>
                <w:rStyle w:val="37"/>
              </w:rPr>
              <w:t>5%</w:t>
            </w:r>
            <w:r>
              <w:rPr>
                <w:rStyle w:val="36"/>
                <w:rFonts w:hint="default"/>
              </w:rPr>
              <w:t>。</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教育教学活动考核合格率</w:t>
            </w:r>
          </w:p>
        </w:tc>
        <w:tc>
          <w:tcPr>
            <w:tcW w:w="5812" w:type="dxa"/>
            <w:shd w:val="clear" w:color="auto" w:fill="auto"/>
            <w:tcMar>
              <w:top w:w="15" w:type="dxa"/>
              <w:left w:w="15" w:type="dxa"/>
              <w:bottom w:w="0" w:type="dxa"/>
              <w:right w:w="15" w:type="dxa"/>
            </w:tcMar>
          </w:tcPr>
          <w:p>
            <w:pPr>
              <w:rPr>
                <w:color w:val="000000"/>
                <w:sz w:val="22"/>
                <w:szCs w:val="22"/>
              </w:rPr>
            </w:pPr>
            <w:r>
              <w:rPr>
                <w:rStyle w:val="36"/>
                <w:rFonts w:hint="default"/>
              </w:rPr>
              <w:t>达到指标目标值得满分，达到</w:t>
            </w:r>
            <w:r>
              <w:rPr>
                <w:rStyle w:val="37"/>
              </w:rPr>
              <w:t>80%</w:t>
            </w:r>
            <w:r>
              <w:rPr>
                <w:rStyle w:val="36"/>
                <w:rFonts w:hint="default"/>
              </w:rPr>
              <w:t>目标值得权重分的</w:t>
            </w:r>
            <w:r>
              <w:rPr>
                <w:rStyle w:val="37"/>
              </w:rPr>
              <w:t>50%</w:t>
            </w:r>
            <w:r>
              <w:rPr>
                <w:rStyle w:val="36"/>
                <w:rFonts w:hint="default"/>
              </w:rPr>
              <w:t>，低于</w:t>
            </w:r>
            <w:r>
              <w:rPr>
                <w:rStyle w:val="37"/>
              </w:rPr>
              <w:t>80%</w:t>
            </w:r>
            <w:r>
              <w:rPr>
                <w:rStyle w:val="36"/>
                <w:rFonts w:hint="default"/>
              </w:rPr>
              <w:t>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经费保障及时性</w:t>
            </w:r>
          </w:p>
        </w:tc>
        <w:tc>
          <w:tcPr>
            <w:tcW w:w="581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vAlign w:val="center"/>
          </w:tcPr>
          <w:p>
            <w:pPr>
              <w:rPr>
                <w:color w:val="000000"/>
                <w:sz w:val="22"/>
                <w:szCs w:val="22"/>
              </w:rPr>
            </w:pPr>
          </w:p>
        </w:tc>
        <w:tc>
          <w:tcPr>
            <w:tcW w:w="84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教育教学活动开展及时性</w:t>
            </w:r>
          </w:p>
        </w:tc>
        <w:tc>
          <w:tcPr>
            <w:tcW w:w="5812" w:type="dxa"/>
            <w:shd w:val="clear" w:color="auto" w:fill="auto"/>
            <w:tcMar>
              <w:top w:w="15" w:type="dxa"/>
              <w:left w:w="15" w:type="dxa"/>
              <w:bottom w:w="0" w:type="dxa"/>
              <w:right w:w="15" w:type="dxa"/>
            </w:tcMar>
          </w:tcPr>
          <w:p>
            <w:pPr>
              <w:rPr>
                <w:color w:val="000000"/>
                <w:sz w:val="22"/>
                <w:szCs w:val="22"/>
              </w:rPr>
            </w:pPr>
            <w:r>
              <w:rPr>
                <w:rStyle w:val="36"/>
                <w:rFonts w:hint="default"/>
              </w:rPr>
              <w:t>每出现</w:t>
            </w:r>
            <w:r>
              <w:rPr>
                <w:rStyle w:val="37"/>
              </w:rPr>
              <w:t>1</w:t>
            </w:r>
            <w:r>
              <w:rPr>
                <w:rStyle w:val="36"/>
                <w:rFonts w:hint="default"/>
              </w:rPr>
              <w:t>次未在规定时间内开展，扣</w:t>
            </w:r>
            <w:r>
              <w:rPr>
                <w:rStyle w:val="37"/>
              </w:rPr>
              <w:t>10%</w:t>
            </w:r>
            <w:r>
              <w:rPr>
                <w:rStyle w:val="36"/>
                <w:rFonts w:hint="default"/>
              </w:rPr>
              <w:t>权重分。</w:t>
            </w:r>
          </w:p>
        </w:tc>
        <w:tc>
          <w:tcPr>
            <w:tcW w:w="226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vAlign w:val="center"/>
          </w:tcPr>
          <w:p>
            <w:pPr>
              <w:rPr>
                <w:color w:val="000000"/>
                <w:sz w:val="22"/>
                <w:szCs w:val="22"/>
              </w:rPr>
            </w:pPr>
          </w:p>
        </w:tc>
        <w:tc>
          <w:tcPr>
            <w:tcW w:w="846" w:type="dxa"/>
            <w:shd w:val="clear" w:color="auto" w:fill="auto"/>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按规定时间开展</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701" w:type="dxa"/>
            <w:shd w:val="clear" w:color="auto" w:fill="auto"/>
            <w:tcMar>
              <w:top w:w="15" w:type="dxa"/>
              <w:left w:w="15" w:type="dxa"/>
              <w:bottom w:w="0" w:type="dxa"/>
              <w:right w:w="15" w:type="dxa"/>
            </w:tcMar>
          </w:tcPr>
          <w:p>
            <w:pPr>
              <w:rPr>
                <w:rFonts w:ascii="宋体" w:eastAsia="宋体"/>
                <w:color w:val="000000"/>
                <w:sz w:val="22"/>
                <w:szCs w:val="22"/>
              </w:rPr>
            </w:pPr>
            <w:r>
              <w:rPr>
                <w:rFonts w:hint="eastAsia" w:ascii="宋体" w:hAnsi="宋体" w:eastAsia="宋体" w:cs="宋体"/>
                <w:color w:val="000000"/>
                <w:sz w:val="22"/>
                <w:szCs w:val="22"/>
              </w:rPr>
              <w:t>日常公用经费开支标准</w:t>
            </w:r>
          </w:p>
        </w:tc>
        <w:tc>
          <w:tcPr>
            <w:tcW w:w="5812" w:type="dxa"/>
            <w:shd w:val="clear" w:color="auto" w:fill="auto"/>
            <w:tcMar>
              <w:top w:w="15" w:type="dxa"/>
              <w:left w:w="15" w:type="dxa"/>
              <w:bottom w:w="0" w:type="dxa"/>
              <w:right w:w="15" w:type="dxa"/>
            </w:tcMar>
          </w:tcPr>
          <w:p>
            <w:pPr>
              <w:rPr>
                <w:color w:val="000000"/>
                <w:sz w:val="22"/>
                <w:szCs w:val="22"/>
              </w:rPr>
            </w:pPr>
            <w:r>
              <w:rPr>
                <w:rStyle w:val="36"/>
                <w:rFonts w:hint="default"/>
              </w:rPr>
              <w:t>每超过一项规定标准扣标准分值的</w:t>
            </w:r>
            <w:r>
              <w:rPr>
                <w:rStyle w:val="37"/>
              </w:rPr>
              <w:t>10%</w:t>
            </w:r>
            <w:r>
              <w:rPr>
                <w:rStyle w:val="36"/>
                <w:rFonts w:hint="default"/>
              </w:rPr>
              <w:t>。</w:t>
            </w:r>
          </w:p>
        </w:tc>
        <w:tc>
          <w:tcPr>
            <w:tcW w:w="226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99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tcPr>
          <w:p>
            <w:pPr>
              <w:rPr>
                <w:color w:val="000000"/>
                <w:sz w:val="22"/>
                <w:szCs w:val="22"/>
              </w:rPr>
            </w:pPr>
          </w:p>
        </w:tc>
        <w:tc>
          <w:tcPr>
            <w:tcW w:w="846" w:type="dxa"/>
            <w:shd w:val="clear" w:color="auto" w:fill="auto"/>
            <w:tcMar>
              <w:top w:w="15" w:type="dxa"/>
              <w:left w:w="15" w:type="dxa"/>
              <w:bottom w:w="0" w:type="dxa"/>
              <w:right w:w="15" w:type="dxa"/>
            </w:tcMar>
          </w:tcPr>
          <w:p>
            <w:pPr>
              <w:rPr>
                <w:rFonts w:ascii="宋体" w:hAnsi="宋体" w:eastAsia="宋体" w:cs="宋体"/>
                <w:color w:val="000000"/>
                <w:sz w:val="22"/>
                <w:szCs w:val="22"/>
              </w:rPr>
            </w:pPr>
            <w:r>
              <w:rPr>
                <w:rFonts w:hint="eastAsia" w:ascii="宋体" w:hAnsi="宋体" w:eastAsia="宋体" w:cs="宋体"/>
                <w:color w:val="000000"/>
                <w:sz w:val="22"/>
                <w:szCs w:val="22"/>
              </w:rPr>
              <w:t>按统一规定执行</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64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保障学校正常教育教学活动开展</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达标得满分，基本达标得</w:t>
            </w:r>
            <w:r>
              <w:rPr>
                <w:rStyle w:val="37"/>
              </w:rPr>
              <w:t>80%</w:t>
            </w:r>
            <w:r>
              <w:rPr>
                <w:rStyle w:val="36"/>
                <w:rFonts w:hint="default"/>
              </w:rPr>
              <w:t>权重分，部分达标得</w:t>
            </w:r>
            <w:r>
              <w:rPr>
                <w:rStyle w:val="37"/>
              </w:rPr>
              <w:t>60%</w:t>
            </w:r>
            <w:r>
              <w:rPr>
                <w:rStyle w:val="36"/>
                <w:rFonts w:hint="default"/>
              </w:rPr>
              <w:t>权重分，不达标不得分。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671" w:type="dxa"/>
            <w:shd w:val="clear" w:color="auto" w:fill="auto"/>
            <w:tcMar>
              <w:top w:w="15" w:type="dxa"/>
              <w:left w:w="15" w:type="dxa"/>
              <w:bottom w:w="0" w:type="dxa"/>
              <w:right w:w="15" w:type="dxa"/>
            </w:tcMar>
            <w:vAlign w:val="center"/>
          </w:tcPr>
          <w:p>
            <w:pPr>
              <w:rPr>
                <w:color w:val="000000"/>
                <w:sz w:val="22"/>
                <w:szCs w:val="22"/>
              </w:rPr>
            </w:pPr>
          </w:p>
        </w:tc>
        <w:tc>
          <w:tcPr>
            <w:tcW w:w="846"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有效</w:t>
            </w:r>
          </w:p>
        </w:tc>
        <w:tc>
          <w:tcPr>
            <w:tcW w:w="781"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tcPr>
          <w:p>
            <w:pPr>
              <w:rPr>
                <w:rFonts w:ascii="方正书宋_GBK" w:eastAsia="方正书宋_GBK"/>
                <w:color w:val="000000"/>
              </w:rPr>
            </w:pPr>
            <w:r>
              <w:rPr>
                <w:rFonts w:hint="eastAsia" w:ascii="方正书宋_GBK" w:eastAsia="方正书宋_GBK"/>
                <w:color w:val="000000"/>
              </w:rPr>
              <w:t>满意度</w:t>
            </w:r>
          </w:p>
        </w:tc>
        <w:tc>
          <w:tcPr>
            <w:tcW w:w="1701" w:type="dxa"/>
            <w:shd w:val="clear" w:color="auto" w:fill="auto"/>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幼儿及家长满意度</w:t>
            </w:r>
          </w:p>
        </w:tc>
        <w:tc>
          <w:tcPr>
            <w:tcW w:w="5812" w:type="dxa"/>
            <w:shd w:val="clear" w:color="auto" w:fill="auto"/>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226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幼儿及家长满意度</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649" w:type="dxa"/>
            <w:vMerge w:val="continue"/>
            <w:shd w:val="clear" w:color="auto" w:fill="auto"/>
            <w:vAlign w:val="center"/>
          </w:tcPr>
          <w:p>
            <w:pPr>
              <w:rPr>
                <w:rFonts w:ascii="方正书宋_GBK" w:hAnsi="宋体" w:eastAsia="方正书宋_GBK" w:cs="宋体"/>
                <w:color w:val="000000"/>
              </w:rPr>
            </w:pPr>
          </w:p>
        </w:tc>
        <w:tc>
          <w:tcPr>
            <w:tcW w:w="111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01" w:type="dxa"/>
            <w:shd w:val="clear" w:color="auto" w:fill="auto"/>
            <w:noWrap/>
            <w:tcMar>
              <w:top w:w="15" w:type="dxa"/>
              <w:left w:w="15" w:type="dxa"/>
              <w:bottom w:w="0" w:type="dxa"/>
              <w:right w:w="15" w:type="dxa"/>
            </w:tcMar>
            <w:vAlign w:val="center"/>
          </w:tcPr>
          <w:p>
            <w:pPr>
              <w:rPr>
                <w:rFonts w:ascii="宋体" w:eastAsia="宋体"/>
                <w:color w:val="000000"/>
                <w:sz w:val="22"/>
                <w:szCs w:val="22"/>
              </w:rPr>
            </w:pPr>
            <w:r>
              <w:rPr>
                <w:rFonts w:hint="eastAsia" w:ascii="宋体" w:hAnsi="宋体" w:eastAsia="宋体" w:cs="宋体"/>
                <w:color w:val="000000"/>
                <w:sz w:val="22"/>
                <w:szCs w:val="22"/>
              </w:rPr>
              <w:t>教职工满意度</w:t>
            </w:r>
          </w:p>
        </w:tc>
        <w:tc>
          <w:tcPr>
            <w:tcW w:w="5812" w:type="dxa"/>
            <w:shd w:val="clear" w:color="auto" w:fill="auto"/>
            <w:noWrap/>
            <w:tcMar>
              <w:top w:w="15" w:type="dxa"/>
              <w:left w:w="15" w:type="dxa"/>
              <w:bottom w:w="0" w:type="dxa"/>
              <w:right w:w="15" w:type="dxa"/>
            </w:tcMar>
            <w:vAlign w:val="center"/>
          </w:tcPr>
          <w:p>
            <w:pPr>
              <w:rPr>
                <w:color w:val="000000"/>
                <w:sz w:val="22"/>
                <w:szCs w:val="22"/>
              </w:rPr>
            </w:pPr>
            <w:r>
              <w:rPr>
                <w:rStyle w:val="36"/>
                <w:rFonts w:hint="default"/>
              </w:rPr>
              <w:t>达到指标目标值得满分，每下降</w:t>
            </w:r>
            <w:r>
              <w:rPr>
                <w:rStyle w:val="37"/>
              </w:rPr>
              <w:t>1%</w:t>
            </w:r>
            <w:r>
              <w:rPr>
                <w:rStyle w:val="36"/>
                <w:rFonts w:hint="default"/>
              </w:rPr>
              <w:t>，扣权重分值的</w:t>
            </w:r>
            <w:r>
              <w:rPr>
                <w:rStyle w:val="37"/>
              </w:rPr>
              <w:t>2.5%</w:t>
            </w:r>
            <w:r>
              <w:rPr>
                <w:rStyle w:val="36"/>
                <w:rFonts w:hint="default"/>
              </w:rPr>
              <w:t>，低于</w:t>
            </w:r>
            <w:r>
              <w:rPr>
                <w:rStyle w:val="37"/>
              </w:rPr>
              <w:t>60%</w:t>
            </w:r>
            <w:r>
              <w:rPr>
                <w:rStyle w:val="36"/>
                <w:rFonts w:hint="default"/>
              </w:rPr>
              <w:t>不得分。</w:t>
            </w:r>
          </w:p>
        </w:tc>
        <w:tc>
          <w:tcPr>
            <w:tcW w:w="2268"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671"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846"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81"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rFonts w:ascii="方正楷体_GBK" w:hAnsi="方正楷体_GBK" w:eastAsia="方正楷体_GBK" w:cs="方正楷体_GBK"/>
          <w:b/>
          <w:color w:val="000000"/>
          <w:sz w:val="32"/>
          <w:lang w:eastAsia="zh-CN"/>
        </w:rPr>
      </w:pPr>
    </w:p>
    <w:p>
      <w:pPr>
        <w:spacing w:before="10" w:after="10"/>
        <w:ind w:firstLine="640"/>
        <w:outlineLvl w:val="5"/>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355人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2023年，廊坊市广阳区第四幼儿园安排政府采购预算0.00万元。具体内容见下表。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434001廊坊市广阳区第四幼儿园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廊坊市广阳区第四幼儿园上年末固定资产金额为2.81万元（详见下表）。本年度拟购置固定资产总额为2.00万元，已按要求列入政府采购预算，详见政府采购预算表。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434001廊坊市广阳区第四幼儿园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w:t>
            </w:r>
          </w:p>
        </w:tc>
        <w:tc>
          <w:tcPr>
            <w:tcW w:w="2835" w:type="dxa"/>
            <w:vAlign w:val="center"/>
          </w:tcPr>
          <w:p>
            <w:pPr>
              <w:pStyle w:val="16"/>
            </w:pPr>
            <w:r>
              <w:t>2.81</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EC37B9"/>
    <w:rsid w:val="001852AA"/>
    <w:rsid w:val="004858F7"/>
    <w:rsid w:val="006C64A1"/>
    <w:rsid w:val="008013E5"/>
    <w:rsid w:val="008419E0"/>
    <w:rsid w:val="00EC37B9"/>
    <w:rsid w:val="00FC3609"/>
    <w:rsid w:val="15057439"/>
    <w:rsid w:val="794E44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31"/>
    <w:basedOn w:val="10"/>
    <w:uiPriority w:val="0"/>
    <w:rPr>
      <w:rFonts w:hint="eastAsia" w:ascii="宋体" w:hAnsi="宋体" w:eastAsia="宋体"/>
      <w:color w:val="000000"/>
      <w:sz w:val="22"/>
      <w:szCs w:val="22"/>
      <w:u w:val="none"/>
    </w:rPr>
  </w:style>
  <w:style w:type="character" w:customStyle="1" w:styleId="37">
    <w:name w:val="font41"/>
    <w:basedOn w:val="10"/>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2023-03-13T11:07:03Z</dcterms:created>
  <dcterms:modified xsi:type="dcterms:W3CDTF">2023-03-13T03:07:03Z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2023-03-13T11:07:00Z</dcterms:created>
  <dcterms:modified xsi:type="dcterms:W3CDTF">2023-03-13T03:07:00Z</dcterms:modified>
</cp:coreProperties>
</file>

<file path=customXml/itemProps1.xml><?xml version="1.0" encoding="utf-8"?>
<ds:datastoreItem xmlns:ds="http://schemas.openxmlformats.org/officeDocument/2006/customXml" ds:itemID="{18B0EFBA-91D4-48CC-ADA3-98CEA969C734}">
  <ds:schemaRefs/>
</ds:datastoreItem>
</file>

<file path=customXml/itemProps10.xml><?xml version="1.0" encoding="utf-8"?>
<ds:datastoreItem xmlns:ds="http://schemas.openxmlformats.org/officeDocument/2006/customXml" ds:itemID="{C36587B2-6DAF-4EDC-8F44-C73C80D8F26F}">
  <ds:schemaRefs/>
</ds:datastoreItem>
</file>

<file path=customXml/itemProps11.xml><?xml version="1.0" encoding="utf-8"?>
<ds:datastoreItem xmlns:ds="http://schemas.openxmlformats.org/officeDocument/2006/customXml" ds:itemID="{2ECA3595-F97B-4203-80F2-9FB97F45A8A8}">
  <ds:schemaRefs/>
</ds:datastoreItem>
</file>

<file path=customXml/itemProps12.xml><?xml version="1.0" encoding="utf-8"?>
<ds:datastoreItem xmlns:ds="http://schemas.openxmlformats.org/officeDocument/2006/customXml" ds:itemID="{00C5EB21-4171-4E9F-A668-B766C3F476EB}">
  <ds:schemaRefs/>
</ds:datastoreItem>
</file>

<file path=customXml/itemProps13.xml><?xml version="1.0" encoding="utf-8"?>
<ds:datastoreItem xmlns:ds="http://schemas.openxmlformats.org/officeDocument/2006/customXml" ds:itemID="{D27C64C8-9F0D-42D6-BEF3-897D1250F16B}">
  <ds:schemaRefs/>
</ds:datastoreItem>
</file>

<file path=customXml/itemProps14.xml><?xml version="1.0" encoding="utf-8"?>
<ds:datastoreItem xmlns:ds="http://schemas.openxmlformats.org/officeDocument/2006/customXml" ds:itemID="{B37CEBBB-B1F9-4639-9071-BA95EF1525AE}">
  <ds:schemaRefs/>
</ds:datastoreItem>
</file>

<file path=customXml/itemProps2.xml><?xml version="1.0" encoding="utf-8"?>
<ds:datastoreItem xmlns:ds="http://schemas.openxmlformats.org/officeDocument/2006/customXml" ds:itemID="{A70CAAAC-66E2-4AA6-AFE5-A28C3F6ACC2A}">
  <ds:schemaRefs/>
</ds:datastoreItem>
</file>

<file path=customXml/itemProps3.xml><?xml version="1.0" encoding="utf-8"?>
<ds:datastoreItem xmlns:ds="http://schemas.openxmlformats.org/officeDocument/2006/customXml" ds:itemID="{326E096C-6703-46DE-AB39-5CA3BC99B127}">
  <ds:schemaRefs/>
</ds:datastoreItem>
</file>

<file path=customXml/itemProps4.xml><?xml version="1.0" encoding="utf-8"?>
<ds:datastoreItem xmlns:ds="http://schemas.openxmlformats.org/officeDocument/2006/customXml" ds:itemID="{E7BABF24-F22F-4091-A456-CF1A89462265}">
  <ds:schemaRefs/>
</ds:datastoreItem>
</file>

<file path=customXml/itemProps5.xml><?xml version="1.0" encoding="utf-8"?>
<ds:datastoreItem xmlns:ds="http://schemas.openxmlformats.org/officeDocument/2006/customXml" ds:itemID="{C059705E-70ED-442A-8E5C-024A61B67C22}">
  <ds:schemaRefs/>
</ds:datastoreItem>
</file>

<file path=customXml/itemProps6.xml><?xml version="1.0" encoding="utf-8"?>
<ds:datastoreItem xmlns:ds="http://schemas.openxmlformats.org/officeDocument/2006/customXml" ds:itemID="{16C79AED-8841-4064-9435-2854C9A9ADBF}">
  <ds:schemaRefs/>
</ds:datastoreItem>
</file>

<file path=customXml/itemProps7.xml><?xml version="1.0" encoding="utf-8"?>
<ds:datastoreItem xmlns:ds="http://schemas.openxmlformats.org/officeDocument/2006/customXml" ds:itemID="{90136EF0-2891-4497-AD10-72B8FB668B71}">
  <ds:schemaRefs/>
</ds:datastoreItem>
</file>

<file path=customXml/itemProps8.xml><?xml version="1.0" encoding="utf-8"?>
<ds:datastoreItem xmlns:ds="http://schemas.openxmlformats.org/officeDocument/2006/customXml" ds:itemID="{A217434C-1956-4F8E-8522-ABB98A19E450}">
  <ds:schemaRefs/>
</ds:datastoreItem>
</file>

<file path=customXml/itemProps9.xml><?xml version="1.0" encoding="utf-8"?>
<ds:datastoreItem xmlns:ds="http://schemas.openxmlformats.org/officeDocument/2006/customXml" ds:itemID="{B6150CA4-3B96-4879-80E0-7D2216B203A6}">
  <ds:schemaRefs/>
</ds:datastoreItem>
</file>

<file path=docProps/app.xml><?xml version="1.0" encoding="utf-8"?>
<Properties xmlns="http://schemas.openxmlformats.org/officeDocument/2006/extended-properties" xmlns:vt="http://schemas.openxmlformats.org/officeDocument/2006/docPropsVTypes">
  <Template>Normal</Template>
  <Pages>24</Pages>
  <Words>1389</Words>
  <Characters>7921</Characters>
  <Lines>66</Lines>
  <Paragraphs>18</Paragraphs>
  <TotalTime>5</TotalTime>
  <ScaleCrop>false</ScaleCrop>
  <LinksUpToDate>false</LinksUpToDate>
  <CharactersWithSpaces>9292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2024-01-10T10:42:07Z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9DAEF30A7C78447BABD9BEA8FFDDAA59</vt:lpwstr>
  </property>
</Properties>
</file>