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432廊坊市广阳区第二幼儿园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1149.15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1149.15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1149.15</w:t>
            </w:r>
          </w:p>
        </w:tc>
        <w:tc>
          <w:tcPr>
            <w:tcW w:w="4535" w:type="dxa"/>
            <w:vAlign w:val="center"/>
          </w:tcPr>
          <w:p>
            <w:pPr>
              <w:pStyle w:val="19"/>
            </w:pPr>
            <w:r>
              <w:t>本年支出合计</w:t>
            </w:r>
          </w:p>
        </w:tc>
        <w:tc>
          <w:tcPr>
            <w:tcW w:w="2126" w:type="dxa"/>
            <w:vAlign w:val="center"/>
          </w:tcPr>
          <w:p>
            <w:pPr>
              <w:pStyle w:val="20"/>
            </w:pPr>
            <w:r>
              <w:t>1149.15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1149.15</w:t>
            </w:r>
          </w:p>
        </w:tc>
        <w:tc>
          <w:tcPr>
            <w:tcW w:w="4535" w:type="dxa"/>
            <w:vAlign w:val="center"/>
          </w:tcPr>
          <w:p>
            <w:pPr>
              <w:pStyle w:val="19"/>
            </w:pPr>
            <w:r>
              <w:t>支出总计</w:t>
            </w:r>
          </w:p>
        </w:tc>
        <w:tc>
          <w:tcPr>
            <w:tcW w:w="2126" w:type="dxa"/>
            <w:vAlign w:val="center"/>
          </w:tcPr>
          <w:p>
            <w:pPr>
              <w:pStyle w:val="20"/>
            </w:pPr>
            <w:r>
              <w:t>1149.15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432廊坊市广阳区第二幼儿园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1149.15</w:t>
            </w:r>
          </w:p>
        </w:tc>
        <w:tc>
          <w:tcPr>
            <w:tcW w:w="1134" w:type="dxa"/>
            <w:vAlign w:val="center"/>
          </w:tcPr>
          <w:p>
            <w:pPr>
              <w:pStyle w:val="20"/>
            </w:pPr>
            <w:r>
              <w:t>1149.15</w:t>
            </w:r>
          </w:p>
        </w:tc>
        <w:tc>
          <w:tcPr>
            <w:tcW w:w="1134" w:type="dxa"/>
            <w:vAlign w:val="center"/>
          </w:tcPr>
          <w:p>
            <w:pPr>
              <w:pStyle w:val="20"/>
            </w:pPr>
            <w:r>
              <w:t>1149.15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1149.15</w:t>
            </w:r>
          </w:p>
        </w:tc>
        <w:tc>
          <w:tcPr>
            <w:tcW w:w="1134" w:type="dxa"/>
            <w:vAlign w:val="center"/>
          </w:tcPr>
          <w:p>
            <w:pPr>
              <w:pStyle w:val="16"/>
            </w:pPr>
            <w:r>
              <w:t>1149.15</w:t>
            </w:r>
          </w:p>
        </w:tc>
        <w:tc>
          <w:tcPr>
            <w:tcW w:w="1134" w:type="dxa"/>
            <w:vAlign w:val="center"/>
          </w:tcPr>
          <w:p>
            <w:pPr>
              <w:pStyle w:val="16"/>
            </w:pPr>
            <w:r>
              <w:t>1149.15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1149.15</w:t>
            </w:r>
          </w:p>
        </w:tc>
        <w:tc>
          <w:tcPr>
            <w:tcW w:w="1134" w:type="dxa"/>
            <w:vAlign w:val="center"/>
          </w:tcPr>
          <w:p>
            <w:pPr>
              <w:pStyle w:val="16"/>
            </w:pPr>
            <w:r>
              <w:t>1149.15</w:t>
            </w:r>
          </w:p>
        </w:tc>
        <w:tc>
          <w:tcPr>
            <w:tcW w:w="1134" w:type="dxa"/>
            <w:vAlign w:val="center"/>
          </w:tcPr>
          <w:p>
            <w:pPr>
              <w:pStyle w:val="16"/>
            </w:pPr>
            <w:r>
              <w:t>1149.15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1149.15</w:t>
            </w:r>
          </w:p>
        </w:tc>
        <w:tc>
          <w:tcPr>
            <w:tcW w:w="1134" w:type="dxa"/>
            <w:vAlign w:val="center"/>
          </w:tcPr>
          <w:p>
            <w:pPr>
              <w:pStyle w:val="16"/>
            </w:pPr>
            <w:r>
              <w:t>1149.15</w:t>
            </w:r>
          </w:p>
        </w:tc>
        <w:tc>
          <w:tcPr>
            <w:tcW w:w="1134" w:type="dxa"/>
            <w:vAlign w:val="center"/>
          </w:tcPr>
          <w:p>
            <w:pPr>
              <w:pStyle w:val="16"/>
            </w:pPr>
            <w:r>
              <w:t>1149.15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432廊坊市广阳区第二幼儿园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1149.15</w:t>
            </w:r>
          </w:p>
        </w:tc>
        <w:tc>
          <w:tcPr>
            <w:tcW w:w="1361" w:type="dxa"/>
            <w:vAlign w:val="center"/>
          </w:tcPr>
          <w:p>
            <w:pPr>
              <w:pStyle w:val="20"/>
            </w:pPr>
            <w:r>
              <w:t>1132.91</w:t>
            </w:r>
          </w:p>
        </w:tc>
        <w:tc>
          <w:tcPr>
            <w:tcW w:w="1361" w:type="dxa"/>
            <w:vAlign w:val="center"/>
          </w:tcPr>
          <w:p>
            <w:pPr>
              <w:pStyle w:val="20"/>
            </w:pPr>
            <w:r>
              <w:t>16.24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1149.15</w:t>
            </w:r>
          </w:p>
        </w:tc>
        <w:tc>
          <w:tcPr>
            <w:tcW w:w="1361" w:type="dxa"/>
            <w:vAlign w:val="center"/>
          </w:tcPr>
          <w:p>
            <w:pPr>
              <w:pStyle w:val="16"/>
            </w:pPr>
            <w:r>
              <w:t>1132.91</w:t>
            </w:r>
          </w:p>
        </w:tc>
        <w:tc>
          <w:tcPr>
            <w:tcW w:w="1361" w:type="dxa"/>
            <w:vAlign w:val="center"/>
          </w:tcPr>
          <w:p>
            <w:pPr>
              <w:pStyle w:val="16"/>
            </w:pPr>
            <w:r>
              <w:t>16.24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1149.15</w:t>
            </w:r>
          </w:p>
        </w:tc>
        <w:tc>
          <w:tcPr>
            <w:tcW w:w="1361" w:type="dxa"/>
            <w:vAlign w:val="center"/>
          </w:tcPr>
          <w:p>
            <w:pPr>
              <w:pStyle w:val="16"/>
            </w:pPr>
            <w:r>
              <w:t>1132.91</w:t>
            </w:r>
          </w:p>
        </w:tc>
        <w:tc>
          <w:tcPr>
            <w:tcW w:w="1361" w:type="dxa"/>
            <w:vAlign w:val="center"/>
          </w:tcPr>
          <w:p>
            <w:pPr>
              <w:pStyle w:val="16"/>
            </w:pPr>
            <w:r>
              <w:t>16.24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1149.15</w:t>
            </w:r>
          </w:p>
        </w:tc>
        <w:tc>
          <w:tcPr>
            <w:tcW w:w="1361" w:type="dxa"/>
            <w:vAlign w:val="center"/>
          </w:tcPr>
          <w:p>
            <w:pPr>
              <w:pStyle w:val="16"/>
            </w:pPr>
            <w:r>
              <w:t>1132.91</w:t>
            </w:r>
          </w:p>
        </w:tc>
        <w:tc>
          <w:tcPr>
            <w:tcW w:w="1361" w:type="dxa"/>
            <w:vAlign w:val="center"/>
          </w:tcPr>
          <w:p>
            <w:pPr>
              <w:pStyle w:val="16"/>
            </w:pPr>
            <w:r>
              <w:t>16.24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432廊坊市广阳区第二幼儿园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1149.15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1149.15</w:t>
            </w:r>
          </w:p>
        </w:tc>
        <w:tc>
          <w:tcPr>
            <w:tcW w:w="1474" w:type="dxa"/>
            <w:vAlign w:val="center"/>
          </w:tcPr>
          <w:p>
            <w:pPr>
              <w:pStyle w:val="16"/>
            </w:pPr>
            <w:r>
              <w:t>1149.15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1149.15</w:t>
            </w:r>
          </w:p>
        </w:tc>
        <w:tc>
          <w:tcPr>
            <w:tcW w:w="3402" w:type="dxa"/>
            <w:vAlign w:val="center"/>
          </w:tcPr>
          <w:p>
            <w:pPr>
              <w:pStyle w:val="19"/>
            </w:pPr>
            <w:r>
              <w:t>本年支出合计</w:t>
            </w:r>
          </w:p>
        </w:tc>
        <w:tc>
          <w:tcPr>
            <w:tcW w:w="1474" w:type="dxa"/>
            <w:vAlign w:val="center"/>
          </w:tcPr>
          <w:p>
            <w:pPr>
              <w:pStyle w:val="20"/>
            </w:pPr>
            <w:r>
              <w:t>1149.15</w:t>
            </w:r>
          </w:p>
        </w:tc>
        <w:tc>
          <w:tcPr>
            <w:tcW w:w="1474" w:type="dxa"/>
            <w:vAlign w:val="center"/>
          </w:tcPr>
          <w:p>
            <w:pPr>
              <w:pStyle w:val="20"/>
            </w:pPr>
            <w:r>
              <w:t>1149.15</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1149.15</w:t>
            </w:r>
          </w:p>
        </w:tc>
        <w:tc>
          <w:tcPr>
            <w:tcW w:w="3402" w:type="dxa"/>
            <w:vAlign w:val="center"/>
          </w:tcPr>
          <w:p>
            <w:pPr>
              <w:pStyle w:val="19"/>
            </w:pPr>
            <w:r>
              <w:t>支出总计</w:t>
            </w:r>
          </w:p>
        </w:tc>
        <w:tc>
          <w:tcPr>
            <w:tcW w:w="1474" w:type="dxa"/>
            <w:vAlign w:val="center"/>
          </w:tcPr>
          <w:p>
            <w:pPr>
              <w:pStyle w:val="20"/>
            </w:pPr>
            <w:r>
              <w:t>1149.15</w:t>
            </w:r>
          </w:p>
        </w:tc>
        <w:tc>
          <w:tcPr>
            <w:tcW w:w="1474" w:type="dxa"/>
            <w:vAlign w:val="center"/>
          </w:tcPr>
          <w:p>
            <w:pPr>
              <w:pStyle w:val="20"/>
            </w:pPr>
            <w:r>
              <w:t>1149.15</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432廊坊市广阳区第二幼儿园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1149.15</w:t>
            </w:r>
          </w:p>
        </w:tc>
        <w:tc>
          <w:tcPr>
            <w:tcW w:w="2551" w:type="dxa"/>
            <w:vAlign w:val="center"/>
          </w:tcPr>
          <w:p>
            <w:pPr>
              <w:pStyle w:val="20"/>
            </w:pPr>
            <w:r>
              <w:t>1132.91</w:t>
            </w:r>
          </w:p>
        </w:tc>
        <w:tc>
          <w:tcPr>
            <w:tcW w:w="2551" w:type="dxa"/>
            <w:vAlign w:val="center"/>
          </w:tcPr>
          <w:p>
            <w:pPr>
              <w:pStyle w:val="20"/>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1149.15</w:t>
            </w:r>
          </w:p>
        </w:tc>
        <w:tc>
          <w:tcPr>
            <w:tcW w:w="2551" w:type="dxa"/>
            <w:vAlign w:val="center"/>
          </w:tcPr>
          <w:p>
            <w:pPr>
              <w:pStyle w:val="16"/>
            </w:pPr>
            <w:r>
              <w:t>1132.91</w:t>
            </w:r>
          </w:p>
        </w:tc>
        <w:tc>
          <w:tcPr>
            <w:tcW w:w="2551" w:type="dxa"/>
            <w:vAlign w:val="center"/>
          </w:tcPr>
          <w:p>
            <w:pPr>
              <w:pStyle w:val="16"/>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1149.15</w:t>
            </w:r>
          </w:p>
        </w:tc>
        <w:tc>
          <w:tcPr>
            <w:tcW w:w="2551" w:type="dxa"/>
            <w:vAlign w:val="center"/>
          </w:tcPr>
          <w:p>
            <w:pPr>
              <w:pStyle w:val="16"/>
            </w:pPr>
            <w:r>
              <w:t>1132.91</w:t>
            </w:r>
          </w:p>
        </w:tc>
        <w:tc>
          <w:tcPr>
            <w:tcW w:w="2551" w:type="dxa"/>
            <w:vAlign w:val="center"/>
          </w:tcPr>
          <w:p>
            <w:pPr>
              <w:pStyle w:val="16"/>
            </w:pPr>
            <w:r>
              <w:t>16.24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1149.15</w:t>
            </w:r>
          </w:p>
        </w:tc>
        <w:tc>
          <w:tcPr>
            <w:tcW w:w="2551" w:type="dxa"/>
            <w:vAlign w:val="center"/>
          </w:tcPr>
          <w:p>
            <w:pPr>
              <w:pStyle w:val="16"/>
            </w:pPr>
            <w:r>
              <w:t>1132.91</w:t>
            </w:r>
          </w:p>
        </w:tc>
        <w:tc>
          <w:tcPr>
            <w:tcW w:w="2551" w:type="dxa"/>
            <w:vAlign w:val="center"/>
          </w:tcPr>
          <w:p>
            <w:pPr>
              <w:pStyle w:val="16"/>
            </w:pPr>
            <w:r>
              <w:t>16.24</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432廊坊市广阳区第二幼儿园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1132.91</w:t>
            </w:r>
          </w:p>
        </w:tc>
        <w:tc>
          <w:tcPr>
            <w:tcW w:w="2551" w:type="dxa"/>
            <w:vAlign w:val="center"/>
          </w:tcPr>
          <w:p>
            <w:pPr>
              <w:pStyle w:val="20"/>
            </w:pPr>
            <w:r>
              <w:t>1125.13</w:t>
            </w:r>
          </w:p>
        </w:tc>
        <w:tc>
          <w:tcPr>
            <w:tcW w:w="2551" w:type="dxa"/>
            <w:vAlign w:val="center"/>
          </w:tcPr>
          <w:p>
            <w:pPr>
              <w:pStyle w:val="20"/>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1003.24</w:t>
            </w:r>
          </w:p>
        </w:tc>
        <w:tc>
          <w:tcPr>
            <w:tcW w:w="2551" w:type="dxa"/>
            <w:vAlign w:val="center"/>
          </w:tcPr>
          <w:p>
            <w:pPr>
              <w:pStyle w:val="16"/>
            </w:pPr>
            <w:r>
              <w:t>1003.24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281.43</w:t>
            </w:r>
          </w:p>
        </w:tc>
        <w:tc>
          <w:tcPr>
            <w:tcW w:w="2551" w:type="dxa"/>
            <w:vAlign w:val="center"/>
          </w:tcPr>
          <w:p>
            <w:pPr>
              <w:pStyle w:val="16"/>
            </w:pPr>
            <w:r>
              <w:t>281.43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109.38</w:t>
            </w:r>
          </w:p>
        </w:tc>
        <w:tc>
          <w:tcPr>
            <w:tcW w:w="2551" w:type="dxa"/>
            <w:vAlign w:val="center"/>
          </w:tcPr>
          <w:p>
            <w:pPr>
              <w:pStyle w:val="16"/>
            </w:pPr>
            <w:r>
              <w:t>109.38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182.64</w:t>
            </w:r>
          </w:p>
        </w:tc>
        <w:tc>
          <w:tcPr>
            <w:tcW w:w="2551" w:type="dxa"/>
            <w:vAlign w:val="center"/>
          </w:tcPr>
          <w:p>
            <w:pPr>
              <w:pStyle w:val="16"/>
            </w:pPr>
            <w:r>
              <w:t>182.64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219.05</w:t>
            </w:r>
          </w:p>
        </w:tc>
        <w:tc>
          <w:tcPr>
            <w:tcW w:w="2551" w:type="dxa"/>
            <w:vAlign w:val="center"/>
          </w:tcPr>
          <w:p>
            <w:pPr>
              <w:pStyle w:val="16"/>
            </w:pPr>
            <w:r>
              <w:t>219.05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95.61</w:t>
            </w:r>
          </w:p>
        </w:tc>
        <w:tc>
          <w:tcPr>
            <w:tcW w:w="2551" w:type="dxa"/>
            <w:vAlign w:val="center"/>
          </w:tcPr>
          <w:p>
            <w:pPr>
              <w:pStyle w:val="16"/>
            </w:pPr>
            <w:r>
              <w:t>95.61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30.92</w:t>
            </w:r>
          </w:p>
        </w:tc>
        <w:tc>
          <w:tcPr>
            <w:tcW w:w="2551" w:type="dxa"/>
            <w:vAlign w:val="center"/>
          </w:tcPr>
          <w:p>
            <w:pPr>
              <w:pStyle w:val="16"/>
            </w:pPr>
            <w:r>
              <w:t>30.92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2.78</w:t>
            </w:r>
          </w:p>
        </w:tc>
        <w:tc>
          <w:tcPr>
            <w:tcW w:w="2551" w:type="dxa"/>
            <w:vAlign w:val="center"/>
          </w:tcPr>
          <w:p>
            <w:pPr>
              <w:pStyle w:val="16"/>
            </w:pPr>
            <w:r>
              <w:t>2.78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79.20</w:t>
            </w:r>
          </w:p>
        </w:tc>
        <w:tc>
          <w:tcPr>
            <w:tcW w:w="2551" w:type="dxa"/>
            <w:vAlign w:val="center"/>
          </w:tcPr>
          <w:p>
            <w:pPr>
              <w:pStyle w:val="16"/>
            </w:pPr>
            <w:r>
              <w:t>79.20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2.23</w:t>
            </w:r>
          </w:p>
        </w:tc>
        <w:tc>
          <w:tcPr>
            <w:tcW w:w="2551" w:type="dxa"/>
            <w:vAlign w:val="center"/>
          </w:tcPr>
          <w:p>
            <w:pPr>
              <w:pStyle w:val="16"/>
            </w:pPr>
            <w:r>
              <w:t>2.23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7.78</w:t>
            </w:r>
          </w:p>
        </w:tc>
        <w:tc>
          <w:tcPr>
            <w:tcW w:w="2551" w:type="dxa"/>
            <w:vAlign w:val="center"/>
          </w:tcPr>
          <w:p>
            <w:pPr>
              <w:pStyle w:val="16"/>
            </w:pPr>
          </w:p>
        </w:tc>
        <w:tc>
          <w:tcPr>
            <w:tcW w:w="2551" w:type="dxa"/>
            <w:vAlign w:val="center"/>
          </w:tcPr>
          <w:p>
            <w:pPr>
              <w:pStyle w:val="16"/>
            </w:pPr>
            <w:r>
              <w:t>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4.03</w:t>
            </w:r>
          </w:p>
        </w:tc>
        <w:tc>
          <w:tcPr>
            <w:tcW w:w="2551" w:type="dxa"/>
            <w:vAlign w:val="center"/>
          </w:tcPr>
          <w:p>
            <w:pPr>
              <w:pStyle w:val="16"/>
            </w:pPr>
          </w:p>
        </w:tc>
        <w:tc>
          <w:tcPr>
            <w:tcW w:w="2551" w:type="dxa"/>
            <w:vAlign w:val="center"/>
          </w:tcPr>
          <w:p>
            <w:pPr>
              <w:pStyle w:val="16"/>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3.75</w:t>
            </w:r>
          </w:p>
        </w:tc>
        <w:tc>
          <w:tcPr>
            <w:tcW w:w="2551" w:type="dxa"/>
            <w:vAlign w:val="center"/>
          </w:tcPr>
          <w:p>
            <w:pPr>
              <w:pStyle w:val="16"/>
            </w:pPr>
          </w:p>
        </w:tc>
        <w:tc>
          <w:tcPr>
            <w:tcW w:w="2551" w:type="dxa"/>
            <w:vAlign w:val="center"/>
          </w:tcPr>
          <w:p>
            <w:pPr>
              <w:pStyle w:val="16"/>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121.88</w:t>
            </w:r>
          </w:p>
        </w:tc>
        <w:tc>
          <w:tcPr>
            <w:tcW w:w="2551" w:type="dxa"/>
            <w:vAlign w:val="center"/>
          </w:tcPr>
          <w:p>
            <w:pPr>
              <w:pStyle w:val="16"/>
            </w:pPr>
            <w:r>
              <w:t>121.88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121.03</w:t>
            </w:r>
          </w:p>
        </w:tc>
        <w:tc>
          <w:tcPr>
            <w:tcW w:w="2551" w:type="dxa"/>
            <w:vAlign w:val="center"/>
          </w:tcPr>
          <w:p>
            <w:pPr>
              <w:pStyle w:val="16"/>
            </w:pPr>
            <w:r>
              <w:t>121.03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432廊坊市广阳区第二幼儿园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432廊坊市广阳区第二幼儿园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432廊坊市广阳区第二幼儿园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廊坊市广阳区第二幼儿园2023年部门预算信息公开情况说明</w:t>
      </w:r>
    </w:p>
    <w:p>
      <w:pPr>
        <w:jc w:val="center"/>
      </w:pPr>
      <w:r>
        <w:rPr>
          <w:rFonts w:ascii="方正小标宋_GBK" w:hAnsi="方正小标宋_GBK" w:eastAsia="方正小标宋_GBK" w:cs="方正小标宋_GBK"/>
          <w:color w:val="000000"/>
          <w:sz w:val="44"/>
        </w:rPr>
        <w:t>廊坊市广阳区第二幼儿园2023年部门预算信息公开情况说明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预算法》、《地方预决算公开操作规程》和《关于进一步推进预算公开工作的实施意见》规定，现将廊坊市广阳区第二幼儿园2023年部门预算公开如下：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廊坊市广阳区第二幼儿园</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按照预算管理有关规定，目前我区部门预算的编制实行综合预算管理，即全部收入和支出都反映在预算中。廊坊市广阳区第二幼儿园机关及所属事业单位的收支包含在部门预算中。</w:t>
      </w:r>
    </w:p>
    <w:p>
      <w:pPr>
        <w:pStyle w:val="23"/>
      </w:pPr>
      <w:r>
        <w:t>1、收入说明</w:t>
      </w:r>
    </w:p>
    <w:p>
      <w:pPr>
        <w:pStyle w:val="23"/>
      </w:pPr>
      <w:r>
        <w:t>反映本部门当年全部收入。2023年预算收入1149.15万元，其中：一般公共预算收入1149.15万元，基金预算收入0万元，财政专户核拨收入0万元，其他来源收入0万元，上年结转0万元。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第二幼儿园2023年度部门预算中支出预算的总体情况。2023年支出预算1149.15万元，其中：基本支出1132.91万元，包括人员经费1125.13万元和日常公用经费7.78万元；项目支出16.24万元，全部为本级支出，主要为学前阶段生均公用经费项目。</w:t>
      </w:r>
    </w:p>
    <w:p>
      <w:pPr>
        <w:pStyle w:val="23"/>
      </w:pPr>
      <w:r>
        <w:t>3、比上年增减情况</w:t>
      </w:r>
    </w:p>
    <w:p>
      <w:pPr>
        <w:pStyle w:val="23"/>
      </w:pPr>
      <w:r>
        <w:t>2023年预算收支安排1149.15万元，较2022年预算增加138.52万元，其中：基本支出增加385.56万元，增加原因主要为人员经费支出增加；项目支出减少247.04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2023年，我部门运行经费共计安排7.78万元，主要用于办公区的日常维修、办公费用、办公用房水电费、办公用房取暖费、邮电费、差旅费等日常运行支出。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 按质按量完成教育教学方面的各项任务，稳步提升学校的教育教学质量绩效指标:学生综合素质评价优秀率达到85%,合格率达到100%。</w:t>
      </w:r>
    </w:p>
    <w:p>
      <w:pPr>
        <w:pStyle w:val="27"/>
      </w:pPr>
      <w:r>
        <w:t>2、培养高素质的教师队伤</w:t>
      </w:r>
    </w:p>
    <w:p>
      <w:pPr>
        <w:pStyle w:val="27"/>
      </w:pPr>
      <w:r>
        <w:t>绩效目标:开展制度化的教研组活动,培训学习活动,青年教师比赛课,网络继续教育培训等各类活动.</w:t>
      </w:r>
    </w:p>
    <w:p>
      <w:pPr>
        <w:pStyle w:val="27"/>
      </w:pPr>
      <w:r>
        <w:t>绩效指标:确保年度教师队伤培训率达到95%以上,有效促进教师教育教学水平的提升</w:t>
      </w:r>
    </w:p>
    <w:p>
      <w:pPr>
        <w:pStyle w:val="27"/>
      </w:pPr>
      <w:r>
        <w:t>3、学校办学条件的发展建设</w:t>
      </w:r>
    </w:p>
    <w:p>
      <w:pPr>
        <w:pStyle w:val="27"/>
      </w:pPr>
      <w:r>
        <w:t>结效目标:不断改善办学条件，提升学校基础设施设备的整体水平。加强学校基础设施设备的维护,确保校园安全,落实校园防火及其他安全隐患的预防工作。绩效指标:确保校园各设施设备的正常运行。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pStyle w:val="27"/>
      </w:pP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991"/>
        <w:gridCol w:w="1418"/>
        <w:gridCol w:w="3118"/>
        <w:gridCol w:w="3261"/>
        <w:gridCol w:w="1294"/>
        <w:gridCol w:w="1258"/>
        <w:gridCol w:w="992"/>
        <w:gridCol w:w="177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4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26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3544"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77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99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418" w:type="dxa"/>
            <w:vMerge w:val="continue"/>
            <w:shd w:val="clear" w:color="auto" w:fill="auto"/>
            <w:vAlign w:val="center"/>
          </w:tcPr>
          <w:p>
            <w:pPr>
              <w:rPr>
                <w:rFonts w:ascii="方正书宋_GBK" w:hAnsi="宋体" w:eastAsia="方正书宋_GBK" w:cs="宋体"/>
                <w:b/>
                <w:bCs/>
                <w:color w:val="000000"/>
              </w:rPr>
            </w:pPr>
          </w:p>
        </w:tc>
        <w:tc>
          <w:tcPr>
            <w:tcW w:w="3118" w:type="dxa"/>
            <w:vMerge w:val="continue"/>
            <w:shd w:val="clear" w:color="auto" w:fill="auto"/>
            <w:vAlign w:val="center"/>
          </w:tcPr>
          <w:p>
            <w:pPr>
              <w:rPr>
                <w:rFonts w:ascii="方正书宋_GBK" w:hAnsi="宋体" w:eastAsia="方正书宋_GBK" w:cs="宋体"/>
                <w:b/>
                <w:bCs/>
                <w:color w:val="000000"/>
              </w:rPr>
            </w:pPr>
          </w:p>
        </w:tc>
        <w:tc>
          <w:tcPr>
            <w:tcW w:w="3261" w:type="dxa"/>
            <w:vMerge w:val="continue"/>
            <w:shd w:val="clear" w:color="auto" w:fill="auto"/>
            <w:vAlign w:val="center"/>
          </w:tcPr>
          <w:p>
            <w:pPr>
              <w:rPr>
                <w:rFonts w:ascii="方正书宋_GBK" w:hAnsi="宋体" w:eastAsia="方正书宋_GBK" w:cs="宋体"/>
                <w:b/>
                <w:bCs/>
                <w:color w:val="000000"/>
              </w:rPr>
            </w:pPr>
          </w:p>
        </w:tc>
        <w:tc>
          <w:tcPr>
            <w:tcW w:w="129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125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774"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保障幼儿人数</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10</w:t>
            </w:r>
            <w:r>
              <w:rPr>
                <w:rFonts w:hint="eastAsia" w:ascii="宋体" w:hAnsi="宋体" w:eastAsia="宋体" w:cs="宋体"/>
                <w:color w:val="000000"/>
                <w:sz w:val="22"/>
                <w:szCs w:val="22"/>
              </w:rPr>
              <w:t>人，扣减分值</w:t>
            </w:r>
            <w:r>
              <w:rPr>
                <w:color w:val="000000"/>
                <w:sz w:val="22"/>
                <w:szCs w:val="22"/>
              </w:rPr>
              <w:t>1%</w:t>
            </w:r>
          </w:p>
        </w:tc>
        <w:tc>
          <w:tcPr>
            <w:tcW w:w="326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1294"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125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406</w:t>
            </w:r>
          </w:p>
        </w:tc>
        <w:tc>
          <w:tcPr>
            <w:tcW w:w="992"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人</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实际招生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保障教学天数</w:t>
            </w:r>
          </w:p>
        </w:tc>
        <w:tc>
          <w:tcPr>
            <w:tcW w:w="311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每减少</w:t>
            </w:r>
            <w:r>
              <w:rPr>
                <w:color w:val="000000"/>
                <w:sz w:val="22"/>
                <w:szCs w:val="22"/>
              </w:rPr>
              <w:t>10</w:t>
            </w:r>
            <w:r>
              <w:rPr>
                <w:rFonts w:hint="eastAsia" w:ascii="宋体" w:hAnsi="宋体" w:eastAsia="宋体" w:cs="宋体"/>
                <w:color w:val="000000"/>
                <w:sz w:val="22"/>
                <w:szCs w:val="22"/>
              </w:rPr>
              <w:t>天，减数量分值的</w:t>
            </w:r>
            <w:r>
              <w:rPr>
                <w:color w:val="000000"/>
                <w:sz w:val="22"/>
                <w:szCs w:val="22"/>
              </w:rPr>
              <w:t>10%</w:t>
            </w:r>
            <w:r>
              <w:rPr>
                <w:rFonts w:hint="eastAsia" w:ascii="宋体" w:hAnsi="宋体" w:eastAsia="宋体" w:cs="宋体"/>
                <w:color w:val="000000"/>
                <w:sz w:val="22"/>
                <w:szCs w:val="22"/>
              </w:rPr>
              <w:t>。</w:t>
            </w:r>
          </w:p>
        </w:tc>
        <w:tc>
          <w:tcPr>
            <w:tcW w:w="326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129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5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280</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天</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r>
              <w:rPr>
                <w:rFonts w:hint="eastAsia" w:ascii="宋体" w:hAnsi="宋体" w:eastAsia="宋体" w:cs="宋体"/>
                <w:color w:val="000000"/>
                <w:sz w:val="22"/>
                <w:szCs w:val="22"/>
              </w:rPr>
              <w:t>。</w:t>
            </w:r>
          </w:p>
        </w:tc>
        <w:tc>
          <w:tcPr>
            <w:tcW w:w="326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129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5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教育教学活动考核合格率</w:t>
            </w:r>
          </w:p>
        </w:tc>
        <w:tc>
          <w:tcPr>
            <w:tcW w:w="311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326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教育教学活动考核合格率</w:t>
            </w:r>
          </w:p>
        </w:tc>
        <w:tc>
          <w:tcPr>
            <w:tcW w:w="129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5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77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教育教学活动考核表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326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129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58"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311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每出现</w:t>
            </w:r>
            <w:r>
              <w:rPr>
                <w:color w:val="000000"/>
                <w:sz w:val="22"/>
                <w:szCs w:val="22"/>
              </w:rPr>
              <w:t>1</w:t>
            </w:r>
            <w:r>
              <w:rPr>
                <w:rFonts w:hint="eastAsia" w:ascii="宋体" w:hAnsi="宋体" w:eastAsia="宋体" w:cs="宋体"/>
                <w:color w:val="000000"/>
                <w:sz w:val="22"/>
                <w:szCs w:val="22"/>
              </w:rPr>
              <w:t>次未在规定时间内开展，扣</w:t>
            </w:r>
            <w:r>
              <w:rPr>
                <w:color w:val="000000"/>
                <w:sz w:val="22"/>
                <w:szCs w:val="22"/>
              </w:rPr>
              <w:t>10%</w:t>
            </w:r>
            <w:r>
              <w:rPr>
                <w:rFonts w:hint="eastAsia" w:ascii="宋体" w:hAnsi="宋体" w:eastAsia="宋体" w:cs="宋体"/>
                <w:color w:val="000000"/>
                <w:sz w:val="22"/>
                <w:szCs w:val="22"/>
              </w:rPr>
              <w:t>权重分。</w:t>
            </w:r>
          </w:p>
        </w:tc>
        <w:tc>
          <w:tcPr>
            <w:tcW w:w="326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129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58"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日常公用经费开支标准</w:t>
            </w:r>
          </w:p>
        </w:tc>
        <w:tc>
          <w:tcPr>
            <w:tcW w:w="311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每超过一项规定标准扣标准分值的</w:t>
            </w:r>
            <w:r>
              <w:rPr>
                <w:color w:val="000000"/>
                <w:sz w:val="22"/>
                <w:szCs w:val="22"/>
              </w:rPr>
              <w:t>10%</w:t>
            </w:r>
            <w:r>
              <w:rPr>
                <w:rFonts w:hint="eastAsia" w:ascii="宋体" w:hAnsi="宋体" w:eastAsia="宋体" w:cs="宋体"/>
                <w:color w:val="000000"/>
                <w:sz w:val="22"/>
                <w:szCs w:val="22"/>
              </w:rPr>
              <w:t>。</w:t>
            </w:r>
          </w:p>
        </w:tc>
        <w:tc>
          <w:tcPr>
            <w:tcW w:w="3261"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办公费、水电费、交通费、会议费、工会经费、招待费及其他公用经费的开支标准</w:t>
            </w:r>
          </w:p>
        </w:tc>
        <w:tc>
          <w:tcPr>
            <w:tcW w:w="129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1258" w:type="dxa"/>
            <w:shd w:val="clear" w:color="auto" w:fill="auto"/>
            <w:tcMar>
              <w:top w:w="15" w:type="dxa"/>
              <w:left w:w="15" w:type="dxa"/>
              <w:bottom w:w="0" w:type="dxa"/>
              <w:right w:w="15" w:type="dxa"/>
            </w:tcMar>
          </w:tcPr>
          <w:p>
            <w:pPr>
              <w:rPr>
                <w:color w:val="000000"/>
                <w:sz w:val="22"/>
                <w:szCs w:val="22"/>
              </w:rPr>
            </w:pPr>
          </w:p>
        </w:tc>
        <w:tc>
          <w:tcPr>
            <w:tcW w:w="992"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按统一规定执行</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99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326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129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1258" w:type="dxa"/>
            <w:shd w:val="clear" w:color="auto" w:fill="auto"/>
            <w:tcMar>
              <w:top w:w="15" w:type="dxa"/>
              <w:left w:w="15" w:type="dxa"/>
              <w:bottom w:w="0" w:type="dxa"/>
              <w:right w:w="15" w:type="dxa"/>
            </w:tcMar>
            <w:vAlign w:val="center"/>
          </w:tcPr>
          <w:p>
            <w:pPr>
              <w:rPr>
                <w:color w:val="000000"/>
                <w:sz w:val="22"/>
                <w:szCs w:val="22"/>
              </w:rPr>
            </w:pPr>
          </w:p>
        </w:tc>
        <w:tc>
          <w:tcPr>
            <w:tcW w:w="992"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tcPr>
          <w:p>
            <w:pPr>
              <w:rPr>
                <w:rFonts w:ascii="方正书宋_GBK" w:eastAsia="方正书宋_GBK"/>
                <w:color w:val="000000"/>
              </w:rPr>
            </w:pPr>
            <w:r>
              <w:rPr>
                <w:rFonts w:hint="eastAsia" w:ascii="方正书宋_GBK" w:eastAsia="方正书宋_GBK"/>
                <w:color w:val="000000"/>
              </w:rPr>
              <w:t>满意度</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幼儿及家长满意度</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261"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幼儿及家长满意度</w:t>
            </w:r>
          </w:p>
        </w:tc>
        <w:tc>
          <w:tcPr>
            <w:tcW w:w="129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5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满意度</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3118"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261"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1294"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58"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77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406人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2023年，廊坊市广阳区第二幼儿园安排政府采购预算0.00万元。具体内容见下表。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432廊坊市广阳区第二幼儿园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廊坊市广阳区第二幼儿园（含所属单位）上年末固定资产金额为385.94万元（详见下表）。本年度拟购置固定资产总额为17.57万元，已按要求列入政府采购预算，详见政府采购预算表。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432廊坊市广阳区第二幼儿园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3067</w:t>
            </w:r>
          </w:p>
        </w:tc>
        <w:tc>
          <w:tcPr>
            <w:tcW w:w="2835" w:type="dxa"/>
            <w:vAlign w:val="center"/>
          </w:tcPr>
          <w:p>
            <w:pPr>
              <w:pStyle w:val="16"/>
            </w:pPr>
            <w:r>
              <w:t>385.94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3067</w:t>
            </w:r>
          </w:p>
        </w:tc>
        <w:tc>
          <w:tcPr>
            <w:tcW w:w="2835" w:type="dxa"/>
            <w:vAlign w:val="center"/>
          </w:tcPr>
          <w:p>
            <w:pPr>
              <w:pStyle w:val="16"/>
            </w:pPr>
            <w:r>
              <w:t>385.94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51779"/>
    <w:rsid w:val="00151779"/>
    <w:rsid w:val="004A1B03"/>
    <w:rsid w:val="004C3F39"/>
    <w:rsid w:val="0061771F"/>
    <w:rsid w:val="009C0ABC"/>
    <w:rsid w:val="00F21C51"/>
    <w:rsid w:val="00F44ECA"/>
    <w:rsid w:val="00FB655E"/>
    <w:rsid w:val="552A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2023-03-13T11:06:47Z</dcterms:created>
  <dcterms:modified xsi:type="dcterms:W3CDTF">2023-03-13T03:06:47Z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2023-03-13T11:06:50Z</dcterms:created>
  <dcterms:modified xsi:type="dcterms:W3CDTF">2023-03-13T03:06:50Z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2023-03-13T11:06:48Z</dcterms:created>
  <dcterms:modified xsi:type="dcterms:W3CDTF">2023-03-13T03:06:48Z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DDD7625-4BDE-4A52-85EE-BD36D668FECA}">
  <ds:schemaRefs/>
</ds:datastoreItem>
</file>

<file path=customXml/itemProps10.xml><?xml version="1.0" encoding="utf-8"?>
<ds:datastoreItem xmlns:ds="http://schemas.openxmlformats.org/officeDocument/2006/customXml" ds:itemID="{EA80391C-E0DD-4356-B081-5D11397FF1E8}">
  <ds:schemaRefs/>
</ds:datastoreItem>
</file>

<file path=customXml/itemProps11.xml><?xml version="1.0" encoding="utf-8"?>
<ds:datastoreItem xmlns:ds="http://schemas.openxmlformats.org/officeDocument/2006/customXml" ds:itemID="{71555BC0-3E50-40E6-AD02-23F43A458801}">
  <ds:schemaRefs/>
</ds:datastoreItem>
</file>

<file path=customXml/itemProps12.xml><?xml version="1.0" encoding="utf-8"?>
<ds:datastoreItem xmlns:ds="http://schemas.openxmlformats.org/officeDocument/2006/customXml" ds:itemID="{93DDF725-5843-4FA5-98C2-2B8F81D37315}">
  <ds:schemaRefs/>
</ds:datastoreItem>
</file>

<file path=customXml/itemProps13.xml><?xml version="1.0" encoding="utf-8"?>
<ds:datastoreItem xmlns:ds="http://schemas.openxmlformats.org/officeDocument/2006/customXml" ds:itemID="{6E109F16-5345-48EB-BB13-00F982280CC2}">
  <ds:schemaRefs/>
</ds:datastoreItem>
</file>

<file path=customXml/itemProps14.xml><?xml version="1.0" encoding="utf-8"?>
<ds:datastoreItem xmlns:ds="http://schemas.openxmlformats.org/officeDocument/2006/customXml" ds:itemID="{8E4650AD-5B54-41CD-A116-9DCEAC970546}">
  <ds:schemaRefs/>
</ds:datastoreItem>
</file>

<file path=customXml/itemProps2.xml><?xml version="1.0" encoding="utf-8"?>
<ds:datastoreItem xmlns:ds="http://schemas.openxmlformats.org/officeDocument/2006/customXml" ds:itemID="{2595E371-1986-4083-A9E7-16B64FF463DB}">
  <ds:schemaRefs/>
</ds:datastoreItem>
</file>

<file path=customXml/itemProps3.xml><?xml version="1.0" encoding="utf-8"?>
<ds:datastoreItem xmlns:ds="http://schemas.openxmlformats.org/officeDocument/2006/customXml" ds:itemID="{5636E382-DB52-4BCB-B518-CB2413C856C0}">
  <ds:schemaRefs/>
</ds:datastoreItem>
</file>

<file path=customXml/itemProps4.xml><?xml version="1.0" encoding="utf-8"?>
<ds:datastoreItem xmlns:ds="http://schemas.openxmlformats.org/officeDocument/2006/customXml" ds:itemID="{8C2AE308-2061-49D2-B39E-E85D4F0E68B2}">
  <ds:schemaRefs/>
</ds:datastoreItem>
</file>

<file path=customXml/itemProps5.xml><?xml version="1.0" encoding="utf-8"?>
<ds:datastoreItem xmlns:ds="http://schemas.openxmlformats.org/officeDocument/2006/customXml" ds:itemID="{2C3DA452-D346-4232-AF8E-B8DE5BFC59B9}">
  <ds:schemaRefs/>
</ds:datastoreItem>
</file>

<file path=customXml/itemProps6.xml><?xml version="1.0" encoding="utf-8"?>
<ds:datastoreItem xmlns:ds="http://schemas.openxmlformats.org/officeDocument/2006/customXml" ds:itemID="{7CB8D626-5D24-40A8-B5A9-24E208B2AD95}">
  <ds:schemaRefs/>
</ds:datastoreItem>
</file>

<file path=customXml/itemProps7.xml><?xml version="1.0" encoding="utf-8"?>
<ds:datastoreItem xmlns:ds="http://schemas.openxmlformats.org/officeDocument/2006/customXml" ds:itemID="{A5BB6991-D18D-4856-B854-2E6655F1110D}">
  <ds:schemaRefs/>
</ds:datastoreItem>
</file>

<file path=customXml/itemProps8.xml><?xml version="1.0" encoding="utf-8"?>
<ds:datastoreItem xmlns:ds="http://schemas.openxmlformats.org/officeDocument/2006/customXml" ds:itemID="{FF83021B-F3AD-4D19-91E6-DC37E1F228F9}">
  <ds:schemaRefs/>
</ds:datastoreItem>
</file>

<file path=customXml/itemProps9.xml><?xml version="1.0" encoding="utf-8"?>
<ds:datastoreItem xmlns:ds="http://schemas.openxmlformats.org/officeDocument/2006/customXml" ds:itemID="{50A86149-3FAB-4295-852A-EB7CEB2BFB48}">
  <ds:schemaRefs/>
</ds:datastoreItem>
</file>

<file path=docProps/app.xml><?xml version="1.0" encoding="utf-8"?>
<Properties xmlns="http://schemas.openxmlformats.org/officeDocument/2006/extended-properties" xmlns:vt="http://schemas.openxmlformats.org/officeDocument/2006/docPropsVTypes">
  <Template>Normal</Template>
  <Pages>24</Pages>
  <Words>1499</Words>
  <Characters>8548</Characters>
  <Lines>71</Lines>
  <Paragraphs>20</Paragraphs>
  <TotalTime>1</TotalTime>
  <ScaleCrop>false</ScaleCrop>
  <LinksUpToDate>false</LinksUpToDate>
  <CharactersWithSpaces>10027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2023-03-13T11:06:00Z</dcterms:created>
  <dc:creator>Administrator</dc:creator>
  <cp:lastModifiedBy>Administrator</cp:lastModifiedBy>
  <dcterms:modified xsi:type="dcterms:W3CDTF">2024-01-10T09:58:37Z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0D7AE71D97F34033B9DADEFAD067B6FF</vt:lpwstr>
  </property>
</Properties>
</file>