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210.59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210.59</w:t>
            </w:r>
          </w:p>
        </w:tc>
        <w:tc>
          <w:tcPr>
            <w:tcW w:w="4535" w:type="dxa"/>
            <w:vAlign w:val="center"/>
          </w:tcPr>
          <w:p>
            <w:pPr>
              <w:pStyle w:val="19"/>
            </w:pPr>
            <w:r>
              <w:t>本年支出合计</w:t>
            </w:r>
          </w:p>
        </w:tc>
        <w:tc>
          <w:tcPr>
            <w:tcW w:w="2126" w:type="dxa"/>
            <w:vAlign w:val="center"/>
          </w:tcPr>
          <w:p>
            <w:pPr>
              <w:pStyle w:val="20"/>
            </w:pPr>
            <w:r>
              <w:t>210.59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210.59</w:t>
            </w:r>
          </w:p>
        </w:tc>
        <w:tc>
          <w:tcPr>
            <w:tcW w:w="4535" w:type="dxa"/>
            <w:vAlign w:val="center"/>
          </w:tcPr>
          <w:p>
            <w:pPr>
              <w:pStyle w:val="19"/>
            </w:pPr>
            <w:r>
              <w:t>支出总计</w:t>
            </w:r>
          </w:p>
        </w:tc>
        <w:tc>
          <w:tcPr>
            <w:tcW w:w="2126" w:type="dxa"/>
            <w:vAlign w:val="center"/>
          </w:tcPr>
          <w:p>
            <w:pPr>
              <w:pStyle w:val="20"/>
            </w:pPr>
            <w:r>
              <w:t>210.59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438001廊坊市广阳区第八幼儿园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210.59</w:t>
            </w:r>
          </w:p>
        </w:tc>
        <w:tc>
          <w:tcPr>
            <w:tcW w:w="1134" w:type="dxa"/>
            <w:vAlign w:val="center"/>
          </w:tcPr>
          <w:p>
            <w:pPr>
              <w:pStyle w:val="20"/>
            </w:pPr>
            <w:r>
              <w:t>210.59</w:t>
            </w:r>
          </w:p>
        </w:tc>
        <w:tc>
          <w:tcPr>
            <w:tcW w:w="1134" w:type="dxa"/>
            <w:vAlign w:val="center"/>
          </w:tcPr>
          <w:p>
            <w:pPr>
              <w:pStyle w:val="20"/>
            </w:pPr>
            <w:r>
              <w:t>210.59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r>
              <w:t>210.59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0.00</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210.59</w:t>
            </w:r>
          </w:p>
        </w:tc>
        <w:tc>
          <w:tcPr>
            <w:tcW w:w="1361" w:type="dxa"/>
            <w:vAlign w:val="center"/>
          </w:tcPr>
          <w:p>
            <w:pPr>
              <w:pStyle w:val="20"/>
            </w:pPr>
            <w:r>
              <w:t>203.27</w:t>
            </w:r>
          </w:p>
        </w:tc>
        <w:tc>
          <w:tcPr>
            <w:tcW w:w="1361" w:type="dxa"/>
            <w:vAlign w:val="center"/>
          </w:tcPr>
          <w:p>
            <w:pPr>
              <w:pStyle w:val="20"/>
            </w:pPr>
            <w:r>
              <w:t>7.32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210.59</w:t>
            </w:r>
          </w:p>
        </w:tc>
        <w:tc>
          <w:tcPr>
            <w:tcW w:w="1361" w:type="dxa"/>
            <w:vAlign w:val="center"/>
          </w:tcPr>
          <w:p>
            <w:pPr>
              <w:pStyle w:val="16"/>
            </w:pPr>
            <w:r>
              <w:t>203.27</w:t>
            </w:r>
          </w:p>
        </w:tc>
        <w:tc>
          <w:tcPr>
            <w:tcW w:w="1361" w:type="dxa"/>
            <w:vAlign w:val="center"/>
          </w:tcPr>
          <w:p>
            <w:pPr>
              <w:pStyle w:val="16"/>
            </w:pPr>
            <w:r>
              <w:t>7.32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210.59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210.59</w:t>
            </w:r>
          </w:p>
        </w:tc>
        <w:tc>
          <w:tcPr>
            <w:tcW w:w="1474" w:type="dxa"/>
            <w:vAlign w:val="center"/>
          </w:tcPr>
          <w:p>
            <w:pPr>
              <w:pStyle w:val="16"/>
            </w:pPr>
            <w:r>
              <w:t>210.59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210.59</w:t>
            </w:r>
          </w:p>
        </w:tc>
        <w:tc>
          <w:tcPr>
            <w:tcW w:w="3402" w:type="dxa"/>
            <w:vAlign w:val="center"/>
          </w:tcPr>
          <w:p>
            <w:pPr>
              <w:pStyle w:val="19"/>
            </w:pPr>
            <w:r>
              <w:t>本年支出合计</w:t>
            </w:r>
          </w:p>
        </w:tc>
        <w:tc>
          <w:tcPr>
            <w:tcW w:w="1474" w:type="dxa"/>
            <w:vAlign w:val="center"/>
          </w:tcPr>
          <w:p>
            <w:pPr>
              <w:pStyle w:val="20"/>
            </w:pPr>
            <w:r>
              <w:t>210.59</w:t>
            </w:r>
          </w:p>
        </w:tc>
        <w:tc>
          <w:tcPr>
            <w:tcW w:w="1474" w:type="dxa"/>
            <w:vAlign w:val="center"/>
          </w:tcPr>
          <w:p>
            <w:pPr>
              <w:pStyle w:val="20"/>
            </w:pPr>
            <w:r>
              <w:t>210.59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210.59</w:t>
            </w:r>
          </w:p>
        </w:tc>
        <w:tc>
          <w:tcPr>
            <w:tcW w:w="3402" w:type="dxa"/>
            <w:vAlign w:val="center"/>
          </w:tcPr>
          <w:p>
            <w:pPr>
              <w:pStyle w:val="19"/>
            </w:pPr>
            <w:r>
              <w:t>支出总计</w:t>
            </w:r>
          </w:p>
        </w:tc>
        <w:tc>
          <w:tcPr>
            <w:tcW w:w="1474" w:type="dxa"/>
            <w:vAlign w:val="center"/>
          </w:tcPr>
          <w:p>
            <w:pPr>
              <w:pStyle w:val="20"/>
            </w:pPr>
            <w:r>
              <w:t>210.59</w:t>
            </w:r>
          </w:p>
        </w:tc>
        <w:tc>
          <w:tcPr>
            <w:tcW w:w="1474" w:type="dxa"/>
            <w:vAlign w:val="center"/>
          </w:tcPr>
          <w:p>
            <w:pPr>
              <w:pStyle w:val="20"/>
            </w:pPr>
            <w:r>
              <w:t>210.59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210.59</w:t>
            </w:r>
          </w:p>
        </w:tc>
        <w:tc>
          <w:tcPr>
            <w:tcW w:w="2551" w:type="dxa"/>
            <w:vAlign w:val="center"/>
          </w:tcPr>
          <w:p>
            <w:pPr>
              <w:pStyle w:val="20"/>
            </w:pPr>
            <w:r>
              <w:t>203.27</w:t>
            </w:r>
          </w:p>
        </w:tc>
        <w:tc>
          <w:tcPr>
            <w:tcW w:w="2551" w:type="dxa"/>
            <w:vAlign w:val="center"/>
          </w:tcPr>
          <w:p>
            <w:pPr>
              <w:pStyle w:val="2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210.59</w:t>
            </w:r>
          </w:p>
        </w:tc>
        <w:tc>
          <w:tcPr>
            <w:tcW w:w="2551" w:type="dxa"/>
            <w:vAlign w:val="center"/>
          </w:tcPr>
          <w:p>
            <w:pPr>
              <w:pStyle w:val="16"/>
            </w:pPr>
            <w:r>
              <w:t>203.27</w:t>
            </w:r>
          </w:p>
        </w:tc>
        <w:tc>
          <w:tcPr>
            <w:tcW w:w="2551" w:type="dxa"/>
            <w:vAlign w:val="center"/>
          </w:tcPr>
          <w:p>
            <w:pPr>
              <w:pStyle w:val="16"/>
            </w:pPr>
            <w:r>
              <w:t>7.32</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203.27</w:t>
            </w:r>
          </w:p>
        </w:tc>
        <w:tc>
          <w:tcPr>
            <w:tcW w:w="2551" w:type="dxa"/>
            <w:vAlign w:val="center"/>
          </w:tcPr>
          <w:p>
            <w:pPr>
              <w:pStyle w:val="20"/>
            </w:pPr>
            <w:r>
              <w:t>203.27</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203.26</w:t>
            </w:r>
          </w:p>
        </w:tc>
        <w:tc>
          <w:tcPr>
            <w:tcW w:w="2551" w:type="dxa"/>
            <w:vAlign w:val="center"/>
          </w:tcPr>
          <w:p>
            <w:pPr>
              <w:pStyle w:val="16"/>
            </w:pPr>
            <w:r>
              <w:t>203.26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51.56</w:t>
            </w:r>
          </w:p>
        </w:tc>
        <w:tc>
          <w:tcPr>
            <w:tcW w:w="2551" w:type="dxa"/>
            <w:vAlign w:val="center"/>
          </w:tcPr>
          <w:p>
            <w:pPr>
              <w:pStyle w:val="16"/>
            </w:pPr>
            <w:r>
              <w:t>51.56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20.86</w:t>
            </w:r>
          </w:p>
        </w:tc>
        <w:tc>
          <w:tcPr>
            <w:tcW w:w="2551" w:type="dxa"/>
            <w:vAlign w:val="center"/>
          </w:tcPr>
          <w:p>
            <w:pPr>
              <w:pStyle w:val="16"/>
            </w:pPr>
            <w:r>
              <w:t>20.86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39.96</w:t>
            </w:r>
          </w:p>
        </w:tc>
        <w:tc>
          <w:tcPr>
            <w:tcW w:w="2551" w:type="dxa"/>
            <w:vAlign w:val="center"/>
          </w:tcPr>
          <w:p>
            <w:pPr>
              <w:pStyle w:val="16"/>
            </w:pPr>
            <w:r>
              <w:t>39.96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47.80</w:t>
            </w:r>
          </w:p>
        </w:tc>
        <w:tc>
          <w:tcPr>
            <w:tcW w:w="2551" w:type="dxa"/>
            <w:vAlign w:val="center"/>
          </w:tcPr>
          <w:p>
            <w:pPr>
              <w:pStyle w:val="16"/>
            </w:pPr>
            <w:r>
              <w:t>47.80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19.12</w:t>
            </w:r>
          </w:p>
        </w:tc>
        <w:tc>
          <w:tcPr>
            <w:tcW w:w="2551" w:type="dxa"/>
            <w:vAlign w:val="center"/>
          </w:tcPr>
          <w:p>
            <w:pPr>
              <w:pStyle w:val="16"/>
            </w:pPr>
            <w:r>
              <w:t>19.12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6.79</w:t>
            </w:r>
          </w:p>
        </w:tc>
        <w:tc>
          <w:tcPr>
            <w:tcW w:w="2551" w:type="dxa"/>
            <w:vAlign w:val="center"/>
          </w:tcPr>
          <w:p>
            <w:pPr>
              <w:pStyle w:val="16"/>
            </w:pPr>
            <w:r>
              <w:t>6.79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0.56</w:t>
            </w:r>
          </w:p>
        </w:tc>
        <w:tc>
          <w:tcPr>
            <w:tcW w:w="2551" w:type="dxa"/>
            <w:vAlign w:val="center"/>
          </w:tcPr>
          <w:p>
            <w:pPr>
              <w:pStyle w:val="16"/>
            </w:pPr>
            <w:r>
              <w:t>0.56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16.07</w:t>
            </w:r>
          </w:p>
        </w:tc>
        <w:tc>
          <w:tcPr>
            <w:tcW w:w="2551" w:type="dxa"/>
            <w:vAlign w:val="center"/>
          </w:tcPr>
          <w:p>
            <w:pPr>
              <w:pStyle w:val="16"/>
            </w:pPr>
            <w:r>
              <w:t>16.07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0.54</w:t>
            </w:r>
          </w:p>
        </w:tc>
        <w:tc>
          <w:tcPr>
            <w:tcW w:w="2551" w:type="dxa"/>
            <w:vAlign w:val="center"/>
          </w:tcPr>
          <w:p>
            <w:pPr>
              <w:pStyle w:val="16"/>
            </w:pPr>
            <w:r>
              <w:t>0.54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438001廊坊市广阳区第八幼儿园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廊坊市广阳区第八幼儿园2023年单位预算信息公开情况说明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预算法》、《地方预决算公开操作规程》和《关于进一步推进预算公开工作的实施意见》规定，现将廊坊市广阳区第八幼儿园2023年单位预算公开如下：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廊坊市广阳区第八幼儿园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反映本部门当年全部收入。2023年预算收入210.59万元，其中：一般公共预算收入 210.59万元，基金预算收入0万元，财政专户核拨收入0万元，其他来源收入0万元，上年结转 0万元。</w:t>
      </w:r>
    </w:p>
    <w:p>
      <w:pPr>
        <w:pStyle w:val="31"/>
      </w:pPr>
      <w:r>
        <w:t>2、支出说明</w:t>
      </w:r>
    </w:p>
    <w:p>
      <w:pPr>
        <w:pStyle w:val="31"/>
      </w:pPr>
      <w:r>
        <w:t>收支预算总表支出栏、基本支出表、项目支出表按经济分类和支出功能分类科目编制，反映廊坊市广阳区第八幼儿园2023年度部门预算中支出预算的总体情况。2023年支出预算210.59万元，其中：基本支出210.59万元，包括人员经费203.27万元；项目支出7.32万元，全部为本级支出，主要为学前教育阶段生均公用经费。</w:t>
      </w:r>
    </w:p>
    <w:p>
      <w:pPr>
        <w:pStyle w:val="31"/>
      </w:pPr>
      <w:r>
        <w:t>3、比上年增减情况</w:t>
      </w:r>
    </w:p>
    <w:p>
      <w:pPr>
        <w:pStyle w:val="31"/>
      </w:pPr>
      <w:r>
        <w:t>2023年预算收支安排210.59万元，较2022年预算增加35.11万元，其中：基本支出增加203.27万元，增加原因主要为人员经费支出增加；项目经费减少168.16万元,减少原因主要为2023年无合同制人员经费项目，合同制人员经费并入基本支出人员经费。</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运行经费共计安排0万元。</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rPr>
          <w:lang w:eastAsia="zh-CN"/>
        </w:rPr>
      </w:pPr>
      <w:r>
        <w:t>6、加强政治理论学习，强化党风廉政建设。做好师德传承活动，落实老中青传帮带。弘扬办学精神。加强师德宣传与学习活动。开展形式多样、扎实有效的师德教育活动。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29"/>
        <w:gridCol w:w="756"/>
        <w:gridCol w:w="1991"/>
        <w:gridCol w:w="5528"/>
        <w:gridCol w:w="2693"/>
        <w:gridCol w:w="567"/>
        <w:gridCol w:w="567"/>
        <w:gridCol w:w="609"/>
        <w:gridCol w:w="15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5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9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5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43"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b/>
                <w:bCs/>
                <w:color w:val="000000"/>
              </w:rPr>
            </w:pPr>
          </w:p>
        </w:tc>
        <w:tc>
          <w:tcPr>
            <w:tcW w:w="756"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9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52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69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6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59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满足教育教学学生人数</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183</w:t>
            </w:r>
          </w:p>
        </w:tc>
        <w:tc>
          <w:tcPr>
            <w:tcW w:w="609"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人</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实际在园人数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购买产品和服务的合格率</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20%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购买产品和服务的合格率</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产品和服务的使用验收情况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99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各项任务完成及时率</w:t>
            </w:r>
          </w:p>
        </w:tc>
        <w:tc>
          <w:tcPr>
            <w:tcW w:w="552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用于保障学校工作完成及时率</w:t>
            </w:r>
          </w:p>
        </w:tc>
        <w:tc>
          <w:tcPr>
            <w:tcW w:w="56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100</w:t>
            </w:r>
          </w:p>
        </w:tc>
        <w:tc>
          <w:tcPr>
            <w:tcW w:w="609"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91"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幼儿生均经费标准</w:t>
            </w:r>
          </w:p>
        </w:tc>
        <w:tc>
          <w:tcPr>
            <w:tcW w:w="552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幼儿生均经费标准</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400</w:t>
            </w:r>
          </w:p>
        </w:tc>
        <w:tc>
          <w:tcPr>
            <w:tcW w:w="609"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元</w:t>
            </w:r>
            <w:r>
              <w:rPr>
                <w:color w:val="000000"/>
                <w:sz w:val="22"/>
                <w:szCs w:val="22"/>
              </w:rPr>
              <w:t>/</w:t>
            </w:r>
            <w:r>
              <w:rPr>
                <w:rFonts w:hint="eastAsia" w:ascii="宋体" w:hAnsi="宋体" w:eastAsia="宋体" w:cs="宋体"/>
                <w:color w:val="000000"/>
                <w:sz w:val="22"/>
                <w:szCs w:val="22"/>
              </w:rPr>
              <w:t>生</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冀财教【</w:t>
            </w:r>
            <w:r>
              <w:rPr>
                <w:color w:val="000000"/>
              </w:rPr>
              <w:t>2018</w:t>
            </w:r>
            <w:r>
              <w:rPr>
                <w:rFonts w:hint="eastAsia" w:ascii="宋体" w:hAnsi="宋体" w:eastAsia="宋体" w:cs="宋体"/>
                <w:color w:val="000000"/>
              </w:rPr>
              <w:t>】</w:t>
            </w:r>
            <w:r>
              <w:rPr>
                <w:color w:val="000000"/>
              </w:rPr>
              <w:t>99</w:t>
            </w:r>
            <w:r>
              <w:rPr>
                <w:rFonts w:hint="eastAsia" w:ascii="宋体" w:hAnsi="宋体" w:eastAsia="宋体" w:cs="宋体"/>
                <w:color w:val="000000"/>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2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学前教育高质量发展</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该资金用于学校正常运转，改善办学条件</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6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改善</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工作计划、工作总结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1991"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无</w:t>
            </w:r>
          </w:p>
        </w:tc>
        <w:tc>
          <w:tcPr>
            <w:tcW w:w="552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无</w:t>
            </w:r>
          </w:p>
        </w:tc>
        <w:tc>
          <w:tcPr>
            <w:tcW w:w="56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6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无</w:t>
            </w:r>
          </w:p>
        </w:tc>
        <w:tc>
          <w:tcPr>
            <w:tcW w:w="1590"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无</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29" w:type="dxa"/>
            <w:vMerge w:val="continue"/>
            <w:shd w:val="clear" w:color="auto" w:fill="auto"/>
            <w:vAlign w:val="center"/>
          </w:tcPr>
          <w:p>
            <w:pPr>
              <w:rPr>
                <w:rFonts w:ascii="方正书宋_GBK" w:hAnsi="宋体" w:eastAsia="方正书宋_GBK" w:cs="宋体"/>
                <w:color w:val="000000"/>
              </w:rPr>
            </w:pPr>
          </w:p>
        </w:tc>
        <w:tc>
          <w:tcPr>
            <w:tcW w:w="756"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91"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w:t>
            </w:r>
          </w:p>
        </w:tc>
        <w:tc>
          <w:tcPr>
            <w:tcW w:w="552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达到指标值权重的满分，每降低指标值的</w:t>
            </w:r>
            <w:r>
              <w:rPr>
                <w:color w:val="000000"/>
                <w:sz w:val="22"/>
                <w:szCs w:val="22"/>
              </w:rPr>
              <w:t>5%</w:t>
            </w:r>
            <w:r>
              <w:rPr>
                <w:rFonts w:hint="eastAsia" w:ascii="宋体" w:hAnsi="宋体" w:eastAsia="宋体" w:cs="宋体"/>
                <w:color w:val="000000"/>
                <w:sz w:val="22"/>
                <w:szCs w:val="22"/>
              </w:rPr>
              <w:t>，扣权重分值的</w:t>
            </w:r>
            <w:r>
              <w:rPr>
                <w:color w:val="000000"/>
                <w:sz w:val="22"/>
                <w:szCs w:val="22"/>
              </w:rPr>
              <w:t>10%</w:t>
            </w:r>
            <w:r>
              <w:rPr>
                <w:rFonts w:hint="eastAsia" w:ascii="宋体" w:hAnsi="宋体" w:eastAsia="宋体" w:cs="宋体"/>
                <w:color w:val="000000"/>
                <w:sz w:val="22"/>
                <w:szCs w:val="22"/>
              </w:rPr>
              <w:t>。</w:t>
            </w:r>
          </w:p>
        </w:tc>
        <w:tc>
          <w:tcPr>
            <w:tcW w:w="2693"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在校师生的满意度</w:t>
            </w:r>
          </w:p>
        </w:tc>
        <w:tc>
          <w:tcPr>
            <w:tcW w:w="567" w:type="dxa"/>
            <w:shd w:val="clear" w:color="auto" w:fill="auto"/>
            <w:tcMar>
              <w:top w:w="15" w:type="dxa"/>
              <w:left w:w="15" w:type="dxa"/>
              <w:bottom w:w="0" w:type="dxa"/>
              <w:right w:w="15" w:type="dxa"/>
            </w:tcMar>
            <w:vAlign w:val="center"/>
          </w:tcPr>
          <w:p>
            <w:pPr>
              <w:rPr>
                <w:color w:val="000000"/>
              </w:rPr>
            </w:pPr>
            <w:r>
              <w:rPr>
                <w:color w:val="000000"/>
              </w:rPr>
              <w:t>≥</w:t>
            </w:r>
          </w:p>
        </w:tc>
        <w:tc>
          <w:tcPr>
            <w:tcW w:w="56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90</w:t>
            </w:r>
          </w:p>
        </w:tc>
        <w:tc>
          <w:tcPr>
            <w:tcW w:w="609"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w:t>
            </w:r>
          </w:p>
        </w:tc>
        <w:tc>
          <w:tcPr>
            <w:tcW w:w="1590"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183人</w:t>
            </w:r>
          </w:p>
          <w:p>
            <w:pPr>
              <w:pStyle w:val="17"/>
            </w:pPr>
          </w:p>
          <w:p>
            <w:pPr>
              <w:pStyle w:val="17"/>
            </w:pPr>
          </w:p>
          <w:p>
            <w:pPr>
              <w:pStyle w:val="17"/>
            </w:pPr>
          </w:p>
        </w:tc>
        <w:tc>
          <w:tcPr>
            <w:tcW w:w="2268" w:type="dxa"/>
            <w:vAlign w:val="center"/>
          </w:tcPr>
          <w:p>
            <w:pPr>
              <w:pStyle w:val="17"/>
            </w:pPr>
            <w:r>
              <w:t>实际在园人数</w:t>
            </w:r>
          </w:p>
          <w:p>
            <w:pPr>
              <w:pStyle w:val="17"/>
            </w:pPr>
          </w:p>
          <w:p>
            <w:pPr>
              <w:pStyle w:val="17"/>
            </w:pPr>
          </w:p>
          <w:p>
            <w:pPr>
              <w:pStyle w:val="17"/>
            </w:pPr>
          </w:p>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p>
            <w:pPr>
              <w:pStyle w:val="17"/>
            </w:pP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2、支持学前教育发展资金[中央]绩效目标表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1.支持学前教育，促进幼儿健康发展。</w:t>
            </w:r>
          </w:p>
          <w:p>
            <w:pPr>
              <w:pStyle w:val="17"/>
            </w:pPr>
            <w:r>
              <w:t>2.维持园内正常运转。</w:t>
            </w:r>
          </w:p>
          <w:p>
            <w:pPr>
              <w:pStyle w:val="17"/>
            </w:pPr>
            <w:r>
              <w:t>3.保证幼儿安全。</w:t>
            </w:r>
          </w:p>
          <w:p>
            <w:pPr>
              <w:pStyle w:val="17"/>
            </w:pPr>
            <w:r>
              <w:t>4.提升教育环境</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满足幼儿教学需要</w:t>
            </w:r>
          </w:p>
        </w:tc>
        <w:tc>
          <w:tcPr>
            <w:tcW w:w="2835" w:type="dxa"/>
            <w:vAlign w:val="center"/>
          </w:tcPr>
          <w:p>
            <w:pPr>
              <w:pStyle w:val="17"/>
            </w:pPr>
            <w:r>
              <w:t>满足幼儿教育教学需要</w:t>
            </w:r>
          </w:p>
        </w:tc>
        <w:tc>
          <w:tcPr>
            <w:tcW w:w="2551" w:type="dxa"/>
            <w:vAlign w:val="center"/>
          </w:tcPr>
          <w:p>
            <w:pPr>
              <w:pStyle w:val="17"/>
            </w:pPr>
            <w:r>
              <w:t>184人</w:t>
            </w:r>
          </w:p>
        </w:tc>
        <w:tc>
          <w:tcPr>
            <w:tcW w:w="2268" w:type="dxa"/>
            <w:vAlign w:val="center"/>
          </w:tcPr>
          <w:p>
            <w:pPr>
              <w:pStyle w:val="17"/>
            </w:pPr>
            <w:r>
              <w:t>教育统计幼儿人数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资金使用合规率</w:t>
            </w:r>
          </w:p>
        </w:tc>
        <w:tc>
          <w:tcPr>
            <w:tcW w:w="2835" w:type="dxa"/>
            <w:vAlign w:val="center"/>
          </w:tcPr>
          <w:p>
            <w:pPr>
              <w:pStyle w:val="17"/>
            </w:pPr>
            <w:r>
              <w:t>经费使用合规率</w:t>
            </w:r>
          </w:p>
        </w:tc>
        <w:tc>
          <w:tcPr>
            <w:tcW w:w="2551" w:type="dxa"/>
            <w:vAlign w:val="center"/>
          </w:tcPr>
          <w:p>
            <w:pPr>
              <w:pStyle w:val="17"/>
            </w:pPr>
            <w:r>
              <w:t>100%</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用于保障学校正常运转项目完成及时率</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运行保障成本</w:t>
            </w:r>
          </w:p>
        </w:tc>
        <w:tc>
          <w:tcPr>
            <w:tcW w:w="2835" w:type="dxa"/>
            <w:vAlign w:val="center"/>
          </w:tcPr>
          <w:p>
            <w:pPr>
              <w:pStyle w:val="17"/>
            </w:pPr>
            <w:r>
              <w:t>用于保障学校正常项目支出成本</w:t>
            </w:r>
          </w:p>
        </w:tc>
        <w:tc>
          <w:tcPr>
            <w:tcW w:w="2551" w:type="dxa"/>
            <w:vAlign w:val="center"/>
          </w:tcPr>
          <w:p>
            <w:pPr>
              <w:pStyle w:val="17"/>
            </w:pPr>
            <w:r>
              <w:t>0.58元</w:t>
            </w:r>
          </w:p>
        </w:tc>
        <w:tc>
          <w:tcPr>
            <w:tcW w:w="2268" w:type="dxa"/>
            <w:vAlign w:val="center"/>
          </w:tcPr>
          <w:p>
            <w:pPr>
              <w:pStyle w:val="17"/>
            </w:pPr>
            <w:r>
              <w:t>廊财教【2021】63号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w:t>
            </w:r>
          </w:p>
        </w:tc>
        <w:tc>
          <w:tcPr>
            <w:tcW w:w="2551" w:type="dxa"/>
            <w:vAlign w:val="center"/>
          </w:tcPr>
          <w:p>
            <w:pPr>
              <w:pStyle w:val="17"/>
            </w:pPr>
            <w:r>
              <w:t>改善</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幼儿和家长满意度</w:t>
            </w:r>
          </w:p>
        </w:tc>
        <w:tc>
          <w:tcPr>
            <w:tcW w:w="2835" w:type="dxa"/>
            <w:vAlign w:val="center"/>
          </w:tcPr>
          <w:p>
            <w:pPr>
              <w:pStyle w:val="17"/>
            </w:pPr>
            <w:r>
              <w:t>幼儿和家长对学校教育保育活动的满意度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2023年，廊坊市广阳区第八幼儿园安排政府采购预算0.00万元。具体内容见下表。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438001廊坊市广阳区第八幼儿园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廊坊市广阳区第八幼儿园上年末固定资产金额为0.00万元（详见下表）。本年度拟购置固定资产总额为0.00万元，已按要求列入政府采购预算，详见政府采购预算表。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438001廊坊市广阳区第八幼儿园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A51CE2"/>
    <w:rsid w:val="00021C1F"/>
    <w:rsid w:val="00377D23"/>
    <w:rsid w:val="003E531E"/>
    <w:rsid w:val="00756996"/>
    <w:rsid w:val="00A51CE2"/>
    <w:rsid w:val="00B64902"/>
    <w:rsid w:val="108C3496"/>
    <w:rsid w:val="223C34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2023-03-13T11:07:27Z</dcterms:created>
  <dcterms:modified xsi:type="dcterms:W3CDTF">2023-03-13T03:07:27Z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2023-03-13T11:07:28Z</dcterms:created>
  <dcterms:modified xsi:type="dcterms:W3CDTF">2023-03-13T03:07:28Z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2023-03-13T11:07:31Z</dcterms:created>
  <dcterms:modified xsi:type="dcterms:W3CDTF">2023-03-13T03:07:31Z</dcterms:modified>
</cp:coreProperties>
</file>

<file path=customXml/itemProps1.xml><?xml version="1.0" encoding="utf-8"?>
<ds:datastoreItem xmlns:ds="http://schemas.openxmlformats.org/officeDocument/2006/customXml" ds:itemID="{4B4DDB2E-BD50-4FE9-9FFF-E92C73B6CE04}">
  <ds:schemaRefs/>
</ds:datastoreItem>
</file>

<file path=customXml/itemProps10.xml><?xml version="1.0" encoding="utf-8"?>
<ds:datastoreItem xmlns:ds="http://schemas.openxmlformats.org/officeDocument/2006/customXml" ds:itemID="{C8D2B291-511C-4157-B6C8-679C72D0D9F1}">
  <ds:schemaRefs/>
</ds:datastoreItem>
</file>

<file path=customXml/itemProps11.xml><?xml version="1.0" encoding="utf-8"?>
<ds:datastoreItem xmlns:ds="http://schemas.openxmlformats.org/officeDocument/2006/customXml" ds:itemID="{62B23601-9634-4BC5-9A30-8778F6634ED2}">
  <ds:schemaRefs/>
</ds:datastoreItem>
</file>

<file path=customXml/itemProps12.xml><?xml version="1.0" encoding="utf-8"?>
<ds:datastoreItem xmlns:ds="http://schemas.openxmlformats.org/officeDocument/2006/customXml" ds:itemID="{AF0EC3D2-062F-46B3-BAE3-861CC2AA70E5}">
  <ds:schemaRefs/>
</ds:datastoreItem>
</file>

<file path=customXml/itemProps13.xml><?xml version="1.0" encoding="utf-8"?>
<ds:datastoreItem xmlns:ds="http://schemas.openxmlformats.org/officeDocument/2006/customXml" ds:itemID="{3B6D2B13-E602-4929-95AD-E4FFC302B118}">
  <ds:schemaRefs/>
</ds:datastoreItem>
</file>

<file path=customXml/itemProps14.xml><?xml version="1.0" encoding="utf-8"?>
<ds:datastoreItem xmlns:ds="http://schemas.openxmlformats.org/officeDocument/2006/customXml" ds:itemID="{F5469D1E-D4EF-4FFC-92B2-232CE9B4FC7E}">
  <ds:schemaRefs/>
</ds:datastoreItem>
</file>

<file path=customXml/itemProps15.xml><?xml version="1.0" encoding="utf-8"?>
<ds:datastoreItem xmlns:ds="http://schemas.openxmlformats.org/officeDocument/2006/customXml" ds:itemID="{C68B4EEB-3A23-402D-9B1E-F70CBDCAAAAA}">
  <ds:schemaRefs/>
</ds:datastoreItem>
</file>

<file path=customXml/itemProps16.xml><?xml version="1.0" encoding="utf-8"?>
<ds:datastoreItem xmlns:ds="http://schemas.openxmlformats.org/officeDocument/2006/customXml" ds:itemID="{BBBAB0BE-3285-4818-B8FA-F3F0446457D0}">
  <ds:schemaRefs/>
</ds:datastoreItem>
</file>

<file path=customXml/itemProps17.xml><?xml version="1.0" encoding="utf-8"?>
<ds:datastoreItem xmlns:ds="http://schemas.openxmlformats.org/officeDocument/2006/customXml" ds:itemID="{9FCF5FC7-552B-457F-9839-76221B447C20}">
  <ds:schemaRefs/>
</ds:datastoreItem>
</file>

<file path=customXml/itemProps18.xml><?xml version="1.0" encoding="utf-8"?>
<ds:datastoreItem xmlns:ds="http://schemas.openxmlformats.org/officeDocument/2006/customXml" ds:itemID="{3E7AF001-DEDD-4866-9119-E2FDFA91B1F8}">
  <ds:schemaRefs/>
</ds:datastoreItem>
</file>

<file path=customXml/itemProps2.xml><?xml version="1.0" encoding="utf-8"?>
<ds:datastoreItem xmlns:ds="http://schemas.openxmlformats.org/officeDocument/2006/customXml" ds:itemID="{A9C10AED-008C-4CD1-AFFD-C0837AF64099}">
  <ds:schemaRefs/>
</ds:datastoreItem>
</file>

<file path=customXml/itemProps3.xml><?xml version="1.0" encoding="utf-8"?>
<ds:datastoreItem xmlns:ds="http://schemas.openxmlformats.org/officeDocument/2006/customXml" ds:itemID="{24C48009-80F4-44F0-961E-09B870AED272}">
  <ds:schemaRefs/>
</ds:datastoreItem>
</file>

<file path=customXml/itemProps4.xml><?xml version="1.0" encoding="utf-8"?>
<ds:datastoreItem xmlns:ds="http://schemas.openxmlformats.org/officeDocument/2006/customXml" ds:itemID="{620BC1BB-CFF1-4690-B6FD-C01C41AD45E9}">
  <ds:schemaRefs/>
</ds:datastoreItem>
</file>

<file path=customXml/itemProps5.xml><?xml version="1.0" encoding="utf-8"?>
<ds:datastoreItem xmlns:ds="http://schemas.openxmlformats.org/officeDocument/2006/customXml" ds:itemID="{E4BCF0AB-E44A-4A9A-A9F7-BA77B3F3166A}">
  <ds:schemaRefs/>
</ds:datastoreItem>
</file>

<file path=customXml/itemProps6.xml><?xml version="1.0" encoding="utf-8"?>
<ds:datastoreItem xmlns:ds="http://schemas.openxmlformats.org/officeDocument/2006/customXml" ds:itemID="{5DE0B936-6FD3-4CCB-AD62-502A86E3FFA5}">
  <ds:schemaRefs/>
</ds:datastoreItem>
</file>

<file path=customXml/itemProps7.xml><?xml version="1.0" encoding="utf-8"?>
<ds:datastoreItem xmlns:ds="http://schemas.openxmlformats.org/officeDocument/2006/customXml" ds:itemID="{B0024DDF-DFCB-45F1-B9A8-A5FF07C89BF8}">
  <ds:schemaRefs/>
</ds:datastoreItem>
</file>

<file path=customXml/itemProps8.xml><?xml version="1.0" encoding="utf-8"?>
<ds:datastoreItem xmlns:ds="http://schemas.openxmlformats.org/officeDocument/2006/customXml" ds:itemID="{003B13DB-568D-4EAA-AFA7-AD1C82E71EB6}">
  <ds:schemaRefs/>
</ds:datastoreItem>
</file>

<file path=customXml/itemProps9.xml><?xml version="1.0" encoding="utf-8"?>
<ds:datastoreItem xmlns:ds="http://schemas.openxmlformats.org/officeDocument/2006/customXml" ds:itemID="{B9717BA9-7B1D-43AF-A0E4-8F1B4AA26445}">
  <ds:schemaRefs/>
</ds:datastoreItem>
</file>

<file path=docProps/app.xml><?xml version="1.0" encoding="utf-8"?>
<Properties xmlns="http://schemas.openxmlformats.org/officeDocument/2006/extended-properties" xmlns:vt="http://schemas.openxmlformats.org/officeDocument/2006/docPropsVTypes">
  <Template>Normal</Template>
  <Pages>24</Pages>
  <Words>1504</Words>
  <Characters>8576</Characters>
  <Lines>71</Lines>
  <Paragraphs>20</Paragraphs>
  <TotalTime>4</TotalTime>
  <ScaleCrop>false</ScaleCrop>
  <LinksUpToDate>false</LinksUpToDate>
  <CharactersWithSpaces>10060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2024-01-10T10:28:47Z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E098875D6C584FA5A6EBCF245DB23E07</vt:lpwstr>
  </property>
</Properties>
</file>