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38</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38</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39</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40</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916001廊坊市广阳区爱民东道街道办事处本级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3056.17</w:t>
            </w:r>
          </w:p>
        </w:tc>
        <w:tc>
          <w:tcPr>
            <w:tcW w:w="4535" w:type="dxa"/>
            <w:vAlign w:val="center"/>
          </w:tcPr>
          <w:p>
            <w:pPr>
              <w:pStyle w:val="17"/>
            </w:pPr>
            <w:r>
              <w:t>一、一般公共服务支出</w:t>
            </w:r>
          </w:p>
        </w:tc>
        <w:tc>
          <w:tcPr>
            <w:tcW w:w="2126" w:type="dxa"/>
            <w:vAlign w:val="center"/>
          </w:tcPr>
          <w:p>
            <w:pPr>
              <w:pStyle w:val="16"/>
            </w:pPr>
            <w:r>
              <w:t>1476.61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1408.70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48.49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122.36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r>
              <w:t>53.03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3056.17</w:t>
            </w:r>
          </w:p>
        </w:tc>
        <w:tc>
          <w:tcPr>
            <w:tcW w:w="4535" w:type="dxa"/>
            <w:vAlign w:val="center"/>
          </w:tcPr>
          <w:p>
            <w:pPr>
              <w:pStyle w:val="19"/>
            </w:pPr>
            <w:r>
              <w:t>本年支出合计</w:t>
            </w:r>
          </w:p>
        </w:tc>
        <w:tc>
          <w:tcPr>
            <w:tcW w:w="2126" w:type="dxa"/>
            <w:vAlign w:val="center"/>
          </w:tcPr>
          <w:p>
            <w:pPr>
              <w:pStyle w:val="20"/>
            </w:pPr>
            <w:r>
              <w:t>3109.20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53.03</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3109.20</w:t>
            </w:r>
          </w:p>
        </w:tc>
        <w:tc>
          <w:tcPr>
            <w:tcW w:w="4535" w:type="dxa"/>
            <w:vAlign w:val="center"/>
          </w:tcPr>
          <w:p>
            <w:pPr>
              <w:pStyle w:val="19"/>
            </w:pPr>
            <w:r>
              <w:t>支出总计</w:t>
            </w:r>
          </w:p>
        </w:tc>
        <w:tc>
          <w:tcPr>
            <w:tcW w:w="2126" w:type="dxa"/>
            <w:vAlign w:val="center"/>
          </w:tcPr>
          <w:p>
            <w:pPr>
              <w:pStyle w:val="20"/>
            </w:pPr>
            <w:r>
              <w:t>3109.20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916001廊坊市广阳区爱民东道街道办事处本级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3109.20</w:t>
            </w:r>
          </w:p>
        </w:tc>
        <w:tc>
          <w:tcPr>
            <w:tcW w:w="1134" w:type="dxa"/>
            <w:vAlign w:val="center"/>
          </w:tcPr>
          <w:p>
            <w:pPr>
              <w:pStyle w:val="20"/>
            </w:pPr>
            <w:r>
              <w:t>3056.17</w:t>
            </w:r>
          </w:p>
        </w:tc>
        <w:tc>
          <w:tcPr>
            <w:tcW w:w="1134" w:type="dxa"/>
            <w:vAlign w:val="center"/>
          </w:tcPr>
          <w:p>
            <w:pPr>
              <w:pStyle w:val="20"/>
            </w:pPr>
            <w:r>
              <w:t>3056.17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53.03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1476.61</w:t>
            </w:r>
          </w:p>
        </w:tc>
        <w:tc>
          <w:tcPr>
            <w:tcW w:w="1134" w:type="dxa"/>
            <w:vAlign w:val="center"/>
          </w:tcPr>
          <w:p>
            <w:pPr>
              <w:pStyle w:val="16"/>
            </w:pPr>
            <w:r>
              <w:t>1476.61</w:t>
            </w:r>
          </w:p>
        </w:tc>
        <w:tc>
          <w:tcPr>
            <w:tcW w:w="1134" w:type="dxa"/>
            <w:vAlign w:val="center"/>
          </w:tcPr>
          <w:p>
            <w:pPr>
              <w:pStyle w:val="16"/>
            </w:pPr>
            <w:r>
              <w:t>1476.61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1476.61</w:t>
            </w:r>
          </w:p>
        </w:tc>
        <w:tc>
          <w:tcPr>
            <w:tcW w:w="1134" w:type="dxa"/>
            <w:vAlign w:val="center"/>
          </w:tcPr>
          <w:p>
            <w:pPr>
              <w:pStyle w:val="16"/>
            </w:pPr>
            <w:r>
              <w:t>1476.61</w:t>
            </w:r>
          </w:p>
        </w:tc>
        <w:tc>
          <w:tcPr>
            <w:tcW w:w="1134" w:type="dxa"/>
            <w:vAlign w:val="center"/>
          </w:tcPr>
          <w:p>
            <w:pPr>
              <w:pStyle w:val="16"/>
            </w:pPr>
            <w:r>
              <w:t>1476.61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1476.61</w:t>
            </w:r>
          </w:p>
        </w:tc>
        <w:tc>
          <w:tcPr>
            <w:tcW w:w="1134" w:type="dxa"/>
            <w:vAlign w:val="center"/>
          </w:tcPr>
          <w:p>
            <w:pPr>
              <w:pStyle w:val="16"/>
            </w:pPr>
            <w:r>
              <w:t>1476.61</w:t>
            </w:r>
          </w:p>
        </w:tc>
        <w:tc>
          <w:tcPr>
            <w:tcW w:w="1134" w:type="dxa"/>
            <w:vAlign w:val="center"/>
          </w:tcPr>
          <w:p>
            <w:pPr>
              <w:pStyle w:val="16"/>
            </w:pPr>
            <w:r>
              <w:t>1476.61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1408.70</w:t>
            </w:r>
          </w:p>
        </w:tc>
        <w:tc>
          <w:tcPr>
            <w:tcW w:w="1134" w:type="dxa"/>
            <w:vAlign w:val="center"/>
          </w:tcPr>
          <w:p>
            <w:pPr>
              <w:pStyle w:val="16"/>
            </w:pPr>
            <w:r>
              <w:t>1408.70</w:t>
            </w:r>
          </w:p>
        </w:tc>
        <w:tc>
          <w:tcPr>
            <w:tcW w:w="1134" w:type="dxa"/>
            <w:vAlign w:val="center"/>
          </w:tcPr>
          <w:p>
            <w:pPr>
              <w:pStyle w:val="16"/>
            </w:pPr>
            <w:r>
              <w:t>1408.70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20802</w:t>
            </w:r>
          </w:p>
        </w:tc>
        <w:tc>
          <w:tcPr>
            <w:tcW w:w="1559" w:type="dxa"/>
            <w:vAlign w:val="center"/>
          </w:tcPr>
          <w:p>
            <w:pPr>
              <w:pStyle w:val="17"/>
            </w:pPr>
            <w:r>
              <w:t>民政管理事务</w:t>
            </w:r>
          </w:p>
        </w:tc>
        <w:tc>
          <w:tcPr>
            <w:tcW w:w="1134" w:type="dxa"/>
            <w:vAlign w:val="center"/>
          </w:tcPr>
          <w:p>
            <w:pPr>
              <w:pStyle w:val="16"/>
            </w:pPr>
            <w:r>
              <w:t>1033.12</w:t>
            </w:r>
          </w:p>
        </w:tc>
        <w:tc>
          <w:tcPr>
            <w:tcW w:w="1134" w:type="dxa"/>
            <w:vAlign w:val="center"/>
          </w:tcPr>
          <w:p>
            <w:pPr>
              <w:pStyle w:val="16"/>
            </w:pPr>
            <w:r>
              <w:t>1033.12</w:t>
            </w:r>
          </w:p>
        </w:tc>
        <w:tc>
          <w:tcPr>
            <w:tcW w:w="1134" w:type="dxa"/>
            <w:vAlign w:val="center"/>
          </w:tcPr>
          <w:p>
            <w:pPr>
              <w:pStyle w:val="16"/>
            </w:pPr>
            <w:r>
              <w:t>1033.12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2080208</w:t>
            </w:r>
          </w:p>
        </w:tc>
        <w:tc>
          <w:tcPr>
            <w:tcW w:w="1559" w:type="dxa"/>
            <w:vAlign w:val="center"/>
          </w:tcPr>
          <w:p>
            <w:pPr>
              <w:pStyle w:val="17"/>
            </w:pPr>
            <w:r>
              <w:t>基层政权建设和社区治理</w:t>
            </w:r>
          </w:p>
        </w:tc>
        <w:tc>
          <w:tcPr>
            <w:tcW w:w="1134" w:type="dxa"/>
            <w:vAlign w:val="center"/>
          </w:tcPr>
          <w:p>
            <w:pPr>
              <w:pStyle w:val="16"/>
            </w:pPr>
            <w:r>
              <w:t>1033.12</w:t>
            </w:r>
          </w:p>
        </w:tc>
        <w:tc>
          <w:tcPr>
            <w:tcW w:w="1134" w:type="dxa"/>
            <w:vAlign w:val="center"/>
          </w:tcPr>
          <w:p>
            <w:pPr>
              <w:pStyle w:val="16"/>
            </w:pPr>
            <w:r>
              <w:t>1033.12</w:t>
            </w:r>
          </w:p>
        </w:tc>
        <w:tc>
          <w:tcPr>
            <w:tcW w:w="1134" w:type="dxa"/>
            <w:vAlign w:val="center"/>
          </w:tcPr>
          <w:p>
            <w:pPr>
              <w:pStyle w:val="16"/>
            </w:pPr>
            <w:r>
              <w:t>1033.12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375.58</w:t>
            </w:r>
          </w:p>
        </w:tc>
        <w:tc>
          <w:tcPr>
            <w:tcW w:w="1134" w:type="dxa"/>
            <w:vAlign w:val="center"/>
          </w:tcPr>
          <w:p>
            <w:pPr>
              <w:pStyle w:val="16"/>
            </w:pPr>
            <w:r>
              <w:t>375.58</w:t>
            </w:r>
          </w:p>
        </w:tc>
        <w:tc>
          <w:tcPr>
            <w:tcW w:w="1134" w:type="dxa"/>
            <w:vAlign w:val="center"/>
          </w:tcPr>
          <w:p>
            <w:pPr>
              <w:pStyle w:val="16"/>
            </w:pPr>
            <w:r>
              <w:t>375.58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228.58</w:t>
            </w:r>
          </w:p>
        </w:tc>
        <w:tc>
          <w:tcPr>
            <w:tcW w:w="1134" w:type="dxa"/>
            <w:vAlign w:val="center"/>
          </w:tcPr>
          <w:p>
            <w:pPr>
              <w:pStyle w:val="16"/>
            </w:pPr>
            <w:r>
              <w:t>228.58</w:t>
            </w:r>
          </w:p>
        </w:tc>
        <w:tc>
          <w:tcPr>
            <w:tcW w:w="1134" w:type="dxa"/>
            <w:vAlign w:val="center"/>
          </w:tcPr>
          <w:p>
            <w:pPr>
              <w:pStyle w:val="16"/>
            </w:pPr>
            <w:r>
              <w:t>228.58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147.01</w:t>
            </w:r>
          </w:p>
        </w:tc>
        <w:tc>
          <w:tcPr>
            <w:tcW w:w="1134" w:type="dxa"/>
            <w:vAlign w:val="center"/>
          </w:tcPr>
          <w:p>
            <w:pPr>
              <w:pStyle w:val="16"/>
            </w:pPr>
            <w:r>
              <w:t>147.01</w:t>
            </w:r>
          </w:p>
        </w:tc>
        <w:tc>
          <w:tcPr>
            <w:tcW w:w="1134" w:type="dxa"/>
            <w:vAlign w:val="center"/>
          </w:tcPr>
          <w:p>
            <w:pPr>
              <w:pStyle w:val="16"/>
            </w:pPr>
            <w:r>
              <w:t>147.01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48.49</w:t>
            </w:r>
          </w:p>
        </w:tc>
        <w:tc>
          <w:tcPr>
            <w:tcW w:w="1134" w:type="dxa"/>
            <w:vAlign w:val="center"/>
          </w:tcPr>
          <w:p>
            <w:pPr>
              <w:pStyle w:val="16"/>
            </w:pPr>
            <w:r>
              <w:t>48.49</w:t>
            </w:r>
          </w:p>
        </w:tc>
        <w:tc>
          <w:tcPr>
            <w:tcW w:w="1134" w:type="dxa"/>
            <w:vAlign w:val="center"/>
          </w:tcPr>
          <w:p>
            <w:pPr>
              <w:pStyle w:val="16"/>
            </w:pPr>
            <w:r>
              <w:t>48.49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48.49</w:t>
            </w:r>
          </w:p>
        </w:tc>
        <w:tc>
          <w:tcPr>
            <w:tcW w:w="1134" w:type="dxa"/>
            <w:vAlign w:val="center"/>
          </w:tcPr>
          <w:p>
            <w:pPr>
              <w:pStyle w:val="16"/>
            </w:pPr>
            <w:r>
              <w:t>48.49</w:t>
            </w:r>
          </w:p>
        </w:tc>
        <w:tc>
          <w:tcPr>
            <w:tcW w:w="1134" w:type="dxa"/>
            <w:vAlign w:val="center"/>
          </w:tcPr>
          <w:p>
            <w:pPr>
              <w:pStyle w:val="16"/>
            </w:pPr>
            <w:r>
              <w:t>48.49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48.49</w:t>
            </w:r>
          </w:p>
        </w:tc>
        <w:tc>
          <w:tcPr>
            <w:tcW w:w="1134" w:type="dxa"/>
            <w:vAlign w:val="center"/>
          </w:tcPr>
          <w:p>
            <w:pPr>
              <w:pStyle w:val="16"/>
            </w:pPr>
            <w:r>
              <w:t>48.49</w:t>
            </w:r>
          </w:p>
        </w:tc>
        <w:tc>
          <w:tcPr>
            <w:tcW w:w="1134" w:type="dxa"/>
            <w:vAlign w:val="center"/>
          </w:tcPr>
          <w:p>
            <w:pPr>
              <w:pStyle w:val="16"/>
            </w:pPr>
            <w:r>
              <w:t>48.49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122.36</w:t>
            </w:r>
          </w:p>
        </w:tc>
        <w:tc>
          <w:tcPr>
            <w:tcW w:w="1134" w:type="dxa"/>
            <w:vAlign w:val="center"/>
          </w:tcPr>
          <w:p>
            <w:pPr>
              <w:pStyle w:val="16"/>
            </w:pPr>
            <w:r>
              <w:t>122.36</w:t>
            </w:r>
          </w:p>
        </w:tc>
        <w:tc>
          <w:tcPr>
            <w:tcW w:w="1134" w:type="dxa"/>
            <w:vAlign w:val="center"/>
          </w:tcPr>
          <w:p>
            <w:pPr>
              <w:pStyle w:val="16"/>
            </w:pPr>
            <w:r>
              <w:t>122.36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122.36</w:t>
            </w:r>
          </w:p>
        </w:tc>
        <w:tc>
          <w:tcPr>
            <w:tcW w:w="1134" w:type="dxa"/>
            <w:vAlign w:val="center"/>
          </w:tcPr>
          <w:p>
            <w:pPr>
              <w:pStyle w:val="16"/>
            </w:pPr>
            <w:r>
              <w:t>122.36</w:t>
            </w:r>
          </w:p>
        </w:tc>
        <w:tc>
          <w:tcPr>
            <w:tcW w:w="1134" w:type="dxa"/>
            <w:vAlign w:val="center"/>
          </w:tcPr>
          <w:p>
            <w:pPr>
              <w:pStyle w:val="16"/>
            </w:pPr>
            <w:r>
              <w:t>122.36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122.36</w:t>
            </w:r>
          </w:p>
        </w:tc>
        <w:tc>
          <w:tcPr>
            <w:tcW w:w="1134" w:type="dxa"/>
            <w:vAlign w:val="center"/>
          </w:tcPr>
          <w:p>
            <w:pPr>
              <w:pStyle w:val="16"/>
            </w:pPr>
            <w:r>
              <w:t>122.36</w:t>
            </w:r>
          </w:p>
        </w:tc>
        <w:tc>
          <w:tcPr>
            <w:tcW w:w="1134" w:type="dxa"/>
            <w:vAlign w:val="center"/>
          </w:tcPr>
          <w:p>
            <w:pPr>
              <w:pStyle w:val="16"/>
            </w:pPr>
            <w:r>
              <w:t>122.36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223</w:t>
            </w:r>
          </w:p>
        </w:tc>
        <w:tc>
          <w:tcPr>
            <w:tcW w:w="1559" w:type="dxa"/>
            <w:vAlign w:val="center"/>
          </w:tcPr>
          <w:p>
            <w:pPr>
              <w:pStyle w:val="17"/>
            </w:pPr>
            <w:r>
              <w:t>国有资本经营预算支出</w:t>
            </w:r>
          </w:p>
        </w:tc>
        <w:tc>
          <w:tcPr>
            <w:tcW w:w="1134" w:type="dxa"/>
            <w:vAlign w:val="center"/>
          </w:tcPr>
          <w:p>
            <w:pPr>
              <w:pStyle w:val="16"/>
            </w:pPr>
            <w:r>
              <w:t>53.03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22301</w:t>
            </w:r>
          </w:p>
        </w:tc>
        <w:tc>
          <w:tcPr>
            <w:tcW w:w="1559" w:type="dxa"/>
            <w:vAlign w:val="center"/>
          </w:tcPr>
          <w:p>
            <w:pPr>
              <w:pStyle w:val="17"/>
            </w:pPr>
            <w:r>
              <w:t>解决历史遗留问题及改革成本支出</w:t>
            </w:r>
          </w:p>
        </w:tc>
        <w:tc>
          <w:tcPr>
            <w:tcW w:w="1134" w:type="dxa"/>
            <w:vAlign w:val="center"/>
          </w:tcPr>
          <w:p>
            <w:pPr>
              <w:pStyle w:val="16"/>
            </w:pPr>
            <w:r>
              <w:t>53.03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2230105</w:t>
            </w:r>
          </w:p>
        </w:tc>
        <w:tc>
          <w:tcPr>
            <w:tcW w:w="1559" w:type="dxa"/>
            <w:vAlign w:val="center"/>
          </w:tcPr>
          <w:p>
            <w:pPr>
              <w:pStyle w:val="17"/>
            </w:pPr>
            <w:r>
              <w:t>国有企业退休人员社会化管理补助支出</w:t>
            </w:r>
          </w:p>
        </w:tc>
        <w:tc>
          <w:tcPr>
            <w:tcW w:w="1134" w:type="dxa"/>
            <w:vAlign w:val="center"/>
          </w:tcPr>
          <w:p>
            <w:pPr>
              <w:pStyle w:val="16"/>
            </w:pPr>
            <w:r>
              <w:t>53.03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53.03</w:t>
            </w: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916001廊坊市广阳区爱民东道街道办事处本级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3109.20</w:t>
            </w:r>
          </w:p>
        </w:tc>
        <w:tc>
          <w:tcPr>
            <w:tcW w:w="1361" w:type="dxa"/>
            <w:vAlign w:val="center"/>
          </w:tcPr>
          <w:p>
            <w:pPr>
              <w:pStyle w:val="20"/>
            </w:pPr>
            <w:r>
              <w:t>2023.05</w:t>
            </w:r>
          </w:p>
        </w:tc>
        <w:tc>
          <w:tcPr>
            <w:tcW w:w="1361" w:type="dxa"/>
            <w:vAlign w:val="center"/>
          </w:tcPr>
          <w:p>
            <w:pPr>
              <w:pStyle w:val="20"/>
            </w:pPr>
            <w:r>
              <w:t>1086.15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1476.61</w:t>
            </w:r>
          </w:p>
        </w:tc>
        <w:tc>
          <w:tcPr>
            <w:tcW w:w="1361" w:type="dxa"/>
            <w:vAlign w:val="center"/>
          </w:tcPr>
          <w:p>
            <w:pPr>
              <w:pStyle w:val="16"/>
            </w:pPr>
            <w:r>
              <w:t>1476.61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1476.61</w:t>
            </w:r>
          </w:p>
        </w:tc>
        <w:tc>
          <w:tcPr>
            <w:tcW w:w="1361" w:type="dxa"/>
            <w:vAlign w:val="center"/>
          </w:tcPr>
          <w:p>
            <w:pPr>
              <w:pStyle w:val="16"/>
            </w:pPr>
            <w:r>
              <w:t>1476.61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1476.61</w:t>
            </w:r>
          </w:p>
        </w:tc>
        <w:tc>
          <w:tcPr>
            <w:tcW w:w="1361" w:type="dxa"/>
            <w:vAlign w:val="center"/>
          </w:tcPr>
          <w:p>
            <w:pPr>
              <w:pStyle w:val="16"/>
            </w:pPr>
            <w:r>
              <w:t>1476.61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1408.70</w:t>
            </w:r>
          </w:p>
        </w:tc>
        <w:tc>
          <w:tcPr>
            <w:tcW w:w="1361" w:type="dxa"/>
            <w:vAlign w:val="center"/>
          </w:tcPr>
          <w:p>
            <w:pPr>
              <w:pStyle w:val="16"/>
            </w:pPr>
            <w:r>
              <w:t>375.58</w:t>
            </w:r>
          </w:p>
        </w:tc>
        <w:tc>
          <w:tcPr>
            <w:tcW w:w="1361" w:type="dxa"/>
            <w:vAlign w:val="center"/>
          </w:tcPr>
          <w:p>
            <w:pPr>
              <w:pStyle w:val="16"/>
            </w:pPr>
            <w:r>
              <w:t>1033.12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20802</w:t>
            </w:r>
          </w:p>
        </w:tc>
        <w:tc>
          <w:tcPr>
            <w:tcW w:w="4535" w:type="dxa"/>
            <w:vAlign w:val="center"/>
          </w:tcPr>
          <w:p>
            <w:pPr>
              <w:pStyle w:val="17"/>
            </w:pPr>
            <w:r>
              <w:t>民政管理事务</w:t>
            </w:r>
          </w:p>
        </w:tc>
        <w:tc>
          <w:tcPr>
            <w:tcW w:w="1361" w:type="dxa"/>
            <w:vAlign w:val="center"/>
          </w:tcPr>
          <w:p>
            <w:pPr>
              <w:pStyle w:val="16"/>
            </w:pPr>
            <w:r>
              <w:t>1033.12</w:t>
            </w:r>
          </w:p>
        </w:tc>
        <w:tc>
          <w:tcPr>
            <w:tcW w:w="1361" w:type="dxa"/>
            <w:vAlign w:val="center"/>
          </w:tcPr>
          <w:p>
            <w:pPr>
              <w:pStyle w:val="16"/>
            </w:pPr>
          </w:p>
        </w:tc>
        <w:tc>
          <w:tcPr>
            <w:tcW w:w="1361" w:type="dxa"/>
            <w:vAlign w:val="center"/>
          </w:tcPr>
          <w:p>
            <w:pPr>
              <w:pStyle w:val="16"/>
            </w:pPr>
            <w:r>
              <w:t>1033.12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2080208</w:t>
            </w:r>
          </w:p>
        </w:tc>
        <w:tc>
          <w:tcPr>
            <w:tcW w:w="4535" w:type="dxa"/>
            <w:vAlign w:val="center"/>
          </w:tcPr>
          <w:p>
            <w:pPr>
              <w:pStyle w:val="17"/>
            </w:pPr>
            <w:r>
              <w:t>基层政权建设和社区治理</w:t>
            </w:r>
          </w:p>
        </w:tc>
        <w:tc>
          <w:tcPr>
            <w:tcW w:w="1361" w:type="dxa"/>
            <w:vAlign w:val="center"/>
          </w:tcPr>
          <w:p>
            <w:pPr>
              <w:pStyle w:val="16"/>
            </w:pPr>
            <w:r>
              <w:t>1033.12</w:t>
            </w:r>
          </w:p>
        </w:tc>
        <w:tc>
          <w:tcPr>
            <w:tcW w:w="1361" w:type="dxa"/>
            <w:vAlign w:val="center"/>
          </w:tcPr>
          <w:p>
            <w:pPr>
              <w:pStyle w:val="16"/>
            </w:pPr>
          </w:p>
        </w:tc>
        <w:tc>
          <w:tcPr>
            <w:tcW w:w="1361" w:type="dxa"/>
            <w:vAlign w:val="center"/>
          </w:tcPr>
          <w:p>
            <w:pPr>
              <w:pStyle w:val="16"/>
            </w:pPr>
            <w:r>
              <w:t>1033.12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375.58</w:t>
            </w:r>
          </w:p>
        </w:tc>
        <w:tc>
          <w:tcPr>
            <w:tcW w:w="1361" w:type="dxa"/>
            <w:vAlign w:val="center"/>
          </w:tcPr>
          <w:p>
            <w:pPr>
              <w:pStyle w:val="16"/>
            </w:pPr>
            <w:r>
              <w:t>375.58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228.58</w:t>
            </w:r>
          </w:p>
        </w:tc>
        <w:tc>
          <w:tcPr>
            <w:tcW w:w="1361" w:type="dxa"/>
            <w:vAlign w:val="center"/>
          </w:tcPr>
          <w:p>
            <w:pPr>
              <w:pStyle w:val="16"/>
            </w:pPr>
            <w:r>
              <w:t>228.58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147.01</w:t>
            </w:r>
          </w:p>
        </w:tc>
        <w:tc>
          <w:tcPr>
            <w:tcW w:w="1361" w:type="dxa"/>
            <w:vAlign w:val="center"/>
          </w:tcPr>
          <w:p>
            <w:pPr>
              <w:pStyle w:val="16"/>
            </w:pPr>
            <w:r>
              <w:t>147.01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48.49</w:t>
            </w:r>
          </w:p>
        </w:tc>
        <w:tc>
          <w:tcPr>
            <w:tcW w:w="1361" w:type="dxa"/>
            <w:vAlign w:val="center"/>
          </w:tcPr>
          <w:p>
            <w:pPr>
              <w:pStyle w:val="16"/>
            </w:pPr>
            <w:r>
              <w:t>48.49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48.49</w:t>
            </w:r>
          </w:p>
        </w:tc>
        <w:tc>
          <w:tcPr>
            <w:tcW w:w="1361" w:type="dxa"/>
            <w:vAlign w:val="center"/>
          </w:tcPr>
          <w:p>
            <w:pPr>
              <w:pStyle w:val="16"/>
            </w:pPr>
            <w:r>
              <w:t>48.49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48.49</w:t>
            </w:r>
          </w:p>
        </w:tc>
        <w:tc>
          <w:tcPr>
            <w:tcW w:w="1361" w:type="dxa"/>
            <w:vAlign w:val="center"/>
          </w:tcPr>
          <w:p>
            <w:pPr>
              <w:pStyle w:val="16"/>
            </w:pPr>
            <w:r>
              <w:t>48.49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122.36</w:t>
            </w:r>
          </w:p>
        </w:tc>
        <w:tc>
          <w:tcPr>
            <w:tcW w:w="1361" w:type="dxa"/>
            <w:vAlign w:val="center"/>
          </w:tcPr>
          <w:p>
            <w:pPr>
              <w:pStyle w:val="16"/>
            </w:pPr>
            <w:r>
              <w:t>122.36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122.36</w:t>
            </w:r>
          </w:p>
        </w:tc>
        <w:tc>
          <w:tcPr>
            <w:tcW w:w="1361" w:type="dxa"/>
            <w:vAlign w:val="center"/>
          </w:tcPr>
          <w:p>
            <w:pPr>
              <w:pStyle w:val="16"/>
            </w:pPr>
            <w:r>
              <w:t>122.36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122.36</w:t>
            </w:r>
          </w:p>
        </w:tc>
        <w:tc>
          <w:tcPr>
            <w:tcW w:w="1361" w:type="dxa"/>
            <w:vAlign w:val="center"/>
          </w:tcPr>
          <w:p>
            <w:pPr>
              <w:pStyle w:val="16"/>
            </w:pPr>
            <w:r>
              <w:t>122.36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223</w:t>
            </w:r>
          </w:p>
        </w:tc>
        <w:tc>
          <w:tcPr>
            <w:tcW w:w="4535" w:type="dxa"/>
            <w:vAlign w:val="center"/>
          </w:tcPr>
          <w:p>
            <w:pPr>
              <w:pStyle w:val="17"/>
            </w:pPr>
            <w:r>
              <w:t>国有资本经营预算支出</w:t>
            </w:r>
          </w:p>
        </w:tc>
        <w:tc>
          <w:tcPr>
            <w:tcW w:w="1361" w:type="dxa"/>
            <w:vAlign w:val="center"/>
          </w:tcPr>
          <w:p>
            <w:pPr>
              <w:pStyle w:val="16"/>
            </w:pPr>
            <w:r>
              <w:t>53.03</w:t>
            </w:r>
          </w:p>
        </w:tc>
        <w:tc>
          <w:tcPr>
            <w:tcW w:w="1361" w:type="dxa"/>
            <w:vAlign w:val="center"/>
          </w:tcPr>
          <w:p>
            <w:pPr>
              <w:pStyle w:val="16"/>
            </w:pPr>
          </w:p>
        </w:tc>
        <w:tc>
          <w:tcPr>
            <w:tcW w:w="1361" w:type="dxa"/>
            <w:vAlign w:val="center"/>
          </w:tcPr>
          <w:p>
            <w:pPr>
              <w:pStyle w:val="16"/>
            </w:pPr>
            <w:r>
              <w:t>53.03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22301</w:t>
            </w:r>
          </w:p>
        </w:tc>
        <w:tc>
          <w:tcPr>
            <w:tcW w:w="4535" w:type="dxa"/>
            <w:vAlign w:val="center"/>
          </w:tcPr>
          <w:p>
            <w:pPr>
              <w:pStyle w:val="17"/>
            </w:pPr>
            <w:r>
              <w:t>解决历史遗留问题及改革成本支出</w:t>
            </w:r>
          </w:p>
        </w:tc>
        <w:tc>
          <w:tcPr>
            <w:tcW w:w="1361" w:type="dxa"/>
            <w:vAlign w:val="center"/>
          </w:tcPr>
          <w:p>
            <w:pPr>
              <w:pStyle w:val="16"/>
            </w:pPr>
            <w:r>
              <w:t>53.03</w:t>
            </w:r>
          </w:p>
        </w:tc>
        <w:tc>
          <w:tcPr>
            <w:tcW w:w="1361" w:type="dxa"/>
            <w:vAlign w:val="center"/>
          </w:tcPr>
          <w:p>
            <w:pPr>
              <w:pStyle w:val="16"/>
            </w:pPr>
          </w:p>
        </w:tc>
        <w:tc>
          <w:tcPr>
            <w:tcW w:w="1361" w:type="dxa"/>
            <w:vAlign w:val="center"/>
          </w:tcPr>
          <w:p>
            <w:pPr>
              <w:pStyle w:val="16"/>
            </w:pPr>
            <w:r>
              <w:t>53.03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2230105</w:t>
            </w:r>
          </w:p>
        </w:tc>
        <w:tc>
          <w:tcPr>
            <w:tcW w:w="4535" w:type="dxa"/>
            <w:vAlign w:val="center"/>
          </w:tcPr>
          <w:p>
            <w:pPr>
              <w:pStyle w:val="17"/>
            </w:pPr>
            <w:r>
              <w:t>国有企业退休人员社会化管理补助支出</w:t>
            </w:r>
          </w:p>
        </w:tc>
        <w:tc>
          <w:tcPr>
            <w:tcW w:w="1361" w:type="dxa"/>
            <w:vAlign w:val="center"/>
          </w:tcPr>
          <w:p>
            <w:pPr>
              <w:pStyle w:val="16"/>
            </w:pPr>
            <w:r>
              <w:t>53.03</w:t>
            </w:r>
          </w:p>
        </w:tc>
        <w:tc>
          <w:tcPr>
            <w:tcW w:w="1361" w:type="dxa"/>
            <w:vAlign w:val="center"/>
          </w:tcPr>
          <w:p>
            <w:pPr>
              <w:pStyle w:val="16"/>
            </w:pPr>
          </w:p>
        </w:tc>
        <w:tc>
          <w:tcPr>
            <w:tcW w:w="1361" w:type="dxa"/>
            <w:vAlign w:val="center"/>
          </w:tcPr>
          <w:p>
            <w:pPr>
              <w:pStyle w:val="16"/>
            </w:pPr>
            <w:r>
              <w:t>53.03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916001廊坊市广阳区爱民东道街道办事处本级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3056.17</w:t>
            </w:r>
          </w:p>
        </w:tc>
        <w:tc>
          <w:tcPr>
            <w:tcW w:w="3402" w:type="dxa"/>
            <w:vAlign w:val="center"/>
          </w:tcPr>
          <w:p>
            <w:pPr>
              <w:pStyle w:val="17"/>
            </w:pPr>
            <w:r>
              <w:t>一、一般公共服务支出</w:t>
            </w:r>
          </w:p>
        </w:tc>
        <w:tc>
          <w:tcPr>
            <w:tcW w:w="1474" w:type="dxa"/>
            <w:vAlign w:val="center"/>
          </w:tcPr>
          <w:p>
            <w:pPr>
              <w:pStyle w:val="16"/>
            </w:pPr>
            <w:r>
              <w:t>1476.61</w:t>
            </w:r>
          </w:p>
        </w:tc>
        <w:tc>
          <w:tcPr>
            <w:tcW w:w="1474" w:type="dxa"/>
            <w:vAlign w:val="center"/>
          </w:tcPr>
          <w:p>
            <w:pPr>
              <w:pStyle w:val="16"/>
            </w:pPr>
            <w:r>
              <w:t>1476.61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1408.70</w:t>
            </w:r>
          </w:p>
        </w:tc>
        <w:tc>
          <w:tcPr>
            <w:tcW w:w="1474" w:type="dxa"/>
            <w:vAlign w:val="center"/>
          </w:tcPr>
          <w:p>
            <w:pPr>
              <w:pStyle w:val="16"/>
            </w:pPr>
            <w:r>
              <w:t>1408.70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48.49</w:t>
            </w:r>
          </w:p>
        </w:tc>
        <w:tc>
          <w:tcPr>
            <w:tcW w:w="1474" w:type="dxa"/>
            <w:vAlign w:val="center"/>
          </w:tcPr>
          <w:p>
            <w:pPr>
              <w:pStyle w:val="16"/>
            </w:pPr>
            <w:r>
              <w:t>48.49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122.36</w:t>
            </w:r>
          </w:p>
        </w:tc>
        <w:tc>
          <w:tcPr>
            <w:tcW w:w="1474" w:type="dxa"/>
            <w:vAlign w:val="center"/>
          </w:tcPr>
          <w:p>
            <w:pPr>
              <w:pStyle w:val="16"/>
            </w:pPr>
            <w:r>
              <w:t>122.36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r>
              <w:t>53.03</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r>
              <w:t>53.03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3056.17</w:t>
            </w:r>
          </w:p>
        </w:tc>
        <w:tc>
          <w:tcPr>
            <w:tcW w:w="3402" w:type="dxa"/>
            <w:vAlign w:val="center"/>
          </w:tcPr>
          <w:p>
            <w:pPr>
              <w:pStyle w:val="19"/>
            </w:pPr>
            <w:r>
              <w:t>本年支出合计</w:t>
            </w:r>
          </w:p>
        </w:tc>
        <w:tc>
          <w:tcPr>
            <w:tcW w:w="1474" w:type="dxa"/>
            <w:vAlign w:val="center"/>
          </w:tcPr>
          <w:p>
            <w:pPr>
              <w:pStyle w:val="20"/>
            </w:pPr>
            <w:r>
              <w:t>3109.20</w:t>
            </w:r>
          </w:p>
        </w:tc>
        <w:tc>
          <w:tcPr>
            <w:tcW w:w="1474" w:type="dxa"/>
            <w:vAlign w:val="center"/>
          </w:tcPr>
          <w:p>
            <w:pPr>
              <w:pStyle w:val="20"/>
            </w:pPr>
            <w:r>
              <w:t>3056.17</w:t>
            </w:r>
          </w:p>
        </w:tc>
        <w:tc>
          <w:tcPr>
            <w:tcW w:w="1474" w:type="dxa"/>
            <w:vAlign w:val="center"/>
          </w:tcPr>
          <w:p>
            <w:pPr>
              <w:pStyle w:val="20"/>
            </w:pPr>
          </w:p>
        </w:tc>
        <w:tc>
          <w:tcPr>
            <w:tcW w:w="1474" w:type="dxa"/>
            <w:vAlign w:val="center"/>
          </w:tcPr>
          <w:p>
            <w:pPr>
              <w:pStyle w:val="20"/>
            </w:pPr>
            <w:r>
              <w:t>53.03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53.03</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r>
              <w:t>53.03</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3109.20</w:t>
            </w:r>
          </w:p>
        </w:tc>
        <w:tc>
          <w:tcPr>
            <w:tcW w:w="3402" w:type="dxa"/>
            <w:vAlign w:val="center"/>
          </w:tcPr>
          <w:p>
            <w:pPr>
              <w:pStyle w:val="19"/>
            </w:pPr>
            <w:r>
              <w:t>支出总计</w:t>
            </w:r>
          </w:p>
        </w:tc>
        <w:tc>
          <w:tcPr>
            <w:tcW w:w="1474" w:type="dxa"/>
            <w:vAlign w:val="center"/>
          </w:tcPr>
          <w:p>
            <w:pPr>
              <w:pStyle w:val="20"/>
            </w:pPr>
            <w:r>
              <w:t>3109.20</w:t>
            </w:r>
          </w:p>
        </w:tc>
        <w:tc>
          <w:tcPr>
            <w:tcW w:w="1474" w:type="dxa"/>
            <w:vAlign w:val="center"/>
          </w:tcPr>
          <w:p>
            <w:pPr>
              <w:pStyle w:val="20"/>
            </w:pPr>
            <w:r>
              <w:t>3056.17</w:t>
            </w:r>
          </w:p>
        </w:tc>
        <w:tc>
          <w:tcPr>
            <w:tcW w:w="1474" w:type="dxa"/>
            <w:vAlign w:val="center"/>
          </w:tcPr>
          <w:p>
            <w:pPr>
              <w:pStyle w:val="20"/>
            </w:pPr>
          </w:p>
        </w:tc>
        <w:tc>
          <w:tcPr>
            <w:tcW w:w="1474" w:type="dxa"/>
            <w:vAlign w:val="center"/>
          </w:tcPr>
          <w:p>
            <w:pPr>
              <w:pStyle w:val="20"/>
            </w:pPr>
            <w:r>
              <w:t>53.03</w:t>
            </w: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916001廊坊市广阳区爱民东道街道办事处本级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3056.17</w:t>
            </w:r>
          </w:p>
        </w:tc>
        <w:tc>
          <w:tcPr>
            <w:tcW w:w="2551" w:type="dxa"/>
            <w:vAlign w:val="center"/>
          </w:tcPr>
          <w:p>
            <w:pPr>
              <w:pStyle w:val="20"/>
            </w:pPr>
            <w:r>
              <w:t>2023.05</w:t>
            </w:r>
          </w:p>
        </w:tc>
        <w:tc>
          <w:tcPr>
            <w:tcW w:w="2551" w:type="dxa"/>
            <w:vAlign w:val="center"/>
          </w:tcPr>
          <w:p>
            <w:pPr>
              <w:pStyle w:val="20"/>
            </w:pPr>
            <w:r>
              <w:t>1033.12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1476.61</w:t>
            </w:r>
          </w:p>
        </w:tc>
        <w:tc>
          <w:tcPr>
            <w:tcW w:w="2551" w:type="dxa"/>
            <w:vAlign w:val="center"/>
          </w:tcPr>
          <w:p>
            <w:pPr>
              <w:pStyle w:val="16"/>
            </w:pPr>
            <w:r>
              <w:t>1476.61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1476.61</w:t>
            </w:r>
          </w:p>
        </w:tc>
        <w:tc>
          <w:tcPr>
            <w:tcW w:w="2551" w:type="dxa"/>
            <w:vAlign w:val="center"/>
          </w:tcPr>
          <w:p>
            <w:pPr>
              <w:pStyle w:val="16"/>
            </w:pPr>
            <w:r>
              <w:t>1476.61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1476.61</w:t>
            </w:r>
          </w:p>
        </w:tc>
        <w:tc>
          <w:tcPr>
            <w:tcW w:w="2551" w:type="dxa"/>
            <w:vAlign w:val="center"/>
          </w:tcPr>
          <w:p>
            <w:pPr>
              <w:pStyle w:val="16"/>
            </w:pPr>
            <w:r>
              <w:t>1476.61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1408.70</w:t>
            </w:r>
          </w:p>
        </w:tc>
        <w:tc>
          <w:tcPr>
            <w:tcW w:w="2551" w:type="dxa"/>
            <w:vAlign w:val="center"/>
          </w:tcPr>
          <w:p>
            <w:pPr>
              <w:pStyle w:val="16"/>
            </w:pPr>
            <w:r>
              <w:t>375.58</w:t>
            </w:r>
          </w:p>
        </w:tc>
        <w:tc>
          <w:tcPr>
            <w:tcW w:w="2551" w:type="dxa"/>
            <w:vAlign w:val="center"/>
          </w:tcPr>
          <w:p>
            <w:pPr>
              <w:pStyle w:val="16"/>
            </w:pPr>
            <w:r>
              <w:t>1033.12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20802</w:t>
            </w:r>
          </w:p>
        </w:tc>
        <w:tc>
          <w:tcPr>
            <w:tcW w:w="4535" w:type="dxa"/>
            <w:vAlign w:val="center"/>
          </w:tcPr>
          <w:p>
            <w:pPr>
              <w:pStyle w:val="17"/>
            </w:pPr>
            <w:r>
              <w:t>民政管理事务</w:t>
            </w:r>
          </w:p>
        </w:tc>
        <w:tc>
          <w:tcPr>
            <w:tcW w:w="2551" w:type="dxa"/>
            <w:vAlign w:val="center"/>
          </w:tcPr>
          <w:p>
            <w:pPr>
              <w:pStyle w:val="16"/>
            </w:pPr>
            <w:r>
              <w:t>1033.12</w:t>
            </w:r>
          </w:p>
        </w:tc>
        <w:tc>
          <w:tcPr>
            <w:tcW w:w="2551" w:type="dxa"/>
            <w:vAlign w:val="center"/>
          </w:tcPr>
          <w:p>
            <w:pPr>
              <w:pStyle w:val="16"/>
            </w:pPr>
          </w:p>
        </w:tc>
        <w:tc>
          <w:tcPr>
            <w:tcW w:w="2551" w:type="dxa"/>
            <w:vAlign w:val="center"/>
          </w:tcPr>
          <w:p>
            <w:pPr>
              <w:pStyle w:val="16"/>
            </w:pPr>
            <w:r>
              <w:t>1033.12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2080208</w:t>
            </w:r>
          </w:p>
        </w:tc>
        <w:tc>
          <w:tcPr>
            <w:tcW w:w="4535" w:type="dxa"/>
            <w:vAlign w:val="center"/>
          </w:tcPr>
          <w:p>
            <w:pPr>
              <w:pStyle w:val="17"/>
            </w:pPr>
            <w:r>
              <w:t>基层政权建设和社区治理</w:t>
            </w:r>
          </w:p>
        </w:tc>
        <w:tc>
          <w:tcPr>
            <w:tcW w:w="2551" w:type="dxa"/>
            <w:vAlign w:val="center"/>
          </w:tcPr>
          <w:p>
            <w:pPr>
              <w:pStyle w:val="16"/>
            </w:pPr>
            <w:r>
              <w:t>1033.12</w:t>
            </w:r>
          </w:p>
        </w:tc>
        <w:tc>
          <w:tcPr>
            <w:tcW w:w="2551" w:type="dxa"/>
            <w:vAlign w:val="center"/>
          </w:tcPr>
          <w:p>
            <w:pPr>
              <w:pStyle w:val="16"/>
            </w:pPr>
          </w:p>
        </w:tc>
        <w:tc>
          <w:tcPr>
            <w:tcW w:w="2551" w:type="dxa"/>
            <w:vAlign w:val="center"/>
          </w:tcPr>
          <w:p>
            <w:pPr>
              <w:pStyle w:val="16"/>
            </w:pPr>
            <w:r>
              <w:t>1033.12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375.58</w:t>
            </w:r>
          </w:p>
        </w:tc>
        <w:tc>
          <w:tcPr>
            <w:tcW w:w="2551" w:type="dxa"/>
            <w:vAlign w:val="center"/>
          </w:tcPr>
          <w:p>
            <w:pPr>
              <w:pStyle w:val="16"/>
            </w:pPr>
            <w:r>
              <w:t>375.58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228.58</w:t>
            </w:r>
          </w:p>
        </w:tc>
        <w:tc>
          <w:tcPr>
            <w:tcW w:w="2551" w:type="dxa"/>
            <w:vAlign w:val="center"/>
          </w:tcPr>
          <w:p>
            <w:pPr>
              <w:pStyle w:val="16"/>
            </w:pPr>
            <w:r>
              <w:t>228.58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147.01</w:t>
            </w:r>
          </w:p>
        </w:tc>
        <w:tc>
          <w:tcPr>
            <w:tcW w:w="2551" w:type="dxa"/>
            <w:vAlign w:val="center"/>
          </w:tcPr>
          <w:p>
            <w:pPr>
              <w:pStyle w:val="16"/>
            </w:pPr>
            <w:r>
              <w:t>147.01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48.49</w:t>
            </w:r>
          </w:p>
        </w:tc>
        <w:tc>
          <w:tcPr>
            <w:tcW w:w="2551" w:type="dxa"/>
            <w:vAlign w:val="center"/>
          </w:tcPr>
          <w:p>
            <w:pPr>
              <w:pStyle w:val="16"/>
            </w:pPr>
            <w:r>
              <w:t>48.49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48.49</w:t>
            </w:r>
          </w:p>
        </w:tc>
        <w:tc>
          <w:tcPr>
            <w:tcW w:w="2551" w:type="dxa"/>
            <w:vAlign w:val="center"/>
          </w:tcPr>
          <w:p>
            <w:pPr>
              <w:pStyle w:val="16"/>
            </w:pPr>
            <w:r>
              <w:t>48.49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48.49</w:t>
            </w:r>
          </w:p>
        </w:tc>
        <w:tc>
          <w:tcPr>
            <w:tcW w:w="2551" w:type="dxa"/>
            <w:vAlign w:val="center"/>
          </w:tcPr>
          <w:p>
            <w:pPr>
              <w:pStyle w:val="16"/>
            </w:pPr>
            <w:r>
              <w:t>48.49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122.36</w:t>
            </w:r>
          </w:p>
        </w:tc>
        <w:tc>
          <w:tcPr>
            <w:tcW w:w="2551" w:type="dxa"/>
            <w:vAlign w:val="center"/>
          </w:tcPr>
          <w:p>
            <w:pPr>
              <w:pStyle w:val="16"/>
            </w:pPr>
            <w:r>
              <w:t>122.36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122.36</w:t>
            </w:r>
          </w:p>
        </w:tc>
        <w:tc>
          <w:tcPr>
            <w:tcW w:w="2551" w:type="dxa"/>
            <w:vAlign w:val="center"/>
          </w:tcPr>
          <w:p>
            <w:pPr>
              <w:pStyle w:val="16"/>
            </w:pPr>
            <w:r>
              <w:t>122.36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122.36</w:t>
            </w:r>
          </w:p>
        </w:tc>
        <w:tc>
          <w:tcPr>
            <w:tcW w:w="2551" w:type="dxa"/>
            <w:vAlign w:val="center"/>
          </w:tcPr>
          <w:p>
            <w:pPr>
              <w:pStyle w:val="16"/>
            </w:pPr>
            <w:r>
              <w:t>122.36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916001廊坊市广阳区爱民东道街道办事处本级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2023.05</w:t>
            </w:r>
          </w:p>
        </w:tc>
        <w:tc>
          <w:tcPr>
            <w:tcW w:w="2551" w:type="dxa"/>
            <w:vAlign w:val="center"/>
          </w:tcPr>
          <w:p>
            <w:pPr>
              <w:pStyle w:val="20"/>
            </w:pPr>
            <w:r>
              <w:t>1803.31</w:t>
            </w:r>
          </w:p>
        </w:tc>
        <w:tc>
          <w:tcPr>
            <w:tcW w:w="2551" w:type="dxa"/>
            <w:vAlign w:val="center"/>
          </w:tcPr>
          <w:p>
            <w:pPr>
              <w:pStyle w:val="20"/>
            </w:pPr>
            <w:r>
              <w:t>219.74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1573.50</w:t>
            </w:r>
          </w:p>
        </w:tc>
        <w:tc>
          <w:tcPr>
            <w:tcW w:w="2551" w:type="dxa"/>
            <w:vAlign w:val="center"/>
          </w:tcPr>
          <w:p>
            <w:pPr>
              <w:pStyle w:val="16"/>
            </w:pPr>
            <w:r>
              <w:t>1573.50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412.42</w:t>
            </w:r>
          </w:p>
        </w:tc>
        <w:tc>
          <w:tcPr>
            <w:tcW w:w="2551" w:type="dxa"/>
            <w:vAlign w:val="center"/>
          </w:tcPr>
          <w:p>
            <w:pPr>
              <w:pStyle w:val="16"/>
            </w:pPr>
            <w:r>
              <w:t>412.42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462.27</w:t>
            </w:r>
          </w:p>
        </w:tc>
        <w:tc>
          <w:tcPr>
            <w:tcW w:w="2551" w:type="dxa"/>
            <w:vAlign w:val="center"/>
          </w:tcPr>
          <w:p>
            <w:pPr>
              <w:pStyle w:val="16"/>
            </w:pPr>
            <w:r>
              <w:t>462.27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313.03</w:t>
            </w:r>
          </w:p>
        </w:tc>
        <w:tc>
          <w:tcPr>
            <w:tcW w:w="2551" w:type="dxa"/>
            <w:vAlign w:val="center"/>
          </w:tcPr>
          <w:p>
            <w:pPr>
              <w:pStyle w:val="16"/>
            </w:pPr>
            <w:r>
              <w:t>313.03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62.02</w:t>
            </w:r>
          </w:p>
        </w:tc>
        <w:tc>
          <w:tcPr>
            <w:tcW w:w="2551" w:type="dxa"/>
            <w:vAlign w:val="center"/>
          </w:tcPr>
          <w:p>
            <w:pPr>
              <w:pStyle w:val="16"/>
            </w:pPr>
            <w:r>
              <w:t>62.02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147.01</w:t>
            </w:r>
          </w:p>
        </w:tc>
        <w:tc>
          <w:tcPr>
            <w:tcW w:w="2551" w:type="dxa"/>
            <w:vAlign w:val="center"/>
          </w:tcPr>
          <w:p>
            <w:pPr>
              <w:pStyle w:val="16"/>
            </w:pPr>
            <w:r>
              <w:t>147.01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47.86</w:t>
            </w:r>
          </w:p>
        </w:tc>
        <w:tc>
          <w:tcPr>
            <w:tcW w:w="2551" w:type="dxa"/>
            <w:vAlign w:val="center"/>
          </w:tcPr>
          <w:p>
            <w:pPr>
              <w:pStyle w:val="16"/>
            </w:pPr>
            <w:r>
              <w:t>47.86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4.30</w:t>
            </w:r>
          </w:p>
        </w:tc>
        <w:tc>
          <w:tcPr>
            <w:tcW w:w="2551" w:type="dxa"/>
            <w:vAlign w:val="center"/>
          </w:tcPr>
          <w:p>
            <w:pPr>
              <w:pStyle w:val="16"/>
            </w:pPr>
            <w:r>
              <w:t>4.30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122.36</w:t>
            </w:r>
          </w:p>
        </w:tc>
        <w:tc>
          <w:tcPr>
            <w:tcW w:w="2551" w:type="dxa"/>
            <w:vAlign w:val="center"/>
          </w:tcPr>
          <w:p>
            <w:pPr>
              <w:pStyle w:val="16"/>
            </w:pPr>
            <w:r>
              <w:t>122.36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2.23</w:t>
            </w:r>
          </w:p>
        </w:tc>
        <w:tc>
          <w:tcPr>
            <w:tcW w:w="2551" w:type="dxa"/>
            <w:vAlign w:val="center"/>
          </w:tcPr>
          <w:p>
            <w:pPr>
              <w:pStyle w:val="16"/>
            </w:pPr>
            <w:r>
              <w:t>2.23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219.74</w:t>
            </w:r>
          </w:p>
        </w:tc>
        <w:tc>
          <w:tcPr>
            <w:tcW w:w="2551" w:type="dxa"/>
            <w:vAlign w:val="center"/>
          </w:tcPr>
          <w:p>
            <w:pPr>
              <w:pStyle w:val="16"/>
            </w:pPr>
          </w:p>
        </w:tc>
        <w:tc>
          <w:tcPr>
            <w:tcW w:w="2551" w:type="dxa"/>
            <w:vAlign w:val="center"/>
          </w:tcPr>
          <w:p>
            <w:pPr>
              <w:pStyle w:val="16"/>
            </w:pPr>
            <w:r>
              <w:t>219.74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36.12</w:t>
            </w:r>
          </w:p>
        </w:tc>
        <w:tc>
          <w:tcPr>
            <w:tcW w:w="2551" w:type="dxa"/>
            <w:vAlign w:val="center"/>
          </w:tcPr>
          <w:p>
            <w:pPr>
              <w:pStyle w:val="16"/>
            </w:pPr>
          </w:p>
        </w:tc>
        <w:tc>
          <w:tcPr>
            <w:tcW w:w="2551" w:type="dxa"/>
            <w:vAlign w:val="center"/>
          </w:tcPr>
          <w:p>
            <w:pPr>
              <w:pStyle w:val="16"/>
            </w:pPr>
            <w:r>
              <w:t>36.12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2.84</w:t>
            </w:r>
          </w:p>
        </w:tc>
        <w:tc>
          <w:tcPr>
            <w:tcW w:w="2551" w:type="dxa"/>
            <w:vAlign w:val="center"/>
          </w:tcPr>
          <w:p>
            <w:pPr>
              <w:pStyle w:val="16"/>
            </w:pPr>
          </w:p>
        </w:tc>
        <w:tc>
          <w:tcPr>
            <w:tcW w:w="2551" w:type="dxa"/>
            <w:vAlign w:val="center"/>
          </w:tcPr>
          <w:p>
            <w:pPr>
              <w:pStyle w:val="16"/>
            </w:pPr>
            <w:r>
              <w:t>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3.36</w:t>
            </w:r>
          </w:p>
        </w:tc>
        <w:tc>
          <w:tcPr>
            <w:tcW w:w="2551" w:type="dxa"/>
            <w:vAlign w:val="center"/>
          </w:tcPr>
          <w:p>
            <w:pPr>
              <w:pStyle w:val="16"/>
            </w:pPr>
          </w:p>
        </w:tc>
        <w:tc>
          <w:tcPr>
            <w:tcW w:w="2551" w:type="dxa"/>
            <w:vAlign w:val="center"/>
          </w:tcPr>
          <w:p>
            <w:pPr>
              <w:pStyle w:val="16"/>
            </w:pPr>
            <w:r>
              <w:t>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9.45</w:t>
            </w:r>
          </w:p>
        </w:tc>
        <w:tc>
          <w:tcPr>
            <w:tcW w:w="2551" w:type="dxa"/>
            <w:vAlign w:val="center"/>
          </w:tcPr>
          <w:p>
            <w:pPr>
              <w:pStyle w:val="16"/>
            </w:pPr>
          </w:p>
        </w:tc>
        <w:tc>
          <w:tcPr>
            <w:tcW w:w="2551" w:type="dxa"/>
            <w:vAlign w:val="center"/>
          </w:tcPr>
          <w:p>
            <w:pPr>
              <w:pStyle w:val="16"/>
            </w:pPr>
            <w:r>
              <w:t>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53.82</w:t>
            </w:r>
          </w:p>
        </w:tc>
        <w:tc>
          <w:tcPr>
            <w:tcW w:w="2551" w:type="dxa"/>
            <w:vAlign w:val="center"/>
          </w:tcPr>
          <w:p>
            <w:pPr>
              <w:pStyle w:val="16"/>
            </w:pPr>
          </w:p>
        </w:tc>
        <w:tc>
          <w:tcPr>
            <w:tcW w:w="2551" w:type="dxa"/>
            <w:vAlign w:val="center"/>
          </w:tcPr>
          <w:p>
            <w:pPr>
              <w:pStyle w:val="16"/>
            </w:pPr>
            <w:r>
              <w:t>53.82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14.70</w:t>
            </w:r>
          </w:p>
        </w:tc>
        <w:tc>
          <w:tcPr>
            <w:tcW w:w="2551" w:type="dxa"/>
            <w:vAlign w:val="center"/>
          </w:tcPr>
          <w:p>
            <w:pPr>
              <w:pStyle w:val="16"/>
            </w:pPr>
          </w:p>
        </w:tc>
        <w:tc>
          <w:tcPr>
            <w:tcW w:w="2551" w:type="dxa"/>
            <w:vAlign w:val="center"/>
          </w:tcPr>
          <w:p>
            <w:pPr>
              <w:pStyle w:val="16"/>
            </w:pPr>
            <w:r>
              <w:t>14.70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6.09</w:t>
            </w:r>
          </w:p>
        </w:tc>
        <w:tc>
          <w:tcPr>
            <w:tcW w:w="2551" w:type="dxa"/>
            <w:vAlign w:val="center"/>
          </w:tcPr>
          <w:p>
            <w:pPr>
              <w:pStyle w:val="16"/>
            </w:pPr>
          </w:p>
        </w:tc>
        <w:tc>
          <w:tcPr>
            <w:tcW w:w="2551" w:type="dxa"/>
            <w:vAlign w:val="center"/>
          </w:tcPr>
          <w:p>
            <w:pPr>
              <w:pStyle w:val="16"/>
            </w:pPr>
            <w: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21.84</w:t>
            </w:r>
          </w:p>
        </w:tc>
        <w:tc>
          <w:tcPr>
            <w:tcW w:w="2551" w:type="dxa"/>
            <w:vAlign w:val="center"/>
          </w:tcPr>
          <w:p>
            <w:pPr>
              <w:pStyle w:val="16"/>
            </w:pPr>
          </w:p>
        </w:tc>
        <w:tc>
          <w:tcPr>
            <w:tcW w:w="2551" w:type="dxa"/>
            <w:vAlign w:val="center"/>
          </w:tcPr>
          <w:p>
            <w:pPr>
              <w:pStyle w:val="16"/>
            </w:pPr>
            <w:r>
              <w:t>21.84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5.25</w:t>
            </w:r>
          </w:p>
        </w:tc>
        <w:tc>
          <w:tcPr>
            <w:tcW w:w="2551" w:type="dxa"/>
            <w:vAlign w:val="center"/>
          </w:tcPr>
          <w:p>
            <w:pPr>
              <w:pStyle w:val="16"/>
            </w:pPr>
          </w:p>
        </w:tc>
        <w:tc>
          <w:tcPr>
            <w:tcW w:w="2551" w:type="dxa"/>
            <w:vAlign w:val="center"/>
          </w:tcPr>
          <w:p>
            <w:pPr>
              <w:pStyle w:val="16"/>
            </w:pPr>
            <w:r>
              <w:t>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8.50</w:t>
            </w:r>
          </w:p>
        </w:tc>
        <w:tc>
          <w:tcPr>
            <w:tcW w:w="2551" w:type="dxa"/>
            <w:vAlign w:val="center"/>
          </w:tcPr>
          <w:p>
            <w:pPr>
              <w:pStyle w:val="16"/>
            </w:pPr>
          </w:p>
        </w:tc>
        <w:tc>
          <w:tcPr>
            <w:tcW w:w="2551" w:type="dxa"/>
            <w:vAlign w:val="center"/>
          </w:tcPr>
          <w:p>
            <w:pPr>
              <w:pStyle w:val="16"/>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10.07</w:t>
            </w:r>
          </w:p>
        </w:tc>
        <w:tc>
          <w:tcPr>
            <w:tcW w:w="2551" w:type="dxa"/>
            <w:vAlign w:val="center"/>
          </w:tcPr>
          <w:p>
            <w:pPr>
              <w:pStyle w:val="16"/>
            </w:pPr>
          </w:p>
        </w:tc>
        <w:tc>
          <w:tcPr>
            <w:tcW w:w="2551" w:type="dxa"/>
            <w:vAlign w:val="center"/>
          </w:tcPr>
          <w:p>
            <w:pPr>
              <w:pStyle w:val="16"/>
            </w:pPr>
            <w:r>
              <w:t>10.07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43.32</w:t>
            </w:r>
          </w:p>
        </w:tc>
        <w:tc>
          <w:tcPr>
            <w:tcW w:w="2551" w:type="dxa"/>
            <w:vAlign w:val="center"/>
          </w:tcPr>
          <w:p>
            <w:pPr>
              <w:pStyle w:val="16"/>
            </w:pPr>
          </w:p>
        </w:tc>
        <w:tc>
          <w:tcPr>
            <w:tcW w:w="2551" w:type="dxa"/>
            <w:vAlign w:val="center"/>
          </w:tcPr>
          <w:p>
            <w:pPr>
              <w:pStyle w:val="16"/>
            </w:pPr>
            <w:r>
              <w:t>43.32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229.81</w:t>
            </w:r>
          </w:p>
        </w:tc>
        <w:tc>
          <w:tcPr>
            <w:tcW w:w="2551" w:type="dxa"/>
            <w:vAlign w:val="center"/>
          </w:tcPr>
          <w:p>
            <w:pPr>
              <w:pStyle w:val="16"/>
            </w:pPr>
            <w:r>
              <w:t>229.81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228.58</w:t>
            </w:r>
          </w:p>
        </w:tc>
        <w:tc>
          <w:tcPr>
            <w:tcW w:w="2551" w:type="dxa"/>
            <w:vAlign w:val="center"/>
          </w:tcPr>
          <w:p>
            <w:pPr>
              <w:pStyle w:val="16"/>
            </w:pPr>
            <w:r>
              <w:t>228.58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0.82</w:t>
            </w:r>
          </w:p>
        </w:tc>
        <w:tc>
          <w:tcPr>
            <w:tcW w:w="2551" w:type="dxa"/>
            <w:vAlign w:val="center"/>
          </w:tcPr>
          <w:p>
            <w:pPr>
              <w:pStyle w:val="16"/>
            </w:pPr>
            <w:r>
              <w:t>0.82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0.41</w:t>
            </w:r>
          </w:p>
        </w:tc>
        <w:tc>
          <w:tcPr>
            <w:tcW w:w="2551" w:type="dxa"/>
            <w:vAlign w:val="center"/>
          </w:tcPr>
          <w:p>
            <w:pPr>
              <w:pStyle w:val="16"/>
            </w:pPr>
            <w:r>
              <w:t>0.41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916001廊坊市广阳区爱民东道街道办事处本级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916001廊坊市广阳区爱民东道街道办事处本级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53.03</w:t>
            </w:r>
          </w:p>
        </w:tc>
        <w:tc>
          <w:tcPr>
            <w:tcW w:w="2551" w:type="dxa"/>
            <w:vAlign w:val="center"/>
          </w:tcPr>
          <w:p>
            <w:pPr>
              <w:pStyle w:val="20"/>
            </w:pPr>
          </w:p>
        </w:tc>
        <w:tc>
          <w:tcPr>
            <w:tcW w:w="2551" w:type="dxa"/>
            <w:vAlign w:val="center"/>
          </w:tcPr>
          <w:p>
            <w:pPr>
              <w:pStyle w:val="20"/>
            </w:pPr>
            <w:r>
              <w:t>53.03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223</w:t>
            </w:r>
          </w:p>
        </w:tc>
        <w:tc>
          <w:tcPr>
            <w:tcW w:w="4535" w:type="dxa"/>
            <w:vAlign w:val="center"/>
          </w:tcPr>
          <w:p>
            <w:pPr>
              <w:pStyle w:val="17"/>
            </w:pPr>
            <w:r>
              <w:t>国有资本经营预算支出</w:t>
            </w:r>
          </w:p>
        </w:tc>
        <w:tc>
          <w:tcPr>
            <w:tcW w:w="2551" w:type="dxa"/>
            <w:vAlign w:val="center"/>
          </w:tcPr>
          <w:p>
            <w:pPr>
              <w:pStyle w:val="16"/>
            </w:pPr>
            <w:r>
              <w:t>53.03</w:t>
            </w:r>
          </w:p>
        </w:tc>
        <w:tc>
          <w:tcPr>
            <w:tcW w:w="2551" w:type="dxa"/>
            <w:vAlign w:val="center"/>
          </w:tcPr>
          <w:p>
            <w:pPr>
              <w:pStyle w:val="16"/>
            </w:pPr>
          </w:p>
        </w:tc>
        <w:tc>
          <w:tcPr>
            <w:tcW w:w="2551" w:type="dxa"/>
            <w:vAlign w:val="center"/>
          </w:tcPr>
          <w:p>
            <w:pPr>
              <w:pStyle w:val="16"/>
            </w:pPr>
            <w:r>
              <w:t>53.03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22301</w:t>
            </w:r>
          </w:p>
        </w:tc>
        <w:tc>
          <w:tcPr>
            <w:tcW w:w="4535" w:type="dxa"/>
            <w:vAlign w:val="center"/>
          </w:tcPr>
          <w:p>
            <w:pPr>
              <w:pStyle w:val="17"/>
            </w:pPr>
            <w:r>
              <w:t>解决历史遗留问题及改革成本支出</w:t>
            </w:r>
          </w:p>
        </w:tc>
        <w:tc>
          <w:tcPr>
            <w:tcW w:w="2551" w:type="dxa"/>
            <w:vAlign w:val="center"/>
          </w:tcPr>
          <w:p>
            <w:pPr>
              <w:pStyle w:val="16"/>
            </w:pPr>
            <w:r>
              <w:t>53.03</w:t>
            </w:r>
          </w:p>
        </w:tc>
        <w:tc>
          <w:tcPr>
            <w:tcW w:w="2551" w:type="dxa"/>
            <w:vAlign w:val="center"/>
          </w:tcPr>
          <w:p>
            <w:pPr>
              <w:pStyle w:val="16"/>
            </w:pPr>
          </w:p>
        </w:tc>
        <w:tc>
          <w:tcPr>
            <w:tcW w:w="2551" w:type="dxa"/>
            <w:vAlign w:val="center"/>
          </w:tcPr>
          <w:p>
            <w:pPr>
              <w:pStyle w:val="16"/>
            </w:pPr>
            <w:r>
              <w:t>53.03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2230105</w:t>
            </w:r>
          </w:p>
        </w:tc>
        <w:tc>
          <w:tcPr>
            <w:tcW w:w="4535" w:type="dxa"/>
            <w:vAlign w:val="center"/>
          </w:tcPr>
          <w:p>
            <w:pPr>
              <w:pStyle w:val="17"/>
            </w:pPr>
            <w:r>
              <w:t>国有企业退休人员社会化管理补助支出</w:t>
            </w:r>
          </w:p>
        </w:tc>
        <w:tc>
          <w:tcPr>
            <w:tcW w:w="2551" w:type="dxa"/>
            <w:vAlign w:val="center"/>
          </w:tcPr>
          <w:p>
            <w:pPr>
              <w:pStyle w:val="16"/>
            </w:pPr>
            <w:r>
              <w:t>53.03</w:t>
            </w:r>
          </w:p>
        </w:tc>
        <w:tc>
          <w:tcPr>
            <w:tcW w:w="2551" w:type="dxa"/>
            <w:vAlign w:val="center"/>
          </w:tcPr>
          <w:p>
            <w:pPr>
              <w:pStyle w:val="16"/>
            </w:pPr>
          </w:p>
        </w:tc>
        <w:tc>
          <w:tcPr>
            <w:tcW w:w="2551" w:type="dxa"/>
            <w:vAlign w:val="center"/>
          </w:tcPr>
          <w:p>
            <w:pPr>
              <w:pStyle w:val="16"/>
            </w:pPr>
            <w:r>
              <w:t>53.03</w:t>
            </w:r>
          </w:p>
        </w:tc>
      </w:tr>
    </w:tbl>
    <w:p>
      <w:pPr>
        <w:sectPr>
          <w:pgSz w:w="16840" w:h="11900" w:orient="landscape"/>
          <w:pgMar w:top="1361" w:right="1020" w:bottom="1134" w:left="1020" w:header="720" w:footer="720" w:gutter="0"/>
          <w:cols w:space="720" w:num="1"/>
        </w:sectPr>
      </w:pP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916001廊坊市广阳区爱民东道街道办事处本级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廊坊市广阳区爱民东道街道办事处本级2023年单位预算信息公开情况说明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8" w:name="_GoBack"/>
      <w:bookmarkEnd w:id="18"/>
      <w:r>
        <w:rPr>
          <w:rFonts w:eastAsia="方正仿宋_GBK" w:cs="Times New Roman"/>
          <w:color w:val="000000"/>
          <w:sz w:val="28"/>
        </w:rPr>
        <w:t>预算法》、《地方预决算公开操作规程》和《关于进一步推进预算公开工作的实施意见》规定，现将廊坊市广阳区爱民东道街道办事处本级2023年单位预算公开如下：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（一）党政综合办公室：</w:t>
      </w:r>
    </w:p>
    <w:p>
      <w:pPr>
        <w:pStyle w:val="30"/>
      </w:pPr>
      <w:r>
        <w:t>1.负责监督检查和指导所属单位和行政村的档案工作。</w:t>
      </w:r>
    </w:p>
    <w:p>
      <w:pPr>
        <w:pStyle w:val="30"/>
      </w:pPr>
      <w:r>
        <w:t>2.做好信访工作，畅通信访渠道、处理来信、接待来访。</w:t>
      </w:r>
    </w:p>
    <w:p>
      <w:pPr>
        <w:pStyle w:val="30"/>
      </w:pPr>
      <w:r>
        <w:t>3.负责辖区内的统计工作。履行统计职责，广泛引导、动员和组织社会力量积极参与并认真配合做好国家规定的周期性普查工作。</w:t>
      </w:r>
    </w:p>
    <w:p>
      <w:pPr>
        <w:pStyle w:val="30"/>
      </w:pPr>
      <w:r>
        <w:t>（二）党建工作办公室</w:t>
      </w:r>
    </w:p>
    <w:p>
      <w:pPr>
        <w:pStyle w:val="30"/>
      </w:pPr>
      <w:r>
        <w:t>1.宣传执行党的路线、方针、政策，宣传和执行党中央、上级党组织和本级党组织的决议，团结、组织党内外的干部和群众，努力完成本单位所担负的任务。</w:t>
      </w:r>
    </w:p>
    <w:p>
      <w:pPr>
        <w:pStyle w:val="30"/>
      </w:pPr>
      <w:r>
        <w:t>2.维护和执行党的纪律，监督党员干部和其他任何工作人员严格遵守国家法律法规。</w:t>
      </w:r>
    </w:p>
    <w:p>
      <w:pPr>
        <w:pStyle w:val="30"/>
      </w:pPr>
      <w:r>
        <w:t>3.负责乡镇和街道党（工）委自身建设和基层党组织建设，以及其他隶属乡镇和街道党（工）委的党组织建设。</w:t>
      </w:r>
    </w:p>
    <w:p>
      <w:pPr>
        <w:pStyle w:val="30"/>
      </w:pPr>
      <w:r>
        <w:t>4.负责下级党的基层组织选举工作、对下级党组织的成立或撤销作出决定。</w:t>
      </w:r>
    </w:p>
    <w:p>
      <w:pPr>
        <w:pStyle w:val="30"/>
      </w:pPr>
      <w:r>
        <w:t>5.负责非公有制企业和社会组织党建工作、扩大新兴领域党建有效覆盖。</w:t>
      </w:r>
    </w:p>
    <w:p>
      <w:pPr>
        <w:pStyle w:val="30"/>
      </w:pPr>
      <w:r>
        <w:t>6.加强党员队伍建设，对党员进行教育、管理、监督和服务，做好经常性的发展党员工作。加强流动党员管理。</w:t>
      </w:r>
    </w:p>
    <w:p>
      <w:pPr>
        <w:pStyle w:val="30"/>
      </w:pPr>
      <w:r>
        <w:t>7.做好人才服务工作，发现、培养、推荐党员和群众中的优秀人才。</w:t>
      </w:r>
    </w:p>
    <w:p>
      <w:pPr>
        <w:pStyle w:val="30"/>
      </w:pPr>
      <w:r>
        <w:t>8.落实意识形态工作责任制，组织党员群众学习习近平新时代中国特色社会主义思想，培育和践行社会主义核心价值观，加强精神文明建设和文化建设。</w:t>
      </w:r>
    </w:p>
    <w:p>
      <w:pPr>
        <w:pStyle w:val="30"/>
      </w:pPr>
      <w:r>
        <w:t>9.落实统一战线工作任务要求，做好民族事务工作。</w:t>
      </w:r>
    </w:p>
    <w:p>
      <w:pPr>
        <w:pStyle w:val="30"/>
      </w:pPr>
      <w:r>
        <w:t>10.领导辖区内人大工作，以及工会、共青团、妇联等工作。</w:t>
      </w:r>
    </w:p>
    <w:p>
      <w:pPr>
        <w:pStyle w:val="30"/>
      </w:pPr>
      <w:r>
        <w:t>11.根据委托授权负责本辖区内的宗教事务管理工作。</w:t>
      </w:r>
    </w:p>
    <w:p>
      <w:pPr>
        <w:pStyle w:val="30"/>
      </w:pPr>
      <w:r>
        <w:t>12.依照法定权限，做好本辖区的征兵、民兵、预备役、国防教育、国民经济动员、人民防空、国防交通、国防设施保护等工作。</w:t>
      </w:r>
    </w:p>
    <w:p>
      <w:pPr>
        <w:pStyle w:val="30"/>
      </w:pPr>
      <w:r>
        <w:t>13.负责联系街道辖区内的人民代表大会代表，组织代表开展活动，反映代表和群众的建议、批评和意见，办理常务委员会交办的监督、选举以及其他工作，并向常务委员会报告工作。</w:t>
      </w:r>
    </w:p>
    <w:p>
      <w:pPr>
        <w:pStyle w:val="30"/>
      </w:pPr>
      <w:r>
        <w:t>（三）应急管理办公室</w:t>
      </w:r>
    </w:p>
    <w:p>
      <w:pPr>
        <w:pStyle w:val="30"/>
      </w:pPr>
      <w:r>
        <w:t>1.负责辖区内的食品安全隐患排查、信息报告、协助执法和宣传教育等工作、做好本行政区域内小作坊、小餐饮、小摊点的监督管理工作。</w:t>
      </w:r>
    </w:p>
    <w:p>
      <w:pPr>
        <w:pStyle w:val="30"/>
      </w:pPr>
      <w:r>
        <w:t>2.加强本辖区生产经营单位安全生产状况的监督检查、协助上级有关部门依法履行安全生产监督管理职责。</w:t>
      </w:r>
    </w:p>
    <w:p>
      <w:pPr>
        <w:pStyle w:val="30"/>
      </w:pPr>
      <w:r>
        <w:t>3.负责本辖区的消防工作、开展消防宣传、防火巡查、隐患查改。指导村（居）民委员会开展群众性的消防工作。</w:t>
      </w:r>
    </w:p>
    <w:p>
      <w:pPr>
        <w:pStyle w:val="30"/>
      </w:pPr>
      <w:r>
        <w:t>4.负责辖区防汛抗洪、抗旱等相关工作。</w:t>
      </w:r>
    </w:p>
    <w:p>
      <w:pPr>
        <w:pStyle w:val="30"/>
      </w:pPr>
      <w:r>
        <w:t>5.负责辖区防灾减灾等相关工作。</w:t>
      </w:r>
    </w:p>
    <w:p>
      <w:pPr>
        <w:pStyle w:val="30"/>
      </w:pPr>
      <w:r>
        <w:t>6.依法做好本辖区的突发事件应对工作，制定本级突发事件应急预案，组织开展应急演练。</w:t>
      </w:r>
    </w:p>
    <w:p>
      <w:pPr>
        <w:pStyle w:val="30"/>
      </w:pPr>
      <w:r>
        <w:t>7.负责辖区应急管理工作，建立健全应急联动机制，严格落实应急管理责任，加强基层综合应急队伍建设和应急保障能力建设。</w:t>
      </w:r>
    </w:p>
    <w:p>
      <w:pPr>
        <w:pStyle w:val="30"/>
      </w:pPr>
      <w:r>
        <w:t>8.负责本辖区内自然灾害救助工作，做好自然灾害风险排查、隐患治理、救助准备、信息报告、先期处置、应急救助、灾后救助和救助款物管理等工作。</w:t>
      </w:r>
    </w:p>
    <w:p>
      <w:pPr>
        <w:pStyle w:val="30"/>
      </w:pPr>
      <w:r>
        <w:t>（四）自然资源和生态环境办公室</w:t>
      </w:r>
    </w:p>
    <w:p>
      <w:pPr>
        <w:pStyle w:val="30"/>
      </w:pPr>
      <w:r>
        <w:t>1.动员和组织社会力量参与土地调查工作。</w:t>
      </w:r>
    </w:p>
    <w:p>
      <w:pPr>
        <w:pStyle w:val="30"/>
      </w:pPr>
      <w:r>
        <w:t>2.按照职责分工负责辖区市容、村容和环境卫生、农村生活污水管理责任。</w:t>
      </w:r>
    </w:p>
    <w:p>
      <w:pPr>
        <w:pStyle w:val="30"/>
      </w:pPr>
      <w:r>
        <w:t>3.按照职责分工负责本辖区河湖的水资源保护、水域岸线管理、水污染防治、水环境治理等工作，协助上级人民政府及其有关部门做好地下水相关管理和监督工作。</w:t>
      </w:r>
    </w:p>
    <w:p>
      <w:pPr>
        <w:pStyle w:val="30"/>
      </w:pPr>
      <w:r>
        <w:t>4.根据本地区的实际，组织开展大气污染防治工作。</w:t>
      </w:r>
    </w:p>
    <w:p>
      <w:pPr>
        <w:pStyle w:val="30"/>
      </w:pPr>
      <w:r>
        <w:t>5.落实属地监管责任，做好禁止露天焚烧秸秆工作。</w:t>
      </w:r>
    </w:p>
    <w:p>
      <w:pPr>
        <w:pStyle w:val="30"/>
      </w:pPr>
      <w:r>
        <w:t>6．根据本地区的实际，组织开展扬尘污染防治工作。</w:t>
      </w:r>
    </w:p>
    <w:p>
      <w:pPr>
        <w:pStyle w:val="30"/>
      </w:pPr>
      <w:r>
        <w:t>7.按照职责分工做好“散乱污”企业综合整治工作。</w:t>
      </w:r>
    </w:p>
    <w:p>
      <w:pPr>
        <w:pStyle w:val="30"/>
      </w:pPr>
      <w:r>
        <w:t>8.按照职责分工和相关预案开展突发环境事件应急处置工作，按照有关规定向上级报告。</w:t>
      </w:r>
    </w:p>
    <w:p>
      <w:pPr>
        <w:pStyle w:val="30"/>
      </w:pPr>
      <w:r>
        <w:t>（五）综合行政执法队</w:t>
      </w:r>
    </w:p>
    <w:p>
      <w:pPr>
        <w:pStyle w:val="30"/>
      </w:pPr>
      <w:r>
        <w:t>1.根据法律法规和省政府授权，承担综合行政执法工作。</w:t>
      </w:r>
    </w:p>
    <w:p>
      <w:pPr>
        <w:pStyle w:val="30"/>
      </w:pPr>
      <w:r>
        <w:t>2.协助有关部门查处传销行为。</w:t>
      </w:r>
    </w:p>
    <w:p>
      <w:pPr>
        <w:pStyle w:val="30"/>
      </w:pPr>
      <w:r>
        <w:t>3.加大信用信息归集应用力度，落实守信联合激励和失信联合惩戒制度、推进信用分级分类监管。</w:t>
      </w:r>
    </w:p>
    <w:p>
      <w:pPr>
        <w:pStyle w:val="30"/>
      </w:pPr>
      <w:r>
        <w:t>4.制定本辖区社会治安综合治理规划、检查、推动社会治安综合治理措施的落实，协调和督促有关部门开展法制宣传教育工作、调解各类纠纷。</w:t>
      </w:r>
    </w:p>
    <w:p>
      <w:pPr>
        <w:pStyle w:val="30"/>
      </w:pPr>
      <w:r>
        <w:t>5.组织群众开展各种形式的治安防范活动和军民、警民联防活动；指导、帮助村（居）民委员会做好社会治安综合治理工作。</w:t>
      </w:r>
    </w:p>
    <w:p>
      <w:pPr>
        <w:pStyle w:val="30"/>
      </w:pPr>
      <w:r>
        <w:t>6.组织协调辖区社会治安防控体系建设及普法工作，开展基层平安创建活动及各种形式的治安防范活动。加强群防群治组织建设，动员、组织人民群众维护社会治安和社会秩序，做好防范邪教工作。</w:t>
      </w:r>
    </w:p>
    <w:p>
      <w:pPr>
        <w:pStyle w:val="30"/>
      </w:pPr>
      <w:r>
        <w:t>7.承担民间纠纷调解相关工作。</w:t>
      </w:r>
    </w:p>
    <w:p>
      <w:pPr>
        <w:pStyle w:val="30"/>
      </w:pPr>
      <w:r>
        <w:t>8.协调有关部门做好未成年人的保护工作。</w:t>
      </w:r>
    </w:p>
    <w:p>
      <w:pPr>
        <w:pStyle w:val="30"/>
      </w:pPr>
      <w:r>
        <w:t>9.承担企业劳动争议调解相关工作。</w:t>
      </w:r>
    </w:p>
    <w:p>
      <w:pPr>
        <w:pStyle w:val="30"/>
      </w:pPr>
      <w:r>
        <w:t>10.组织相关单位开展社区矫正工作和对户籍或居住地在本辖区的刑满释放人员做好接收建档和安置帮教工作，做好重点帮教对象的衔接工作。</w:t>
      </w:r>
    </w:p>
    <w:p>
      <w:pPr>
        <w:pStyle w:val="30"/>
      </w:pPr>
      <w:r>
        <w:t>11.负责社区戒毒、社区康复工作。</w:t>
      </w:r>
    </w:p>
    <w:p>
      <w:pPr>
        <w:pStyle w:val="30"/>
      </w:pPr>
      <w:r>
        <w:t>（六）行政综合服务中心</w:t>
      </w:r>
    </w:p>
    <w:p>
      <w:pPr>
        <w:pStyle w:val="30"/>
      </w:pPr>
      <w:r>
        <w:t>1.负责指导居民委员会的换届选举工作。</w:t>
      </w:r>
    </w:p>
    <w:p>
      <w:pPr>
        <w:pStyle w:val="30"/>
      </w:pPr>
      <w:r>
        <w:t>2.指导村（居）民委员会建立健全各项自治制度，并予以备案。</w:t>
      </w:r>
    </w:p>
    <w:p>
      <w:pPr>
        <w:pStyle w:val="30"/>
      </w:pPr>
      <w:r>
        <w:t>3.按权限负责基层社区社会组织的分类指导和业务指导。</w:t>
      </w:r>
    </w:p>
    <w:p>
      <w:pPr>
        <w:pStyle w:val="30"/>
      </w:pPr>
      <w:r>
        <w:t>4.负责加强本辖区健康教育工作及其专业人才培养、建立健康知识和技能核心信息发布制度、普及健康科学知识、向公众提供科学、准确的健康信息。</w:t>
      </w:r>
    </w:p>
    <w:p>
      <w:pPr>
        <w:pStyle w:val="30"/>
      </w:pPr>
      <w:r>
        <w:t>5.负责本辖区健康中国建设，健全实施健康中国行动领导推进工作机制，逐项抓好任务落实。</w:t>
      </w:r>
    </w:p>
    <w:p>
      <w:pPr>
        <w:pStyle w:val="30"/>
      </w:pPr>
      <w:r>
        <w:t>6.根据法律法规和省政府授权，承担行政审批服务工作。</w:t>
      </w:r>
    </w:p>
    <w:p>
      <w:pPr>
        <w:pStyle w:val="30"/>
      </w:pPr>
      <w:r>
        <w:t>7.开展就业政策宣传、就业援助等就业服务工作。</w:t>
      </w:r>
    </w:p>
    <w:p>
      <w:pPr>
        <w:pStyle w:val="30"/>
      </w:pPr>
      <w:r>
        <w:t>8.负责辖区内人口与计划生育工作。</w:t>
      </w:r>
    </w:p>
    <w:p>
      <w:pPr>
        <w:pStyle w:val="30"/>
      </w:pPr>
      <w:r>
        <w:t>9.组织开展全民健身活动，建立健全全民健身工作协调机制。</w:t>
      </w:r>
    </w:p>
    <w:p>
      <w:pPr>
        <w:pStyle w:val="30"/>
      </w:pPr>
      <w:r>
        <w:t>10.负责本辖区爱国卫生日常工作。</w:t>
      </w:r>
    </w:p>
    <w:p>
      <w:pPr>
        <w:pStyle w:val="30"/>
      </w:pPr>
      <w:r>
        <w:t>11.按权限开展社会救助工作。</w:t>
      </w:r>
    </w:p>
    <w:p>
      <w:pPr>
        <w:pStyle w:val="30"/>
      </w:pPr>
      <w:r>
        <w:t>12.按权限做好残疾人保障工作。</w:t>
      </w:r>
    </w:p>
    <w:p>
      <w:pPr>
        <w:pStyle w:val="30"/>
      </w:pPr>
      <w:r>
        <w:t>13.负责组织开展预防精神障碍发生、促进精神障碍患者康复等工作。</w:t>
      </w:r>
    </w:p>
    <w:p>
      <w:pPr>
        <w:pStyle w:val="30"/>
      </w:pPr>
      <w:r>
        <w:t>14.按照职责分工负责做好辖区城乡居民基本养老保险工作。</w:t>
      </w:r>
    </w:p>
    <w:p>
      <w:pPr>
        <w:pStyle w:val="30"/>
      </w:pPr>
      <w:r>
        <w:t>（七）社区建设和物业监督管理办公室</w:t>
      </w:r>
    </w:p>
    <w:p>
      <w:pPr>
        <w:pStyle w:val="30"/>
      </w:pPr>
      <w:r>
        <w:t>1.组织实施居家养老服务工作，建设居家养老服务设施，落实政府购买服务、经费补贴等扶持政策措施、组织、指导社会各界参与居家养老和空巢、留守老年人关爱服务。</w:t>
      </w:r>
    </w:p>
    <w:p>
      <w:pPr>
        <w:pStyle w:val="30"/>
      </w:pPr>
      <w:r>
        <w:t>2.负责指导辖区内业主大会的成立和业主委员会的选举工作。</w:t>
      </w:r>
    </w:p>
    <w:p>
      <w:pPr>
        <w:pStyle w:val="30"/>
      </w:pPr>
      <w:r>
        <w:t>3.按权限负责社区工作者的日常管理工作。</w:t>
      </w:r>
    </w:p>
    <w:p>
      <w:pPr>
        <w:pStyle w:val="30"/>
      </w:pPr>
      <w:r>
        <w:t>（八）综合文化服务站</w:t>
      </w:r>
    </w:p>
    <w:p>
      <w:pPr>
        <w:pStyle w:val="30"/>
      </w:pPr>
      <w:r>
        <w:t>1.组织开展本辖区科普活动，宣传科学、文明的生产和生活方式。</w:t>
      </w:r>
    </w:p>
    <w:p>
      <w:pPr>
        <w:pStyle w:val="30"/>
      </w:pPr>
      <w:r>
        <w:t>2.负责本辖区综合文化站、新时代文明实践中心（所、站）建设和日常管理、实施免费开放。</w:t>
      </w:r>
    </w:p>
    <w:p>
      <w:pPr>
        <w:pStyle w:val="30"/>
      </w:pPr>
      <w:r>
        <w:t>（九）退役军人服务站</w:t>
      </w:r>
    </w:p>
    <w:p>
      <w:pPr>
        <w:pStyle w:val="30"/>
      </w:pPr>
      <w:r>
        <w:t>负责拥军优属、退役军人服务等工作。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廊坊市广阳区爱民东道街道办事处本级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31"/>
      </w:pPr>
      <w:r>
        <w:t>1、收入说明</w:t>
      </w:r>
    </w:p>
    <w:p>
      <w:pPr>
        <w:pStyle w:val="31"/>
      </w:pPr>
      <w:r>
        <w:t>反映本部门当年全部收入。2023年预算收入3109.20万元，其中：一般公共预算收入3056.17万元，基金预算收入0万元，财政专户核拨收入0万元，其他来源收入0万元，上年结转53.03万元。</w:t>
      </w:r>
    </w:p>
    <w:p>
      <w:pPr>
        <w:pStyle w:val="31"/>
      </w:pPr>
      <w:r>
        <w:t>2、支出说明</w:t>
      </w:r>
    </w:p>
    <w:p>
      <w:pPr>
        <w:pStyle w:val="31"/>
      </w:pPr>
      <w:r>
        <w:t>收支预算总表支出栏、基本支出表、项目支出表按经济分类和支出功能分类科目编制，反映廊坊市广阳区爱民东道街道办事处本级2023年度部门预算中支出预算的总体情况。2023年支出预算3109.20万元，其中：基本支出2023.05万元，包括人员经费1803.31万元和日常公用经费219.74万元；项目支出1086.15万元，全部为本级支出，主要为人员经费、日常公用经费等项目。</w:t>
      </w:r>
    </w:p>
    <w:p>
      <w:pPr>
        <w:pStyle w:val="31"/>
      </w:pPr>
      <w:r>
        <w:t>3、比上年增减情况</w:t>
      </w:r>
    </w:p>
    <w:p>
      <w:pPr>
        <w:pStyle w:val="31"/>
      </w:pPr>
      <w:r>
        <w:t>2023年预算收支安排3109.20万元，较2022年预算减少20.22万元，其中：基本支出减少11.69万元，j减少原因主要为减少人员经费支出减少；项目支出减少8.53万元，减少原因主要为减少一般公共服务、社会保障和就业项目支出减少。</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w:t>
      </w:r>
      <w:r>
        <w:rPr>
          <w:rFonts w:hint="eastAsia"/>
          <w:lang w:eastAsia="zh-CN"/>
        </w:rPr>
        <w:t>单位</w:t>
      </w:r>
      <w:r>
        <w:t>运行经费共计安排219.74万元，主要用于办公区的日常维修、办公费用、办公用房水电费、办公用房取暖费、邮电费、差旅费、办公用房物业管理费、公务用车运行维护费等日常运行支出。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w:t>
      </w:r>
      <w:r>
        <w:rPr>
          <w:rFonts w:hint="eastAsia"/>
          <w:lang w:eastAsia="zh-CN"/>
        </w:rPr>
        <w:t>单位</w:t>
      </w:r>
      <w:r>
        <w:t>财政拨款“三公”经费预算安排4.38万元。其中，因公出国（境）费0万元；公务用车购置及运维费4.38万元（其中：公务用车购置费为0万元，公务用车运维费4.38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pPr>
      <w:r>
        <w:rPr>
          <w:rFonts w:eastAsia="方正仿宋_GBK"/>
          <w:color w:val="000000"/>
          <w:sz w:val="28"/>
        </w:rPr>
        <w:t>（一）总体绩效目标</w:t>
      </w:r>
    </w:p>
    <w:p>
      <w:pPr>
        <w:pStyle w:val="26"/>
      </w:pPr>
      <w:r>
        <w:t>一是要加大宣传力度，扩大舆论环境，提高区域知名度。二是对在建楼宇项目要突出重点，落实责任，盯目标、盯进度、盯节点、盯成效，统筹推进项目建设，力争项目早建成、早投入、早见效。逐渐形成以和平路为中轴线，各具特色的商务楼群为核心商圈的发展模式。三是要尽快介入，全面掌握楼宇信息，引导开发商进行楼宇功能定位。确立不同楼宇的业态定位，发展产业集群，使楼宇经济朝产业化、特色化、专业化的方向发展。坚持防管结合、标本兼治。加大露天焚烧综合整治力度，倡导低碳文明的祭祀风尚力争不着火、不冒烟；巩固重点领域防控。保持对涉VOCs排放企业、“散乱污”企业和餐饮经营场所的高频度、全天候巡查监控态势，确保不出现反弹现象；进一步完善抑尘措施。强化重污染天气应急期间监管，督导各项应急措施落实到位，有效实现“削峰降速”。一方面，全面落实就业创业政策，减少辖区失业人员比例；加大对居民养老、城镇居民医疗保险的宣传力度，增强居民参保意识；认真做好低保、低收入家庭救助工作，解决基层最低生活保障家庭的学生救助；另一方面，坚持问题导向、群众观点、法治思维、末端思维，围绕继续抓好全国文明城市创建，进一步加强数字化、信息化、模块化管理体系建设，持续提升社区服务功能，全面建设幸福和谐街道。</w:t>
      </w:r>
    </w:p>
    <w:p>
      <w:pPr>
        <w:spacing w:line="500" w:lineRule="exact"/>
        <w:ind w:firstLine="560"/>
      </w:pPr>
      <w:r>
        <w:rPr>
          <w:rFonts w:eastAsia="方正仿宋_GBK"/>
          <w:color w:val="000000"/>
          <w:sz w:val="28"/>
        </w:rPr>
        <w:t>（二）分项绩效目标</w:t>
      </w:r>
    </w:p>
    <w:p>
      <w:pPr>
        <w:pStyle w:val="27"/>
      </w:pPr>
      <w:r>
        <w:t>1、认真落实按时按标准发放工资福利等，进一步增强干部职工得归属感，保持干部队伍相对稳定，保障办公正常运转，及时缴纳社会保险，确保人员稳定。</w:t>
      </w:r>
    </w:p>
    <w:p>
      <w:pPr>
        <w:pStyle w:val="27"/>
      </w:pPr>
      <w:r>
        <w:t>绩效目标：社区工作顺利开展，加强和完善社区治理，事关基层和谐稳定，进一步健全城乡社区治理体系，推进治理能力现代化。</w:t>
      </w:r>
    </w:p>
    <w:p>
      <w:pPr>
        <w:pStyle w:val="27"/>
      </w:pPr>
      <w:r>
        <w:t>绩效指标：保障107人工作准时发放，保险准时上交；保障工作发放率和发放金额，提升员工满意程度。</w:t>
      </w:r>
    </w:p>
    <w:p>
      <w:pPr>
        <w:pStyle w:val="27"/>
      </w:pPr>
      <w:r>
        <w:t>2、维持社区组织正常运转</w:t>
      </w:r>
      <w:r>
        <w:tab/>
      </w:r>
      <w:r>
        <w:tab/>
      </w:r>
    </w:p>
    <w:p>
      <w:pPr>
        <w:pStyle w:val="27"/>
      </w:pPr>
      <w:r>
        <w:t>绩效目标：提升社区组织服务群众能力，提高社区组织办事效率。</w:t>
      </w:r>
    </w:p>
    <w:p>
      <w:pPr>
        <w:pStyle w:val="27"/>
      </w:pPr>
      <w:r>
        <w:t>绩效指标：保障16个社区运转保障率100%；维持社区办公正常运转；使经费保障及时率超过95%。</w:t>
      </w:r>
      <w:r>
        <w:tab/>
      </w:r>
    </w:p>
    <w:p>
      <w:pPr>
        <w:pStyle w:val="27"/>
      </w:pPr>
      <w:r>
        <w:t>3、提社区级组织服务群众能力</w:t>
      </w:r>
      <w:r>
        <w:tab/>
      </w:r>
      <w:r>
        <w:tab/>
      </w:r>
      <w:r>
        <w:tab/>
      </w:r>
    </w:p>
    <w:p>
      <w:pPr>
        <w:pStyle w:val="27"/>
      </w:pPr>
      <w:r>
        <w:t>绩效目标：加强社区综合服务站日常运转，加强公共设施维护。</w:t>
      </w:r>
    </w:p>
    <w:p>
      <w:pPr>
        <w:pStyle w:val="27"/>
      </w:pPr>
      <w:r>
        <w:t>绩效指标 ：社区居民满意度大于90%；提高居民防范意识；使经费保障及时率超过95%。</w:t>
      </w:r>
    </w:p>
    <w:p>
      <w:pPr>
        <w:spacing w:line="500" w:lineRule="exact"/>
        <w:ind w:firstLine="560"/>
      </w:pPr>
      <w:r>
        <w:rPr>
          <w:rFonts w:eastAsia="方正仿宋_GBK"/>
          <w:color w:val="000000"/>
          <w:sz w:val="28"/>
        </w:rPr>
        <w:t>（三）工作保障措施</w:t>
      </w:r>
    </w:p>
    <w:p>
      <w:pPr>
        <w:pStyle w:val="28"/>
      </w:pPr>
      <w:r>
        <w:t>1、精准招商，推进五保一促见成效</w:t>
      </w:r>
    </w:p>
    <w:p>
      <w:pPr>
        <w:pStyle w:val="28"/>
      </w:pPr>
      <w:r>
        <w:t>一是积极推进两个重点项目落地。爆燃公社项目占地100亩，建筑面积3.25万平方米。华度智通（廊坊)工程咨询有限公司项目是高端电子设计技术领域国家重点扶持高精尖项目，主要服务于信息产业园和电子行业及配套条件保障建设。可吸纳就业120人，年营业收入预计5亿—20亿，年纳税额5000-8000（万元），争取明年3月份签订合作框架协议，6份动工。二是帮扶重点企业走出经营困境。我们将坚持问题导向，突出重点，抓好中石化、中石油管道、中铁物探、冠华电力、博科工程、河北瑞池工程项目管理等典型支柱企业，中轻联创、河北航天信息等科技型成长企业等帮扶工作，深入了解企业生产经营困难，在减轻企业负担，降低经营成本，支持企业稳岗就业，要素资源保障等方面，制定有针对性帮扶措施，在挑战面前，凸显政府服务，鼓励企业增强信心，共克时艰，促进辖区经济稳步回升。三是积极推进中医院拆改工作。争取1月底前完成征迁工作，为中医院改扩建打好基础。</w:t>
      </w:r>
    </w:p>
    <w:p>
      <w:pPr>
        <w:pStyle w:val="28"/>
      </w:pPr>
      <w:r>
        <w:t>2、转变作风，优化营商环境提效能</w:t>
      </w:r>
    </w:p>
    <w:p>
      <w:pPr>
        <w:pStyle w:val="28"/>
      </w:pPr>
      <w:r>
        <w:t>一是推进政务服务岛建设。以税务、行政审批、法律咨询为基础功能，以便民便企服务、政商洽谈、汇企政策点对点帮扶等为补充功能，在万向国际中心建立综合政务服务岛，辐射周边，服务企业发展。二是进一步优化政务服务平台。加强线上线下的深度融合，推进“互联网+政务服务”向移动端扩展向基层延伸、丰富电子证照应用、发挥效能监督作用、构建社会信用体系等重点工作有序进行，打造多位一体的政务服务体系，推动服务由“互联网+”向“智慧+”转变。三是规范和约束执法行为。对具体办事人员进行专题培训，树立尊重纳税人的意识，当好真正意义上的“服务员”。实现在执法过程“以教代罚树新风、以帮代罚助成长”。四是完善制度改善作风。完善修订《街道优化营商环境工作实施方案》《街道行政综合服务中心工作人员考核实施方案》等规章制度，进一步明确纪律作风建设的规定和要求，形成以制度管人和按制度办事处的工作管理机制。</w:t>
      </w:r>
    </w:p>
    <w:p>
      <w:pPr>
        <w:pStyle w:val="28"/>
      </w:pPr>
      <w:r>
        <w:t>3、勤查严管，确保安全生产稳发展</w:t>
      </w:r>
    </w:p>
    <w:p>
      <w:pPr>
        <w:pStyle w:val="28"/>
      </w:pPr>
      <w:r>
        <w:t>加强领导、健全组织，制定安全生产工作方案，明确重点领域，划定重点检查区域。强宣传、重培训，通过微博、微信等网络平台宣传安全知识，形成线上线下宣传合力。继续加强对辖区门店和居民液化石油气燃气安全监督管理。加强居民防火宣传和电动车安全使用宣传力度。继续做好汛期各项工作。加强企业安全生产日常巡查和监督管理。</w:t>
      </w:r>
    </w:p>
    <w:p>
      <w:pPr>
        <w:pStyle w:val="28"/>
      </w:pPr>
      <w:r>
        <w:t>4、突出品牌，提升双基服务暖民心。</w:t>
      </w:r>
    </w:p>
    <w:p>
      <w:pPr>
        <w:pStyle w:val="28"/>
      </w:pPr>
      <w:r>
        <w:t>为适应老龄化社会，提升居民生活品质，将养老服务和物业服务作为两项基础服务，在辖区大力普及和提升。一是养老服务扩点扩面。在满足送餐需求基础上，开拓家政、照料、陪诊等服务。同时以裕华路社区为试点，以点带面，形成整个街道无死角、全覆盖的居家养老服务基地。力争做到立项定位准确、社区宣传广泛、公益设施齐全、品牌运营规范、居民乐于使用的居家养老服务品牌。明年以3531社区为重点加强基础设施建设，争取建立新的养老服务基地。联合有资质的餐饮企业探索建立社区服务餐车模式，争取在小区实现就近为居民提供就餐服务。二是物业服务融合创新。以社区党支部为核心，通过发展红色物业和红色业委会凝聚党群共治合力。创新探索“有物业带动无物业”和“自治网格”两种管理方式。一方面，召开跨区域六位一体座谈会，让有服务能力的物业小区，为周边无物业小区定制服务套餐。提高物业企业效益，降低居民生活成本，提升小区服务水平。另一方面，对辖区自治管理小区探索网格化自治模式，丰富网络内涵，赋能网格创新。以新华小区为试点将调解工作和物业管理服务工作相结合，探索解决中等规模小区更换物业过渡期问题。三是推进老旧小区改造升级。争取完成裕华小区和德安里两个老旧小区的硬件改造升级，同步实现管理方式的改造升级。</w:t>
      </w:r>
    </w:p>
    <w:p>
      <w:pPr>
        <w:pStyle w:val="28"/>
      </w:pPr>
      <w:r>
        <w:t>5、守卫蓝天，多措并举防治大气污染</w:t>
      </w:r>
    </w:p>
    <w:p>
      <w:pPr>
        <w:pStyle w:val="28"/>
      </w:pPr>
      <w:r>
        <w:t>通过悬挂条幅、张贴明白纸、微信群等方法开展大气污染防治宣传，避免居民购买散煤，发现散煤及燃煤炉立即收缴。对涉气企业、施工工地、餐饮企业加大巡查力度，确保各企业严格按照要求规范生产、各工地按照六个百分百进行施工，餐饮企业按照规范油烟排放，杜绝偷排、漏排等无组织排放情况发生。同时，做好禁燃禁放工作，定点位置专人看守，外围网格员流动巡查，加大巡查力度发现燃放烟花爆竹情况立即制止。加大宣传力度，提高居民环保意识，倡导绿色出行。</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（四）单位整体支出绩效指标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29"/>
        <w:gridCol w:w="529"/>
        <w:gridCol w:w="1959"/>
        <w:gridCol w:w="3754"/>
        <w:gridCol w:w="5309"/>
        <w:gridCol w:w="529"/>
        <w:gridCol w:w="418"/>
        <w:gridCol w:w="1087"/>
        <w:gridCol w:w="7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单位产出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项目保障社区数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完成任务得权重分的100%，未完成一次扣减权重分的50%，扣完为止</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实现社区党组织的主导作用</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16</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个</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预算绩效目标管理覆盖率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达到目标值得权重分的100%，每降低1%扣10%权重分，扣完为止</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纳入绩效目标管理的单位和项目占所有单位和项目的比例</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106</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日常公用支出</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公用经费控制率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日常公用经费决算数≤日常公用经费调整预算数，得权重分的50%，否则不得分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单位本年度实际支出的公用经费总额与预算安排的公用经费总额的比率，反映和考核单位对机构运转成本的实际可控制程度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单位效果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社会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社会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日常办公保障满意度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达到目标得权重分的100%，每降低5%扣减权重分的10%，低于60%不得分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调查问卷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社会群众满意度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达到目标得权重分的100%，每降低5%扣减权重分的10%，低于60%不得分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调查问卷</w:t>
            </w:r>
          </w:p>
        </w:tc>
      </w:tr>
    </w:tbl>
    <w:p>
      <w:pPr>
        <w:ind w:firstLine="640"/>
        <w:rPr>
          <w:rFonts w:ascii="方正楷体_GBK" w:hAnsi="方正楷体_GBK" w:eastAsia="方正楷体_GBK" w:cs="方正楷体_GBK"/>
          <w:b/>
          <w:color w:val="000000"/>
          <w:sz w:val="32"/>
        </w:rPr>
      </w:pPr>
    </w:p>
    <w:p>
      <w:pPr>
        <w:ind w:firstLine="640"/>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1、社区工作经费[区级]绩效目标表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1.维持社区组织正常运转，提升社区组织服务群众能力，提高社区组织办事效率。</w:t>
            </w:r>
            <w:r>
              <w:tab/>
            </w:r>
            <w:r>
              <w:tab/>
            </w:r>
            <w:r>
              <w:tab/>
            </w:r>
            <w:r>
              <w:tab/>
            </w:r>
            <w:r>
              <w:tab/>
            </w:r>
            <w:r>
              <w:tab/>
            </w:r>
            <w:r>
              <w:tab/>
            </w:r>
            <w:r>
              <w:tab/>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社区数量</w:t>
            </w:r>
          </w:p>
        </w:tc>
        <w:tc>
          <w:tcPr>
            <w:tcW w:w="2835" w:type="dxa"/>
            <w:vAlign w:val="center"/>
          </w:tcPr>
          <w:p>
            <w:pPr>
              <w:pStyle w:val="17"/>
            </w:pPr>
            <w:r>
              <w:t>需要经费予以保障的社区数</w:t>
            </w:r>
          </w:p>
        </w:tc>
        <w:tc>
          <w:tcPr>
            <w:tcW w:w="2551" w:type="dxa"/>
            <w:vAlign w:val="center"/>
          </w:tcPr>
          <w:p>
            <w:pPr>
              <w:pStyle w:val="17"/>
            </w:pPr>
            <w:r>
              <w:t>16个</w:t>
            </w:r>
          </w:p>
        </w:tc>
        <w:tc>
          <w:tcPr>
            <w:tcW w:w="2268" w:type="dxa"/>
            <w:vAlign w:val="center"/>
          </w:tcPr>
          <w:p>
            <w:pPr>
              <w:pStyle w:val="17"/>
            </w:pPr>
            <w:r>
              <w:t>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反映各项日常工作保障情况</w:t>
            </w:r>
          </w:p>
        </w:tc>
        <w:tc>
          <w:tcPr>
            <w:tcW w:w="2551" w:type="dxa"/>
            <w:vAlign w:val="center"/>
          </w:tcPr>
          <w:p>
            <w:pPr>
              <w:pStyle w:val="17"/>
            </w:pPr>
            <w:r>
              <w:t>100%</w:t>
            </w:r>
          </w:p>
        </w:tc>
        <w:tc>
          <w:tcPr>
            <w:tcW w:w="2268" w:type="dxa"/>
            <w:vAlign w:val="center"/>
          </w:tcPr>
          <w:p>
            <w:pPr>
              <w:pStyle w:val="17"/>
            </w:pPr>
            <w:r>
              <w:t>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反映及时保障各项日常办公需要情况</w:t>
            </w:r>
          </w:p>
        </w:tc>
        <w:tc>
          <w:tcPr>
            <w:tcW w:w="2551" w:type="dxa"/>
            <w:vAlign w:val="center"/>
          </w:tcPr>
          <w:p>
            <w:pPr>
              <w:pStyle w:val="17"/>
            </w:pPr>
            <w:r>
              <w:t>≥95%</w:t>
            </w:r>
          </w:p>
        </w:tc>
        <w:tc>
          <w:tcPr>
            <w:tcW w:w="2268" w:type="dxa"/>
            <w:vAlign w:val="center"/>
          </w:tcPr>
          <w:p>
            <w:pPr>
              <w:pStyle w:val="17"/>
            </w:pPr>
            <w:r>
              <w:t>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单位成本</w:t>
            </w:r>
          </w:p>
        </w:tc>
        <w:tc>
          <w:tcPr>
            <w:tcW w:w="2835" w:type="dxa"/>
            <w:vAlign w:val="center"/>
          </w:tcPr>
          <w:p>
            <w:pPr>
              <w:pStyle w:val="17"/>
            </w:pPr>
            <w:r>
              <w:t>反映村级组织办公经费单位成本</w:t>
            </w:r>
          </w:p>
        </w:tc>
        <w:tc>
          <w:tcPr>
            <w:tcW w:w="2551" w:type="dxa"/>
            <w:vAlign w:val="center"/>
          </w:tcPr>
          <w:p>
            <w:pPr>
              <w:pStyle w:val="17"/>
            </w:pPr>
            <w:r>
              <w:t>≤80万元</w:t>
            </w:r>
          </w:p>
        </w:tc>
        <w:tc>
          <w:tcPr>
            <w:tcW w:w="2268" w:type="dxa"/>
            <w:vAlign w:val="center"/>
          </w:tcPr>
          <w:p>
            <w:pPr>
              <w:pStyle w:val="17"/>
            </w:pPr>
            <w:r>
              <w:t>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社区服务水平提高</w:t>
            </w:r>
          </w:p>
        </w:tc>
        <w:tc>
          <w:tcPr>
            <w:tcW w:w="2835" w:type="dxa"/>
            <w:vAlign w:val="center"/>
          </w:tcPr>
          <w:p>
            <w:pPr>
              <w:pStyle w:val="17"/>
            </w:pPr>
            <w:r>
              <w:t>反映社区正常运转情况</w:t>
            </w:r>
          </w:p>
        </w:tc>
        <w:tc>
          <w:tcPr>
            <w:tcW w:w="2551" w:type="dxa"/>
            <w:vAlign w:val="center"/>
          </w:tcPr>
          <w:p>
            <w:pPr>
              <w:pStyle w:val="17"/>
            </w:pPr>
            <w:r>
              <w:t>进一步提高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公共服务水平提升情况</w:t>
            </w:r>
          </w:p>
        </w:tc>
        <w:tc>
          <w:tcPr>
            <w:tcW w:w="2835" w:type="dxa"/>
            <w:vAlign w:val="center"/>
          </w:tcPr>
          <w:p>
            <w:pPr>
              <w:pStyle w:val="17"/>
            </w:pPr>
            <w:r>
              <w:t>公共服务水平提升情况</w:t>
            </w:r>
          </w:p>
        </w:tc>
        <w:tc>
          <w:tcPr>
            <w:tcW w:w="2551" w:type="dxa"/>
            <w:vAlign w:val="center"/>
          </w:tcPr>
          <w:p>
            <w:pPr>
              <w:pStyle w:val="17"/>
            </w:pPr>
            <w:r>
              <w:t>逐步提升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辖区社区居民满意度</w:t>
            </w:r>
          </w:p>
        </w:tc>
        <w:tc>
          <w:tcPr>
            <w:tcW w:w="2835" w:type="dxa"/>
            <w:vAlign w:val="center"/>
          </w:tcPr>
          <w:p>
            <w:pPr>
              <w:pStyle w:val="17"/>
            </w:pPr>
            <w:r>
              <w:t>调查中对社区办公活动满意和较满意社区数占调查总人数的比率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2、国有企业退休人员社会化管理补助资金[市级]绩效目标表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1.国有企业已退休人员管理服务工作与原企业分离</w:t>
            </w:r>
            <w:r>
              <w:tab/>
            </w:r>
            <w:r>
              <w:tab/>
            </w:r>
            <w:r>
              <w:tab/>
            </w:r>
            <w:r>
              <w:tab/>
            </w:r>
            <w:r>
              <w:tab/>
            </w:r>
            <w:r>
              <w:tab/>
            </w:r>
          </w:p>
          <w:p>
            <w:pPr>
              <w:pStyle w:val="17"/>
            </w:pP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已退休人员管理服务工作与原企业分离比例</w:t>
            </w:r>
          </w:p>
        </w:tc>
        <w:tc>
          <w:tcPr>
            <w:tcW w:w="2835" w:type="dxa"/>
            <w:vAlign w:val="center"/>
          </w:tcPr>
          <w:p>
            <w:pPr>
              <w:pStyle w:val="17"/>
            </w:pPr>
            <w:r>
              <w:t>已退休人员管理服务工作与原企业分离比例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≤194310元</w:t>
            </w:r>
          </w:p>
        </w:tc>
        <w:tc>
          <w:tcPr>
            <w:tcW w:w="2268" w:type="dxa"/>
            <w:vAlign w:val="center"/>
          </w:tcPr>
          <w:p>
            <w:pPr>
              <w:pStyle w:val="17"/>
            </w:pPr>
            <w:r>
              <w:t>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保障工作正常运转</w:t>
            </w:r>
          </w:p>
        </w:tc>
        <w:tc>
          <w:tcPr>
            <w:tcW w:w="2268" w:type="dxa"/>
            <w:vAlign w:val="center"/>
          </w:tcPr>
          <w:p>
            <w:pPr>
              <w:pStyle w:val="17"/>
            </w:pPr>
            <w:r>
              <w:t>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退休人员满意度</w:t>
            </w:r>
          </w:p>
        </w:tc>
        <w:tc>
          <w:tcPr>
            <w:tcW w:w="2835" w:type="dxa"/>
            <w:vAlign w:val="center"/>
          </w:tcPr>
          <w:p>
            <w:pPr>
              <w:pStyle w:val="17"/>
            </w:pPr>
            <w:r>
              <w:t>退休人员满意度</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3、国有企业退休人员社会化管理财政补助资金[中央]绩效目标表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1.国有企业已退休人员管理服务工作与原企业分离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已退休人员管理服务工作与原企业分离比例</w:t>
            </w:r>
          </w:p>
        </w:tc>
        <w:tc>
          <w:tcPr>
            <w:tcW w:w="2835" w:type="dxa"/>
            <w:vAlign w:val="center"/>
          </w:tcPr>
          <w:p>
            <w:pPr>
              <w:pStyle w:val="17"/>
            </w:pPr>
            <w:r>
              <w:t>已退休人员管理服务工作与原企业分离比例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≤336005元</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4、社区党组织服务群众专项经费[区级]绩效目标表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1.提社区级组织服务群众能力，加强社区综合服务站日常运转，加强公共设施维护。</w:t>
            </w:r>
            <w:r>
              <w:tab/>
            </w:r>
            <w:r>
              <w:tab/>
            </w:r>
            <w:r>
              <w:tab/>
            </w:r>
            <w:r>
              <w:tab/>
            </w:r>
            <w:r>
              <w:tab/>
            </w:r>
            <w:r>
              <w:tab/>
            </w:r>
            <w:r>
              <w:tab/>
            </w:r>
            <w:r>
              <w:tab/>
            </w:r>
          </w:p>
          <w:p>
            <w:pPr>
              <w:pStyle w:val="17"/>
            </w:pP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社区数量</w:t>
            </w:r>
          </w:p>
        </w:tc>
        <w:tc>
          <w:tcPr>
            <w:tcW w:w="2835" w:type="dxa"/>
            <w:vAlign w:val="center"/>
          </w:tcPr>
          <w:p>
            <w:pPr>
              <w:pStyle w:val="17"/>
            </w:pPr>
            <w:r>
              <w:t>需要经费予以保障的村街数</w:t>
            </w:r>
          </w:p>
        </w:tc>
        <w:tc>
          <w:tcPr>
            <w:tcW w:w="2551" w:type="dxa"/>
            <w:vAlign w:val="center"/>
          </w:tcPr>
          <w:p>
            <w:pPr>
              <w:pStyle w:val="17"/>
            </w:pPr>
            <w:r>
              <w:t>16个</w:t>
            </w:r>
          </w:p>
        </w:tc>
        <w:tc>
          <w:tcPr>
            <w:tcW w:w="2268" w:type="dxa"/>
            <w:vAlign w:val="center"/>
          </w:tcPr>
          <w:p>
            <w:pPr>
              <w:pStyle w:val="17"/>
            </w:pPr>
            <w: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反映各项服务群众工作保障情况</w:t>
            </w:r>
          </w:p>
        </w:tc>
        <w:tc>
          <w:tcPr>
            <w:tcW w:w="2551" w:type="dxa"/>
            <w:vAlign w:val="center"/>
          </w:tcPr>
          <w:p>
            <w:pPr>
              <w:pStyle w:val="17"/>
            </w:pPr>
            <w:r>
              <w:t>100%</w:t>
            </w:r>
          </w:p>
        </w:tc>
        <w:tc>
          <w:tcPr>
            <w:tcW w:w="2268" w:type="dxa"/>
            <w:vAlign w:val="center"/>
          </w:tcPr>
          <w:p>
            <w:pPr>
              <w:pStyle w:val="17"/>
            </w:pPr>
            <w: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反映及时保障各项服务群众办公需要情况</w:t>
            </w:r>
          </w:p>
        </w:tc>
        <w:tc>
          <w:tcPr>
            <w:tcW w:w="2551" w:type="dxa"/>
            <w:vAlign w:val="center"/>
          </w:tcPr>
          <w:p>
            <w:pPr>
              <w:pStyle w:val="17"/>
            </w:pPr>
            <w:r>
              <w:t>≥95%</w:t>
            </w:r>
          </w:p>
        </w:tc>
        <w:tc>
          <w:tcPr>
            <w:tcW w:w="2268" w:type="dxa"/>
            <w:vAlign w:val="center"/>
          </w:tcPr>
          <w:p>
            <w:pPr>
              <w:pStyle w:val="17"/>
            </w:pPr>
            <w: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反映社区组织服务群众经费单位成本</w:t>
            </w:r>
          </w:p>
        </w:tc>
        <w:tc>
          <w:tcPr>
            <w:tcW w:w="2551" w:type="dxa"/>
            <w:vAlign w:val="center"/>
          </w:tcPr>
          <w:p>
            <w:pPr>
              <w:pStyle w:val="17"/>
            </w:pPr>
            <w:r>
              <w:t>≤5万元/年/社区</w:t>
            </w:r>
          </w:p>
        </w:tc>
        <w:tc>
          <w:tcPr>
            <w:tcW w:w="2268" w:type="dxa"/>
            <w:vAlign w:val="center"/>
          </w:tcPr>
          <w:p>
            <w:pPr>
              <w:pStyle w:val="17"/>
            </w:pPr>
            <w: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社区正常运转</w:t>
            </w:r>
          </w:p>
        </w:tc>
        <w:tc>
          <w:tcPr>
            <w:tcW w:w="2835" w:type="dxa"/>
            <w:vAlign w:val="center"/>
          </w:tcPr>
          <w:p>
            <w:pPr>
              <w:pStyle w:val="17"/>
            </w:pPr>
            <w:r>
              <w:t>反映社区正常运转情况</w:t>
            </w:r>
          </w:p>
        </w:tc>
        <w:tc>
          <w:tcPr>
            <w:tcW w:w="2551" w:type="dxa"/>
            <w:vAlign w:val="center"/>
          </w:tcPr>
          <w:p>
            <w:pPr>
              <w:pStyle w:val="17"/>
            </w:pPr>
            <w:r>
              <w:t>进一步提高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公共服务水平提升情况</w:t>
            </w:r>
          </w:p>
        </w:tc>
        <w:tc>
          <w:tcPr>
            <w:tcW w:w="2835" w:type="dxa"/>
            <w:vAlign w:val="center"/>
          </w:tcPr>
          <w:p>
            <w:pPr>
              <w:pStyle w:val="17"/>
            </w:pPr>
            <w:r>
              <w:t>公共服务水平提升情况</w:t>
            </w:r>
          </w:p>
        </w:tc>
        <w:tc>
          <w:tcPr>
            <w:tcW w:w="2551" w:type="dxa"/>
            <w:vAlign w:val="center"/>
          </w:tcPr>
          <w:p>
            <w:pPr>
              <w:pStyle w:val="17"/>
            </w:pPr>
            <w:r>
              <w:t>逐步提升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辖区社区居民满意度</w:t>
            </w:r>
          </w:p>
        </w:tc>
        <w:tc>
          <w:tcPr>
            <w:tcW w:w="2835" w:type="dxa"/>
            <w:vAlign w:val="center"/>
          </w:tcPr>
          <w:p>
            <w:pPr>
              <w:pStyle w:val="17"/>
            </w:pPr>
            <w:r>
              <w:t>调查中对社区服务群众活动满意和较满意社区数占调查总人数的比率</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5、社区招聘人员补助资金[市级]绩效目标表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基本形成社区党组织领导、基层政府主导的多方参与、共同治理的城乡社区治理体系，形成以社区自治组织为骨干、社区居民为主体、社区社会组织和驻区单位为补充的现代治理格局，城乡社区体制更加完善，城乡社区治理功能显著提高。</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社区工作人员数量</w:t>
            </w:r>
          </w:p>
        </w:tc>
        <w:tc>
          <w:tcPr>
            <w:tcW w:w="2835" w:type="dxa"/>
            <w:vAlign w:val="center"/>
          </w:tcPr>
          <w:p>
            <w:pPr>
              <w:pStyle w:val="17"/>
            </w:pPr>
            <w:r>
              <w:t>保障人数</w:t>
            </w:r>
          </w:p>
        </w:tc>
        <w:tc>
          <w:tcPr>
            <w:tcW w:w="2551" w:type="dxa"/>
            <w:vAlign w:val="center"/>
          </w:tcPr>
          <w:p>
            <w:pPr>
              <w:pStyle w:val="17"/>
            </w:pPr>
            <w:r>
              <w:t>107人</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足额发放率</w:t>
            </w:r>
          </w:p>
        </w:tc>
        <w:tc>
          <w:tcPr>
            <w:tcW w:w="2835" w:type="dxa"/>
            <w:vAlign w:val="center"/>
          </w:tcPr>
          <w:p>
            <w:pPr>
              <w:pStyle w:val="17"/>
            </w:pPr>
            <w:r>
              <w:t>发放人数与总人数的比率</w:t>
            </w:r>
          </w:p>
        </w:tc>
        <w:tc>
          <w:tcPr>
            <w:tcW w:w="2551" w:type="dxa"/>
            <w:vAlign w:val="center"/>
          </w:tcPr>
          <w:p>
            <w:pPr>
              <w:pStyle w:val="17"/>
            </w:pPr>
            <w:r>
              <w:t>100%</w:t>
            </w:r>
          </w:p>
        </w:tc>
        <w:tc>
          <w:tcPr>
            <w:tcW w:w="2268" w:type="dxa"/>
            <w:vAlign w:val="center"/>
          </w:tcPr>
          <w:p>
            <w:pPr>
              <w:pStyle w:val="17"/>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补助资金发放及时性</w:t>
            </w:r>
          </w:p>
        </w:tc>
        <w:tc>
          <w:tcPr>
            <w:tcW w:w="2835" w:type="dxa"/>
            <w:vAlign w:val="center"/>
          </w:tcPr>
          <w:p>
            <w:pPr>
              <w:pStyle w:val="17"/>
            </w:pPr>
            <w:r>
              <w:t>资金发放的时效情况</w:t>
            </w:r>
          </w:p>
        </w:tc>
        <w:tc>
          <w:tcPr>
            <w:tcW w:w="2551" w:type="dxa"/>
            <w:vAlign w:val="center"/>
          </w:tcPr>
          <w:p>
            <w:pPr>
              <w:pStyle w:val="17"/>
            </w:pPr>
            <w:r>
              <w:t>100%</w:t>
            </w:r>
          </w:p>
        </w:tc>
        <w:tc>
          <w:tcPr>
            <w:tcW w:w="2268" w:type="dxa"/>
            <w:vAlign w:val="center"/>
          </w:tcPr>
          <w:p>
            <w:pPr>
              <w:pStyle w:val="17"/>
            </w:pPr>
            <w:r>
              <w:t>工资发放回单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人均工资及保险成本</w:t>
            </w:r>
          </w:p>
        </w:tc>
        <w:tc>
          <w:tcPr>
            <w:tcW w:w="2835" w:type="dxa"/>
            <w:vAlign w:val="center"/>
          </w:tcPr>
          <w:p>
            <w:pPr>
              <w:pStyle w:val="17"/>
            </w:pPr>
            <w:r>
              <w:t>每人每年工资及保险平均数</w:t>
            </w:r>
          </w:p>
        </w:tc>
        <w:tc>
          <w:tcPr>
            <w:tcW w:w="2551" w:type="dxa"/>
            <w:vAlign w:val="center"/>
          </w:tcPr>
          <w:p>
            <w:pPr>
              <w:pStyle w:val="17"/>
            </w:pPr>
            <w:r>
              <w:t>≤6900元/月/人</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招聘社区专干人员稳定性</w:t>
            </w:r>
          </w:p>
        </w:tc>
        <w:tc>
          <w:tcPr>
            <w:tcW w:w="2835" w:type="dxa"/>
            <w:vAlign w:val="center"/>
          </w:tcPr>
          <w:p>
            <w:pPr>
              <w:pStyle w:val="17"/>
            </w:pPr>
            <w:r>
              <w:t>人员稳定性</w:t>
            </w:r>
          </w:p>
        </w:tc>
        <w:tc>
          <w:tcPr>
            <w:tcW w:w="2551" w:type="dxa"/>
            <w:vAlign w:val="center"/>
          </w:tcPr>
          <w:p>
            <w:pPr>
              <w:pStyle w:val="17"/>
            </w:pPr>
            <w:r>
              <w:t>稳定</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保障社区工作有序开展</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社区聘用人员满意度</w:t>
            </w:r>
          </w:p>
        </w:tc>
        <w:tc>
          <w:tcPr>
            <w:tcW w:w="2835" w:type="dxa"/>
            <w:vAlign w:val="center"/>
          </w:tcPr>
          <w:p>
            <w:pPr>
              <w:pStyle w:val="17"/>
            </w:pPr>
            <w:r>
              <w:t>满意人员与总人数的比率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6、社区招聘人员经费[区级]绩效目标表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按标准发放工资福利等，进一步增强干部职工得归属感，保持干部队伍相对稳定，保障办公正常运转，及时缴纳社会保险，确保人员稳定。社区工作顺利开展，加强和完善社区治理，事关基层和谐稳定，进一步健全城乡社区治理体系，推进治理能力现代化。</w:t>
            </w:r>
            <w:r>
              <w:tab/>
            </w:r>
            <w:r>
              <w:tab/>
            </w:r>
            <w:r>
              <w:tab/>
            </w:r>
            <w:r>
              <w:tab/>
            </w:r>
            <w:r>
              <w:tab/>
            </w:r>
            <w:r>
              <w:tab/>
            </w:r>
            <w:r>
              <w:tab/>
            </w:r>
            <w:r>
              <w:tab/>
            </w:r>
          </w:p>
          <w:p>
            <w:pPr>
              <w:pStyle w:val="17"/>
            </w:pP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保障人数</w:t>
            </w:r>
          </w:p>
        </w:tc>
        <w:tc>
          <w:tcPr>
            <w:tcW w:w="2551" w:type="dxa"/>
            <w:vAlign w:val="center"/>
          </w:tcPr>
          <w:p>
            <w:pPr>
              <w:pStyle w:val="17"/>
            </w:pPr>
            <w:r>
              <w:t>107人</w:t>
            </w:r>
          </w:p>
        </w:tc>
        <w:tc>
          <w:tcPr>
            <w:tcW w:w="2268" w:type="dxa"/>
            <w:vAlign w:val="center"/>
          </w:tcPr>
          <w:p>
            <w:pPr>
              <w:pStyle w:val="17"/>
            </w:pPr>
            <w:r>
              <w:t>冀组字【2021】17号                  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工资的足额发放率</w:t>
            </w:r>
          </w:p>
        </w:tc>
        <w:tc>
          <w:tcPr>
            <w:tcW w:w="2835" w:type="dxa"/>
            <w:vAlign w:val="center"/>
          </w:tcPr>
          <w:p>
            <w:pPr>
              <w:pStyle w:val="17"/>
            </w:pPr>
            <w:r>
              <w:t>足额发放人数与总人数比率</w:t>
            </w:r>
          </w:p>
        </w:tc>
        <w:tc>
          <w:tcPr>
            <w:tcW w:w="2551" w:type="dxa"/>
            <w:vAlign w:val="center"/>
          </w:tcPr>
          <w:p>
            <w:pPr>
              <w:pStyle w:val="17"/>
            </w:pPr>
            <w:r>
              <w:t>100%</w:t>
            </w:r>
          </w:p>
        </w:tc>
        <w:tc>
          <w:tcPr>
            <w:tcW w:w="2268" w:type="dxa"/>
            <w:vAlign w:val="center"/>
          </w:tcPr>
          <w:p>
            <w:pPr>
              <w:pStyle w:val="17"/>
            </w:pPr>
            <w:r>
              <w:t>冀组字【2021】17号                  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社会保险的申报率</w:t>
            </w:r>
          </w:p>
        </w:tc>
        <w:tc>
          <w:tcPr>
            <w:tcW w:w="2835" w:type="dxa"/>
            <w:vAlign w:val="center"/>
          </w:tcPr>
          <w:p>
            <w:pPr>
              <w:pStyle w:val="17"/>
            </w:pPr>
            <w:r>
              <w:t>保险申报人数与总人数比率</w:t>
            </w:r>
          </w:p>
        </w:tc>
        <w:tc>
          <w:tcPr>
            <w:tcW w:w="2551" w:type="dxa"/>
            <w:vAlign w:val="center"/>
          </w:tcPr>
          <w:p>
            <w:pPr>
              <w:pStyle w:val="17"/>
            </w:pPr>
            <w:r>
              <w:t>100%</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工资及时发放率</w:t>
            </w:r>
          </w:p>
        </w:tc>
        <w:tc>
          <w:tcPr>
            <w:tcW w:w="2835" w:type="dxa"/>
            <w:vAlign w:val="center"/>
          </w:tcPr>
          <w:p>
            <w:pPr>
              <w:pStyle w:val="17"/>
            </w:pPr>
            <w:r>
              <w:t>工资发放的时效情况</w:t>
            </w:r>
          </w:p>
        </w:tc>
        <w:tc>
          <w:tcPr>
            <w:tcW w:w="2551" w:type="dxa"/>
            <w:vAlign w:val="center"/>
          </w:tcPr>
          <w:p>
            <w:pPr>
              <w:pStyle w:val="17"/>
            </w:pPr>
            <w:r>
              <w:t>100%</w:t>
            </w:r>
          </w:p>
        </w:tc>
        <w:tc>
          <w:tcPr>
            <w:tcW w:w="2268" w:type="dxa"/>
            <w:vAlign w:val="center"/>
          </w:tcPr>
          <w:p>
            <w:pPr>
              <w:pStyle w:val="17"/>
            </w:pPr>
            <w:r>
              <w:t>冀组字【2021】17号                  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社会保险及时缴纳率</w:t>
            </w:r>
          </w:p>
        </w:tc>
        <w:tc>
          <w:tcPr>
            <w:tcW w:w="2835" w:type="dxa"/>
            <w:vAlign w:val="center"/>
          </w:tcPr>
          <w:p>
            <w:pPr>
              <w:pStyle w:val="17"/>
            </w:pPr>
            <w:r>
              <w:t>社会保险缴纳的时效情况</w:t>
            </w:r>
          </w:p>
        </w:tc>
        <w:tc>
          <w:tcPr>
            <w:tcW w:w="2551" w:type="dxa"/>
            <w:vAlign w:val="center"/>
          </w:tcPr>
          <w:p>
            <w:pPr>
              <w:pStyle w:val="17"/>
            </w:pPr>
            <w:r>
              <w:t>100%</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人均工资及保险成本</w:t>
            </w:r>
          </w:p>
        </w:tc>
        <w:tc>
          <w:tcPr>
            <w:tcW w:w="2835" w:type="dxa"/>
            <w:vAlign w:val="center"/>
          </w:tcPr>
          <w:p>
            <w:pPr>
              <w:pStyle w:val="17"/>
            </w:pPr>
            <w:r>
              <w:t>每人每年工资及保险平均数</w:t>
            </w:r>
          </w:p>
        </w:tc>
        <w:tc>
          <w:tcPr>
            <w:tcW w:w="2551" w:type="dxa"/>
            <w:vAlign w:val="center"/>
          </w:tcPr>
          <w:p>
            <w:pPr>
              <w:pStyle w:val="17"/>
            </w:pPr>
            <w:r>
              <w:t>≤6900元/月/人</w:t>
            </w:r>
          </w:p>
        </w:tc>
        <w:tc>
          <w:tcPr>
            <w:tcW w:w="2268" w:type="dxa"/>
            <w:vAlign w:val="center"/>
          </w:tcPr>
          <w:p>
            <w:pPr>
              <w:pStyle w:val="17"/>
            </w:pPr>
            <w:r>
              <w:t>冀组字【2021】17号                  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社区工作水平有所提高</w:t>
            </w:r>
          </w:p>
        </w:tc>
        <w:tc>
          <w:tcPr>
            <w:tcW w:w="2835" w:type="dxa"/>
            <w:vAlign w:val="center"/>
          </w:tcPr>
          <w:p>
            <w:pPr>
              <w:pStyle w:val="17"/>
            </w:pPr>
            <w:r>
              <w:t>通过按时按标准发放工资福利等，进一步增强干部职工得归属感，保持干部队伍相对稳定，保障办公正常运转，社区工作水平有所提高</w:t>
            </w:r>
          </w:p>
        </w:tc>
        <w:tc>
          <w:tcPr>
            <w:tcW w:w="2551" w:type="dxa"/>
            <w:vAlign w:val="center"/>
          </w:tcPr>
          <w:p>
            <w:pPr>
              <w:pStyle w:val="17"/>
            </w:pPr>
            <w:r>
              <w:t>进一步提高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保障社区工作有序开展</w:t>
            </w:r>
          </w:p>
        </w:tc>
        <w:tc>
          <w:tcPr>
            <w:tcW w:w="2268" w:type="dxa"/>
            <w:vAlign w:val="center"/>
          </w:tcPr>
          <w:p>
            <w:pPr>
              <w:pStyle w:val="17"/>
            </w:pPr>
            <w:r>
              <w:t>冀组字【2021】17号                  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社区聘用人员满意度</w:t>
            </w:r>
          </w:p>
        </w:tc>
        <w:tc>
          <w:tcPr>
            <w:tcW w:w="2835" w:type="dxa"/>
            <w:vAlign w:val="center"/>
          </w:tcPr>
          <w:p>
            <w:pPr>
              <w:pStyle w:val="17"/>
            </w:pPr>
            <w:r>
              <w:t>满意人员与总人数的比率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2023年，廊坊市广阳区爱民东道街道办事处本级安排政府采购预算0.00万元。具体内容见下表。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916001廊坊市广阳区爱民东道街道办事处本级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廊坊市广阳区爱民东道街道办事处本级上年末固定资产金额为1540.58万元（详见下表）。本年度拟购置固定资产总额为0.00万元，已按要求列入政府采购预算，详见政府采购预算表。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916001廊坊市广阳区爱民东道街道办事处本级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1540.58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3868.33</w:t>
            </w:r>
          </w:p>
        </w:tc>
        <w:tc>
          <w:tcPr>
            <w:tcW w:w="2835" w:type="dxa"/>
            <w:vAlign w:val="center"/>
          </w:tcPr>
          <w:p>
            <w:pPr>
              <w:pStyle w:val="16"/>
            </w:pPr>
            <w:r>
              <w:t>1101.33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3868.33</w:t>
            </w:r>
          </w:p>
        </w:tc>
        <w:tc>
          <w:tcPr>
            <w:tcW w:w="2835" w:type="dxa"/>
            <w:vAlign w:val="center"/>
          </w:tcPr>
          <w:p>
            <w:pPr>
              <w:pStyle w:val="16"/>
            </w:pPr>
            <w:r>
              <w:t>1101.33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39.78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448</w:t>
            </w:r>
          </w:p>
        </w:tc>
        <w:tc>
          <w:tcPr>
            <w:tcW w:w="2835" w:type="dxa"/>
            <w:vAlign w:val="center"/>
          </w:tcPr>
          <w:p>
            <w:pPr>
              <w:pStyle w:val="16"/>
            </w:pPr>
            <w:r>
              <w:t>399.47</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08"/>
    <w:rsid w:val="00202954"/>
    <w:rsid w:val="004F36BA"/>
    <w:rsid w:val="00A22B08"/>
    <w:rsid w:val="00A842E5"/>
    <w:rsid w:val="0FF90021"/>
    <w:rsid w:val="157D3DC3"/>
    <w:rsid w:val="24E07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uiPriority w:val="99"/>
    <w:rPr>
      <w:rFonts w:ascii="Times New Roman" w:hAnsi="Times New Roman" w:eastAsia="Times New Roman"/>
      <w:sz w:val="18"/>
      <w:szCs w:val="18"/>
      <w:lang w:eastAsia="uk-UA"/>
    </w:rPr>
  </w:style>
  <w:style w:type="character" w:customStyle="1" w:styleId="35">
    <w:name w:val="页脚 Char"/>
    <w:basedOn w:val="10"/>
    <w:link w:val="3"/>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2023-03-13T11:13:41Z</dcterms:created>
  <dcterms:modified xsi:type="dcterms:W3CDTF">2023-03-13T03:13:41Z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2023-03-13T11:13:41Z</dcterms:created>
  <dcterms:modified xsi:type="dcterms:W3CDTF">2023-03-13T03:13:41Z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2023-03-13T11:13:38Z</dcterms:created>
  <dcterms:modified xsi:type="dcterms:W3CDTF">2023-03-13T03:13:38Z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2023-03-13T11:13:40Z</dcterms:created>
  <dcterms:modified xsi:type="dcterms:W3CDTF">2023-03-13T03:13:40Z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2023-03-13T11:13:41Z</dcterms:created>
  <dcterms:modified xsi:type="dcterms:W3CDTF">2023-03-13T03:13:41Z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2023-03-13T11:13:42Z</dcterms:created>
  <dcterms:modified xsi:type="dcterms:W3CDTF">2023-03-13T03:13:42Z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2023-03-13T11:13:41Z</dcterms:created>
  <dcterms:modified xsi:type="dcterms:W3CDTF">2023-03-13T03:13:41Z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2023-03-13T11:13:42Z</dcterms:created>
  <dcterms:modified xsi:type="dcterms:W3CDTF">2023-03-13T03:13:42Z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2023-03-13T11:13:41Z</dcterms:created>
  <dcterms:modified xsi:type="dcterms:W3CDTF">2023-03-13T03:13:41Z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2023-03-13T11:13:36Z</dcterms:created>
  <dcterms:modified xsi:type="dcterms:W3CDTF">2023-03-13T03:13:36Z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08CA292-E88F-4A1B-929D-B1CAC1D2C719}">
  <ds:schemaRefs/>
</ds:datastoreItem>
</file>

<file path=customXml/itemProps10.xml><?xml version="1.0" encoding="utf-8"?>
<ds:datastoreItem xmlns:ds="http://schemas.openxmlformats.org/officeDocument/2006/customXml" ds:itemID="{A41ECE90-2E53-4426-8867-9BAD6546CE34}">
  <ds:schemaRefs/>
</ds:datastoreItem>
</file>

<file path=customXml/itemProps11.xml><?xml version="1.0" encoding="utf-8"?>
<ds:datastoreItem xmlns:ds="http://schemas.openxmlformats.org/officeDocument/2006/customXml" ds:itemID="{78CDEF2A-0E44-4424-A725-92AABC1BCB05}">
  <ds:schemaRefs/>
</ds:datastoreItem>
</file>

<file path=customXml/itemProps12.xml><?xml version="1.0" encoding="utf-8"?>
<ds:datastoreItem xmlns:ds="http://schemas.openxmlformats.org/officeDocument/2006/customXml" ds:itemID="{A5F8CA9B-0171-41EF-96D5-B4302412C6F5}">
  <ds:schemaRefs/>
</ds:datastoreItem>
</file>

<file path=customXml/itemProps13.xml><?xml version="1.0" encoding="utf-8"?>
<ds:datastoreItem xmlns:ds="http://schemas.openxmlformats.org/officeDocument/2006/customXml" ds:itemID="{E6DA89F5-D1E1-424D-8F8E-48DF69D3B191}">
  <ds:schemaRefs/>
</ds:datastoreItem>
</file>

<file path=customXml/itemProps14.xml><?xml version="1.0" encoding="utf-8"?>
<ds:datastoreItem xmlns:ds="http://schemas.openxmlformats.org/officeDocument/2006/customXml" ds:itemID="{2FC74654-4637-4CCF-870C-3F2598893E52}">
  <ds:schemaRefs/>
</ds:datastoreItem>
</file>

<file path=customXml/itemProps15.xml><?xml version="1.0" encoding="utf-8"?>
<ds:datastoreItem xmlns:ds="http://schemas.openxmlformats.org/officeDocument/2006/customXml" ds:itemID="{14B0FB3E-FB3A-4BE0-B5E0-9B66EBFC4747}">
  <ds:schemaRefs/>
</ds:datastoreItem>
</file>

<file path=customXml/itemProps16.xml><?xml version="1.0" encoding="utf-8"?>
<ds:datastoreItem xmlns:ds="http://schemas.openxmlformats.org/officeDocument/2006/customXml" ds:itemID="{A4862495-90CA-4A94-87A6-6C8922AA2EC5}">
  <ds:schemaRefs/>
</ds:datastoreItem>
</file>

<file path=customXml/itemProps17.xml><?xml version="1.0" encoding="utf-8"?>
<ds:datastoreItem xmlns:ds="http://schemas.openxmlformats.org/officeDocument/2006/customXml" ds:itemID="{77E50EAE-84B0-43CA-BB98-1450E5664660}">
  <ds:schemaRefs/>
</ds:datastoreItem>
</file>

<file path=customXml/itemProps18.xml><?xml version="1.0" encoding="utf-8"?>
<ds:datastoreItem xmlns:ds="http://schemas.openxmlformats.org/officeDocument/2006/customXml" ds:itemID="{5E790E0B-7AE5-48F6-8554-C3A470325E71}">
  <ds:schemaRefs/>
</ds:datastoreItem>
</file>

<file path=customXml/itemProps19.xml><?xml version="1.0" encoding="utf-8"?>
<ds:datastoreItem xmlns:ds="http://schemas.openxmlformats.org/officeDocument/2006/customXml" ds:itemID="{307B44D5-F0B5-420B-B4FC-72F5B123DEC0}">
  <ds:schemaRefs/>
</ds:datastoreItem>
</file>

<file path=customXml/itemProps2.xml><?xml version="1.0" encoding="utf-8"?>
<ds:datastoreItem xmlns:ds="http://schemas.openxmlformats.org/officeDocument/2006/customXml" ds:itemID="{5FF667D7-75D1-4157-8960-CAE2362E6211}">
  <ds:schemaRefs/>
</ds:datastoreItem>
</file>

<file path=customXml/itemProps20.xml><?xml version="1.0" encoding="utf-8"?>
<ds:datastoreItem xmlns:ds="http://schemas.openxmlformats.org/officeDocument/2006/customXml" ds:itemID="{73D36C9E-45B2-49A1-9736-A9304A358778}">
  <ds:schemaRefs/>
</ds:datastoreItem>
</file>

<file path=customXml/itemProps21.xml><?xml version="1.0" encoding="utf-8"?>
<ds:datastoreItem xmlns:ds="http://schemas.openxmlformats.org/officeDocument/2006/customXml" ds:itemID="{757D2590-25CC-4794-A41C-E22F94097C87}">
  <ds:schemaRefs/>
</ds:datastoreItem>
</file>

<file path=customXml/itemProps22.xml><?xml version="1.0" encoding="utf-8"?>
<ds:datastoreItem xmlns:ds="http://schemas.openxmlformats.org/officeDocument/2006/customXml" ds:itemID="{8266D131-813D-4D8D-AD1C-ECD70A7CE220}">
  <ds:schemaRefs/>
</ds:datastoreItem>
</file>

<file path=customXml/itemProps23.xml><?xml version="1.0" encoding="utf-8"?>
<ds:datastoreItem xmlns:ds="http://schemas.openxmlformats.org/officeDocument/2006/customXml" ds:itemID="{C5B8FAC8-329C-40A6-9BF4-0673CC5BDAA9}">
  <ds:schemaRefs/>
</ds:datastoreItem>
</file>

<file path=customXml/itemProps24.xml><?xml version="1.0" encoding="utf-8"?>
<ds:datastoreItem xmlns:ds="http://schemas.openxmlformats.org/officeDocument/2006/customXml" ds:itemID="{F05A9EDA-5937-4518-A654-8124A7167D1B}">
  <ds:schemaRefs/>
</ds:datastoreItem>
</file>

<file path=customXml/itemProps25.xml><?xml version="1.0" encoding="utf-8"?>
<ds:datastoreItem xmlns:ds="http://schemas.openxmlformats.org/officeDocument/2006/customXml" ds:itemID="{5F7CEBA3-6AB7-4128-86CE-B5D71B0661B9}">
  <ds:schemaRefs/>
</ds:datastoreItem>
</file>

<file path=customXml/itemProps26.xml><?xml version="1.0" encoding="utf-8"?>
<ds:datastoreItem xmlns:ds="http://schemas.openxmlformats.org/officeDocument/2006/customXml" ds:itemID="{0EFB85C0-44B1-4D85-86AF-F59B4E64A590}">
  <ds:schemaRefs/>
</ds:datastoreItem>
</file>

<file path=customXml/itemProps27.xml><?xml version="1.0" encoding="utf-8"?>
<ds:datastoreItem xmlns:ds="http://schemas.openxmlformats.org/officeDocument/2006/customXml" ds:itemID="{BEE30B42-3BFE-4CF1-A457-4717F888EEF8}">
  <ds:schemaRefs/>
</ds:datastoreItem>
</file>

<file path=customXml/itemProps28.xml><?xml version="1.0" encoding="utf-8"?>
<ds:datastoreItem xmlns:ds="http://schemas.openxmlformats.org/officeDocument/2006/customXml" ds:itemID="{B7E0DBDA-8F48-4DA0-AFFC-D90CD4A32566}">
  <ds:schemaRefs/>
</ds:datastoreItem>
</file>

<file path=customXml/itemProps29.xml><?xml version="1.0" encoding="utf-8"?>
<ds:datastoreItem xmlns:ds="http://schemas.openxmlformats.org/officeDocument/2006/customXml" ds:itemID="{FCC5AF2C-0CB4-4C49-8950-BDBF4180C70C}">
  <ds:schemaRefs/>
</ds:datastoreItem>
</file>

<file path=customXml/itemProps3.xml><?xml version="1.0" encoding="utf-8"?>
<ds:datastoreItem xmlns:ds="http://schemas.openxmlformats.org/officeDocument/2006/customXml" ds:itemID="{039D21DD-F674-46F4-8750-3C3D8AFC41AF}">
  <ds:schemaRefs/>
</ds:datastoreItem>
</file>

<file path=customXml/itemProps30.xml><?xml version="1.0" encoding="utf-8"?>
<ds:datastoreItem xmlns:ds="http://schemas.openxmlformats.org/officeDocument/2006/customXml" ds:itemID="{3EC704DD-230F-41F1-A471-279E2DE3ABE9}">
  <ds:schemaRefs/>
</ds:datastoreItem>
</file>

<file path=customXml/itemProps31.xml><?xml version="1.0" encoding="utf-8"?>
<ds:datastoreItem xmlns:ds="http://schemas.openxmlformats.org/officeDocument/2006/customXml" ds:itemID="{C9DED4E2-03F1-4642-9807-5828870E5C42}">
  <ds:schemaRefs/>
</ds:datastoreItem>
</file>

<file path=customXml/itemProps32.xml><?xml version="1.0" encoding="utf-8"?>
<ds:datastoreItem xmlns:ds="http://schemas.openxmlformats.org/officeDocument/2006/customXml" ds:itemID="{93F18805-1DD7-4A61-BF9C-55643CF5F5C1}">
  <ds:schemaRefs/>
</ds:datastoreItem>
</file>

<file path=customXml/itemProps33.xml><?xml version="1.0" encoding="utf-8"?>
<ds:datastoreItem xmlns:ds="http://schemas.openxmlformats.org/officeDocument/2006/customXml" ds:itemID="{F9FFB548-B9A8-4FA4-A94A-09AF2E25A690}">
  <ds:schemaRefs/>
</ds:datastoreItem>
</file>

<file path=customXml/itemProps34.xml><?xml version="1.0" encoding="utf-8"?>
<ds:datastoreItem xmlns:ds="http://schemas.openxmlformats.org/officeDocument/2006/customXml" ds:itemID="{13998DE0-C4FD-488E-9CEA-EA3864313B8C}">
  <ds:schemaRefs/>
</ds:datastoreItem>
</file>

<file path=customXml/itemProps4.xml><?xml version="1.0" encoding="utf-8"?>
<ds:datastoreItem xmlns:ds="http://schemas.openxmlformats.org/officeDocument/2006/customXml" ds:itemID="{F9C6BEAD-1065-44DD-AC5B-42C1598D23D2}">
  <ds:schemaRefs/>
</ds:datastoreItem>
</file>

<file path=customXml/itemProps5.xml><?xml version="1.0" encoding="utf-8"?>
<ds:datastoreItem xmlns:ds="http://schemas.openxmlformats.org/officeDocument/2006/customXml" ds:itemID="{C5A3155E-7C35-4AB8-952A-E9DABCFB97C7}">
  <ds:schemaRefs/>
</ds:datastoreItem>
</file>

<file path=customXml/itemProps6.xml><?xml version="1.0" encoding="utf-8"?>
<ds:datastoreItem xmlns:ds="http://schemas.openxmlformats.org/officeDocument/2006/customXml" ds:itemID="{006B23BB-A385-4D7C-A937-90DADB4A49CC}">
  <ds:schemaRefs/>
</ds:datastoreItem>
</file>

<file path=customXml/itemProps7.xml><?xml version="1.0" encoding="utf-8"?>
<ds:datastoreItem xmlns:ds="http://schemas.openxmlformats.org/officeDocument/2006/customXml" ds:itemID="{DAAD2C2C-D9D9-4DC5-AC53-D16D0F4E1289}">
  <ds:schemaRefs/>
</ds:datastoreItem>
</file>

<file path=customXml/itemProps8.xml><?xml version="1.0" encoding="utf-8"?>
<ds:datastoreItem xmlns:ds="http://schemas.openxmlformats.org/officeDocument/2006/customXml" ds:itemID="{F5024E1F-2895-48EE-B516-F07BC9FB6023}">
  <ds:schemaRefs/>
</ds:datastoreItem>
</file>

<file path=customXml/itemProps9.xml><?xml version="1.0" encoding="utf-8"?>
<ds:datastoreItem xmlns:ds="http://schemas.openxmlformats.org/officeDocument/2006/customXml" ds:itemID="{CD20B4B2-C0F8-482B-96D5-5CA4B7C27D9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2826</Words>
  <Characters>16110</Characters>
  <Lines>134</Lines>
  <Paragraphs>37</Paragraphs>
  <TotalTime>0</TotalTime>
  <ScaleCrop>false</ScaleCrop>
  <LinksUpToDate>false</LinksUpToDate>
  <CharactersWithSpaces>18899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2023-03-15T08:08:00Z</dcterms:created>
  <dc:creator>lenovo001</dc:creator>
  <cp:lastModifiedBy>Administrator</cp:lastModifiedBy>
  <dcterms:modified xsi:type="dcterms:W3CDTF">2024-01-11T02:26:02Z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79851A2232074B7DA64AA9037607A6E9</vt:lpwstr>
  </property>
</Properties>
</file>