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458001廊坊市第十一小学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1527.63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1527.63</w:t>
            </w:r>
          </w:p>
        </w:tc>
        <w:tc>
          <w:tcPr>
            <w:tcW w:w="4535" w:type="dxa"/>
            <w:vAlign w:val="center"/>
          </w:tcPr>
          <w:p>
            <w:pPr>
              <w:pStyle w:val="19"/>
            </w:pPr>
            <w:r>
              <w:t>本年支出合计</w:t>
            </w:r>
          </w:p>
        </w:tc>
        <w:tc>
          <w:tcPr>
            <w:tcW w:w="2126" w:type="dxa"/>
            <w:vAlign w:val="center"/>
          </w:tcPr>
          <w:p>
            <w:pPr>
              <w:pStyle w:val="20"/>
            </w:pPr>
            <w:r>
              <w:t>1527.63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1527.63</w:t>
            </w:r>
          </w:p>
        </w:tc>
        <w:tc>
          <w:tcPr>
            <w:tcW w:w="4535" w:type="dxa"/>
            <w:vAlign w:val="center"/>
          </w:tcPr>
          <w:p>
            <w:pPr>
              <w:pStyle w:val="19"/>
            </w:pPr>
            <w:r>
              <w:t>支出总计</w:t>
            </w:r>
          </w:p>
        </w:tc>
        <w:tc>
          <w:tcPr>
            <w:tcW w:w="2126" w:type="dxa"/>
            <w:vAlign w:val="center"/>
          </w:tcPr>
          <w:p>
            <w:pPr>
              <w:pStyle w:val="20"/>
            </w:pPr>
            <w:r>
              <w:t>1527.63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458001廊坊市第十一小学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1527.63</w:t>
            </w:r>
          </w:p>
        </w:tc>
        <w:tc>
          <w:tcPr>
            <w:tcW w:w="1134" w:type="dxa"/>
            <w:vAlign w:val="center"/>
          </w:tcPr>
          <w:p>
            <w:pPr>
              <w:pStyle w:val="20"/>
            </w:pPr>
            <w:r>
              <w:t>1527.63</w:t>
            </w:r>
          </w:p>
        </w:tc>
        <w:tc>
          <w:tcPr>
            <w:tcW w:w="1134" w:type="dxa"/>
            <w:vAlign w:val="center"/>
          </w:tcPr>
          <w:p>
            <w:pPr>
              <w:pStyle w:val="20"/>
            </w:pPr>
            <w:r>
              <w:t>1527.63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1527.63</w:t>
            </w:r>
          </w:p>
        </w:tc>
        <w:tc>
          <w:tcPr>
            <w:tcW w:w="1361" w:type="dxa"/>
            <w:vAlign w:val="center"/>
          </w:tcPr>
          <w:p>
            <w:pPr>
              <w:pStyle w:val="20"/>
            </w:pPr>
            <w:r>
              <w:t>1518.37</w:t>
            </w:r>
          </w:p>
        </w:tc>
        <w:tc>
          <w:tcPr>
            <w:tcW w:w="1361" w:type="dxa"/>
            <w:vAlign w:val="center"/>
          </w:tcPr>
          <w:p>
            <w:pPr>
              <w:pStyle w:val="20"/>
            </w:pPr>
            <w:r>
              <w:t>9.25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1527.63</w:t>
            </w:r>
          </w:p>
        </w:tc>
        <w:tc>
          <w:tcPr>
            <w:tcW w:w="1361" w:type="dxa"/>
            <w:vAlign w:val="center"/>
          </w:tcPr>
          <w:p>
            <w:pPr>
              <w:pStyle w:val="16"/>
            </w:pPr>
            <w:r>
              <w:t>1518.37</w:t>
            </w:r>
          </w:p>
        </w:tc>
        <w:tc>
          <w:tcPr>
            <w:tcW w:w="1361" w:type="dxa"/>
            <w:vAlign w:val="center"/>
          </w:tcPr>
          <w:p>
            <w:pPr>
              <w:pStyle w:val="16"/>
            </w:pPr>
            <w:r>
              <w:t>9.25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1527.63</w:t>
            </w:r>
          </w:p>
        </w:tc>
        <w:tc>
          <w:tcPr>
            <w:tcW w:w="1361" w:type="dxa"/>
            <w:vAlign w:val="center"/>
          </w:tcPr>
          <w:p>
            <w:pPr>
              <w:pStyle w:val="16"/>
            </w:pPr>
            <w:r>
              <w:t>1518.37</w:t>
            </w:r>
          </w:p>
        </w:tc>
        <w:tc>
          <w:tcPr>
            <w:tcW w:w="1361" w:type="dxa"/>
            <w:vAlign w:val="center"/>
          </w:tcPr>
          <w:p>
            <w:pPr>
              <w:pStyle w:val="16"/>
            </w:pPr>
            <w:r>
              <w:t>9.25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1527.63</w:t>
            </w:r>
          </w:p>
        </w:tc>
        <w:tc>
          <w:tcPr>
            <w:tcW w:w="1361" w:type="dxa"/>
            <w:vAlign w:val="center"/>
          </w:tcPr>
          <w:p>
            <w:pPr>
              <w:pStyle w:val="16"/>
            </w:pPr>
            <w:r>
              <w:t>1518.37</w:t>
            </w:r>
          </w:p>
        </w:tc>
        <w:tc>
          <w:tcPr>
            <w:tcW w:w="1361" w:type="dxa"/>
            <w:vAlign w:val="center"/>
          </w:tcPr>
          <w:p>
            <w:pPr>
              <w:pStyle w:val="16"/>
            </w:pPr>
            <w:r>
              <w:t>9.25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1527.63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1527.63</w:t>
            </w:r>
          </w:p>
        </w:tc>
        <w:tc>
          <w:tcPr>
            <w:tcW w:w="1474" w:type="dxa"/>
            <w:vAlign w:val="center"/>
          </w:tcPr>
          <w:p>
            <w:pPr>
              <w:pStyle w:val="16"/>
            </w:pPr>
            <w:r>
              <w:t>1527.63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1527.63</w:t>
            </w:r>
          </w:p>
        </w:tc>
        <w:tc>
          <w:tcPr>
            <w:tcW w:w="3402" w:type="dxa"/>
            <w:vAlign w:val="center"/>
          </w:tcPr>
          <w:p>
            <w:pPr>
              <w:pStyle w:val="19"/>
            </w:pPr>
            <w:r>
              <w:t>本年支出合计</w:t>
            </w:r>
          </w:p>
        </w:tc>
        <w:tc>
          <w:tcPr>
            <w:tcW w:w="1474" w:type="dxa"/>
            <w:vAlign w:val="center"/>
          </w:tcPr>
          <w:p>
            <w:pPr>
              <w:pStyle w:val="20"/>
            </w:pPr>
            <w:r>
              <w:t>1527.63</w:t>
            </w:r>
          </w:p>
        </w:tc>
        <w:tc>
          <w:tcPr>
            <w:tcW w:w="1474" w:type="dxa"/>
            <w:vAlign w:val="center"/>
          </w:tcPr>
          <w:p>
            <w:pPr>
              <w:pStyle w:val="20"/>
            </w:pPr>
            <w:r>
              <w:t>1527.63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1527.63</w:t>
            </w:r>
          </w:p>
        </w:tc>
        <w:tc>
          <w:tcPr>
            <w:tcW w:w="3402" w:type="dxa"/>
            <w:vAlign w:val="center"/>
          </w:tcPr>
          <w:p>
            <w:pPr>
              <w:pStyle w:val="19"/>
            </w:pPr>
            <w:r>
              <w:t>支出总计</w:t>
            </w:r>
          </w:p>
        </w:tc>
        <w:tc>
          <w:tcPr>
            <w:tcW w:w="1474" w:type="dxa"/>
            <w:vAlign w:val="center"/>
          </w:tcPr>
          <w:p>
            <w:pPr>
              <w:pStyle w:val="20"/>
            </w:pPr>
            <w:r>
              <w:t>1527.63</w:t>
            </w:r>
          </w:p>
        </w:tc>
        <w:tc>
          <w:tcPr>
            <w:tcW w:w="1474" w:type="dxa"/>
            <w:vAlign w:val="center"/>
          </w:tcPr>
          <w:p>
            <w:pPr>
              <w:pStyle w:val="20"/>
            </w:pPr>
            <w:r>
              <w:t>1527.63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1527.63</w:t>
            </w:r>
          </w:p>
        </w:tc>
        <w:tc>
          <w:tcPr>
            <w:tcW w:w="2551" w:type="dxa"/>
            <w:vAlign w:val="center"/>
          </w:tcPr>
          <w:p>
            <w:pPr>
              <w:pStyle w:val="20"/>
            </w:pPr>
            <w:r>
              <w:t>1518.37</w:t>
            </w:r>
          </w:p>
        </w:tc>
        <w:tc>
          <w:tcPr>
            <w:tcW w:w="2551" w:type="dxa"/>
            <w:vAlign w:val="center"/>
          </w:tcPr>
          <w:p>
            <w:pPr>
              <w:pStyle w:val="20"/>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1527.63</w:t>
            </w:r>
          </w:p>
        </w:tc>
        <w:tc>
          <w:tcPr>
            <w:tcW w:w="2551" w:type="dxa"/>
            <w:vAlign w:val="center"/>
          </w:tcPr>
          <w:p>
            <w:pPr>
              <w:pStyle w:val="16"/>
            </w:pPr>
            <w:r>
              <w:t>1518.37</w:t>
            </w:r>
          </w:p>
        </w:tc>
        <w:tc>
          <w:tcPr>
            <w:tcW w:w="2551" w:type="dxa"/>
            <w:vAlign w:val="center"/>
          </w:tcPr>
          <w:p>
            <w:pPr>
              <w:pStyle w:val="16"/>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1527.63</w:t>
            </w:r>
          </w:p>
        </w:tc>
        <w:tc>
          <w:tcPr>
            <w:tcW w:w="2551" w:type="dxa"/>
            <w:vAlign w:val="center"/>
          </w:tcPr>
          <w:p>
            <w:pPr>
              <w:pStyle w:val="16"/>
            </w:pPr>
            <w:r>
              <w:t>1518.37</w:t>
            </w:r>
          </w:p>
        </w:tc>
        <w:tc>
          <w:tcPr>
            <w:tcW w:w="2551" w:type="dxa"/>
            <w:vAlign w:val="center"/>
          </w:tcPr>
          <w:p>
            <w:pPr>
              <w:pStyle w:val="16"/>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1527.63</w:t>
            </w:r>
          </w:p>
        </w:tc>
        <w:tc>
          <w:tcPr>
            <w:tcW w:w="2551" w:type="dxa"/>
            <w:vAlign w:val="center"/>
          </w:tcPr>
          <w:p>
            <w:pPr>
              <w:pStyle w:val="16"/>
            </w:pPr>
            <w:r>
              <w:t>1518.37</w:t>
            </w:r>
          </w:p>
        </w:tc>
        <w:tc>
          <w:tcPr>
            <w:tcW w:w="2551" w:type="dxa"/>
            <w:vAlign w:val="center"/>
          </w:tcPr>
          <w:p>
            <w:pPr>
              <w:pStyle w:val="16"/>
            </w:pPr>
            <w:r>
              <w:t>9.25</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1518.37</w:t>
            </w:r>
          </w:p>
        </w:tc>
        <w:tc>
          <w:tcPr>
            <w:tcW w:w="2551" w:type="dxa"/>
            <w:vAlign w:val="center"/>
          </w:tcPr>
          <w:p>
            <w:pPr>
              <w:pStyle w:val="20"/>
            </w:pPr>
            <w:r>
              <w:t>1508.74</w:t>
            </w:r>
          </w:p>
        </w:tc>
        <w:tc>
          <w:tcPr>
            <w:tcW w:w="2551" w:type="dxa"/>
            <w:vAlign w:val="center"/>
          </w:tcPr>
          <w:p>
            <w:pPr>
              <w:pStyle w:val="20"/>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1307.53</w:t>
            </w:r>
          </w:p>
        </w:tc>
        <w:tc>
          <w:tcPr>
            <w:tcW w:w="2551" w:type="dxa"/>
            <w:vAlign w:val="center"/>
          </w:tcPr>
          <w:p>
            <w:pPr>
              <w:pStyle w:val="16"/>
            </w:pPr>
            <w:r>
              <w:t>1307.53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384.18</w:t>
            </w:r>
          </w:p>
        </w:tc>
        <w:tc>
          <w:tcPr>
            <w:tcW w:w="2551" w:type="dxa"/>
            <w:vAlign w:val="center"/>
          </w:tcPr>
          <w:p>
            <w:pPr>
              <w:pStyle w:val="16"/>
            </w:pPr>
            <w:r>
              <w:t>384.18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146.18</w:t>
            </w:r>
          </w:p>
        </w:tc>
        <w:tc>
          <w:tcPr>
            <w:tcW w:w="2551" w:type="dxa"/>
            <w:vAlign w:val="center"/>
          </w:tcPr>
          <w:p>
            <w:pPr>
              <w:pStyle w:val="16"/>
            </w:pPr>
            <w:r>
              <w:t>146.18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229.45</w:t>
            </w:r>
          </w:p>
        </w:tc>
        <w:tc>
          <w:tcPr>
            <w:tcW w:w="2551" w:type="dxa"/>
            <w:vAlign w:val="center"/>
          </w:tcPr>
          <w:p>
            <w:pPr>
              <w:pStyle w:val="16"/>
            </w:pPr>
            <w:r>
              <w:t>229.45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273.75</w:t>
            </w:r>
          </w:p>
        </w:tc>
        <w:tc>
          <w:tcPr>
            <w:tcW w:w="2551" w:type="dxa"/>
            <w:vAlign w:val="center"/>
          </w:tcPr>
          <w:p>
            <w:pPr>
              <w:pStyle w:val="16"/>
            </w:pPr>
            <w:r>
              <w:t>273.75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125.36</w:t>
            </w:r>
          </w:p>
        </w:tc>
        <w:tc>
          <w:tcPr>
            <w:tcW w:w="2551" w:type="dxa"/>
            <w:vAlign w:val="center"/>
          </w:tcPr>
          <w:p>
            <w:pPr>
              <w:pStyle w:val="16"/>
            </w:pPr>
            <w:r>
              <w:t>125.36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38.92</w:t>
            </w:r>
          </w:p>
        </w:tc>
        <w:tc>
          <w:tcPr>
            <w:tcW w:w="2551" w:type="dxa"/>
            <w:vAlign w:val="center"/>
          </w:tcPr>
          <w:p>
            <w:pPr>
              <w:pStyle w:val="16"/>
            </w:pPr>
            <w:r>
              <w:t>38.92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4.00</w:t>
            </w:r>
          </w:p>
        </w:tc>
        <w:tc>
          <w:tcPr>
            <w:tcW w:w="2551" w:type="dxa"/>
            <w:vAlign w:val="center"/>
          </w:tcPr>
          <w:p>
            <w:pPr>
              <w:pStyle w:val="16"/>
            </w:pPr>
            <w:r>
              <w:t>4.00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103.13</w:t>
            </w:r>
          </w:p>
        </w:tc>
        <w:tc>
          <w:tcPr>
            <w:tcW w:w="2551" w:type="dxa"/>
            <w:vAlign w:val="center"/>
          </w:tcPr>
          <w:p>
            <w:pPr>
              <w:pStyle w:val="16"/>
            </w:pPr>
            <w:r>
              <w:t>103.13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2.56</w:t>
            </w:r>
          </w:p>
        </w:tc>
        <w:tc>
          <w:tcPr>
            <w:tcW w:w="2551" w:type="dxa"/>
            <w:vAlign w:val="center"/>
          </w:tcPr>
          <w:p>
            <w:pPr>
              <w:pStyle w:val="16"/>
            </w:pPr>
            <w:r>
              <w:t>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9.63</w:t>
            </w:r>
          </w:p>
        </w:tc>
        <w:tc>
          <w:tcPr>
            <w:tcW w:w="2551" w:type="dxa"/>
            <w:vAlign w:val="center"/>
          </w:tcPr>
          <w:p>
            <w:pPr>
              <w:pStyle w:val="16"/>
            </w:pPr>
          </w:p>
        </w:tc>
        <w:tc>
          <w:tcPr>
            <w:tcW w:w="2551" w:type="dxa"/>
            <w:vAlign w:val="center"/>
          </w:tcPr>
          <w:p>
            <w:pPr>
              <w:pStyle w:val="16"/>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4.81</w:t>
            </w:r>
          </w:p>
        </w:tc>
        <w:tc>
          <w:tcPr>
            <w:tcW w:w="2551" w:type="dxa"/>
            <w:vAlign w:val="center"/>
          </w:tcPr>
          <w:p>
            <w:pPr>
              <w:pStyle w:val="16"/>
            </w:pPr>
          </w:p>
        </w:tc>
        <w:tc>
          <w:tcPr>
            <w:tcW w:w="2551" w:type="dxa"/>
            <w:vAlign w:val="center"/>
          </w:tcPr>
          <w:p>
            <w:pPr>
              <w:pStyle w:val="16"/>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4.82</w:t>
            </w:r>
          </w:p>
        </w:tc>
        <w:tc>
          <w:tcPr>
            <w:tcW w:w="2551" w:type="dxa"/>
            <w:vAlign w:val="center"/>
          </w:tcPr>
          <w:p>
            <w:pPr>
              <w:pStyle w:val="16"/>
            </w:pPr>
          </w:p>
        </w:tc>
        <w:tc>
          <w:tcPr>
            <w:tcW w:w="2551" w:type="dxa"/>
            <w:vAlign w:val="center"/>
          </w:tcPr>
          <w:p>
            <w:pPr>
              <w:pStyle w:val="16"/>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201.22</w:t>
            </w:r>
          </w:p>
        </w:tc>
        <w:tc>
          <w:tcPr>
            <w:tcW w:w="2551" w:type="dxa"/>
            <w:vAlign w:val="center"/>
          </w:tcPr>
          <w:p>
            <w:pPr>
              <w:pStyle w:val="16"/>
            </w:pPr>
            <w:r>
              <w:t>201.22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197.84</w:t>
            </w:r>
          </w:p>
        </w:tc>
        <w:tc>
          <w:tcPr>
            <w:tcW w:w="2551" w:type="dxa"/>
            <w:vAlign w:val="center"/>
          </w:tcPr>
          <w:p>
            <w:pPr>
              <w:pStyle w:val="16"/>
            </w:pPr>
            <w:r>
              <w:t>197.84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458001廊坊市第十一小学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廊坊市第十一小学2023年单位预算信息公开情况说明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预算法》、《地方预决算公开操作规程》和《关于进一步推进预算公开工作的实施意见》规定，现将廊坊市第十一小学2023年单位预算公开如下：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定我校的长远规划和年度计划，并组织实施。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廊坊市第十一小学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反映本单位当年全部收入。2023年预算收入万元，其中：一般公共预算收入1527.63万元，基金预算收入1527.63万元，财政专户核拨收入0万元，其他来源收入0万元，上年结转0万元。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十一小学2023年度单位预算中支出预算的总体情况。2023年支出预算1527.63万元，其中：基本支出1518.37万元，包括人员经费1508.74万元和日常公用经费9.63万元；项目支出9.25万元，全部为本级支出，主要为义务教育学校生均公用经费资金[区级]项目。</w:t>
      </w:r>
    </w:p>
    <w:p>
      <w:pPr>
        <w:pStyle w:val="31"/>
      </w:pPr>
      <w:r>
        <w:t>3、比上年增减情况</w:t>
      </w:r>
    </w:p>
    <w:p>
      <w:pPr>
        <w:pStyle w:val="31"/>
      </w:pPr>
      <w:r>
        <w:t>2023年预算收支安排1527.63万元，较2022年预算增加167.02万元，其中：基本支出增加653.2万元，增加原因主要为人员经费支出增加；项目支出减少486.19万元，减少原因主要为基建、修缮项目支出减少。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运行经费共计安排9.63万元，主要用于办公区的日常维修、办公费用、办公用房水电费、办公用房取暖费、邮电费、差旅费、办公用房物业管理费、公务用车运行维护费等日常运行支出。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廊坊市第十一小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完善工作制度，制定完善预算绩效管理制度、资金管理办法等，为全年预算绩效目标的实现奠定坚实的基础。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pStyle w:val="28"/>
      </w:pPr>
      <w:r>
        <w:t>5、做好工会工作</w:t>
      </w:r>
    </w:p>
    <w:p>
      <w:pPr>
        <w:pStyle w:val="28"/>
      </w:pPr>
      <w:r>
        <w:t>贯彻落实中央和省、市、区委关于重大节日开展对离退休干部进行走访慰问的指示精神，做好困难党员、群众、老教师、优抚对象、劳动模范的关心帮扶工作，充分体现党和政府对教育工作者的关怀。</w:t>
      </w:r>
    </w:p>
    <w:p>
      <w:pPr>
        <w:pStyle w:val="28"/>
      </w:pPr>
      <w:r>
        <w:t>6、完善拓展德育队伍建设。</w:t>
      </w:r>
    </w:p>
    <w:p>
      <w:pPr>
        <w:pStyle w:val="28"/>
      </w:pPr>
      <w:r>
        <w:t>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7、加强政治理论学习，强化党风廉政建设。</w:t>
      </w:r>
    </w:p>
    <w:p>
      <w:pPr>
        <w:pStyle w:val="28"/>
      </w:pPr>
      <w:r>
        <w:t>做好师德传承活动，落实老中青传帮带。弘扬办学精神。加强师德宣传与学习活动。开展形式多样、扎实有效的师德教育活动。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709"/>
        <w:gridCol w:w="1701"/>
        <w:gridCol w:w="6237"/>
        <w:gridCol w:w="2268"/>
        <w:gridCol w:w="567"/>
        <w:gridCol w:w="567"/>
        <w:gridCol w:w="1134"/>
        <w:gridCol w:w="923"/>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623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26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92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p>
        </w:tc>
        <w:tc>
          <w:tcPr>
            <w:tcW w:w="6237" w:type="dxa"/>
            <w:vMerge w:val="continue"/>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p>
        </w:tc>
        <w:tc>
          <w:tcPr>
            <w:tcW w:w="2268" w:type="dxa"/>
            <w:vMerge w:val="continue"/>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92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小学生毕业生合格率</w:t>
            </w:r>
          </w:p>
        </w:tc>
        <w:tc>
          <w:tcPr>
            <w:tcW w:w="623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6"/>
              </w:rPr>
              <w:t>20</w:t>
            </w:r>
            <w:r>
              <w:rPr>
                <w:rStyle w:val="37"/>
                <w:rFonts w:hint="default" w:cs="Calibri"/>
              </w:rPr>
              <w:t>分毕业生合格率</w:t>
            </w:r>
            <w:r>
              <w:rPr>
                <w:rStyle w:val="36"/>
              </w:rPr>
              <w:t>100%</w:t>
            </w:r>
            <w:r>
              <w:rPr>
                <w:rStyle w:val="37"/>
                <w:rFonts w:hint="default" w:cs="Calibri"/>
              </w:rPr>
              <w:t>得满分，否则不得分</w:t>
            </w:r>
          </w:p>
        </w:tc>
        <w:tc>
          <w:tcPr>
            <w:tcW w:w="2268"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小学生毕业生合格率</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100</w:t>
            </w:r>
          </w:p>
        </w:tc>
        <w:tc>
          <w:tcPr>
            <w:tcW w:w="1134"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continue"/>
            <w:shd w:val="clear" w:color="auto" w:fill="auto"/>
            <w:vAlign w:val="center"/>
          </w:tcPr>
          <w:p>
            <w:pPr>
              <w:jc w:val="center"/>
              <w:rPr>
                <w:rFonts w:ascii="方正书宋_GBK" w:hAnsi="宋体" w:eastAsia="方正书宋_GBK" w:cs="宋体"/>
                <w:color w:val="000000"/>
              </w:rPr>
            </w:pPr>
          </w:p>
        </w:tc>
        <w:tc>
          <w:tcPr>
            <w:tcW w:w="1701" w:type="dxa"/>
            <w:vMerge w:val="continue"/>
            <w:shd w:val="clear" w:color="auto" w:fill="auto"/>
            <w:vAlign w:val="center"/>
          </w:tcPr>
          <w:p>
            <w:pPr>
              <w:jc w:val="center"/>
              <w:rPr>
                <w:rFonts w:ascii="宋体" w:hAnsi="宋体" w:eastAsia="宋体" w:cs="宋体"/>
                <w:color w:val="000000"/>
                <w:sz w:val="22"/>
                <w:szCs w:val="22"/>
              </w:rPr>
            </w:pPr>
          </w:p>
        </w:tc>
        <w:tc>
          <w:tcPr>
            <w:tcW w:w="6237" w:type="dxa"/>
            <w:vMerge w:val="continue"/>
            <w:shd w:val="clear" w:color="auto" w:fill="auto"/>
            <w:vAlign w:val="center"/>
          </w:tcPr>
          <w:p>
            <w:pPr>
              <w:jc w:val="center"/>
              <w:rPr>
                <w:rFonts w:ascii="Calibri" w:hAnsi="Calibri" w:eastAsia="宋体" w:cs="Calibri"/>
                <w:color w:val="000000"/>
                <w:sz w:val="22"/>
                <w:szCs w:val="22"/>
              </w:rPr>
            </w:pPr>
          </w:p>
        </w:tc>
        <w:tc>
          <w:tcPr>
            <w:tcW w:w="2268" w:type="dxa"/>
            <w:vMerge w:val="continue"/>
            <w:shd w:val="clear" w:color="auto" w:fill="auto"/>
            <w:vAlign w:val="center"/>
          </w:tcPr>
          <w:p>
            <w:pPr>
              <w:jc w:val="center"/>
              <w:rPr>
                <w:rFonts w:ascii="宋体" w:hAnsi="宋体" w:eastAsia="宋体" w:cs="宋体"/>
                <w:color w:val="000000"/>
                <w:sz w:val="22"/>
                <w:szCs w:val="22"/>
              </w:rPr>
            </w:pPr>
          </w:p>
        </w:tc>
        <w:tc>
          <w:tcPr>
            <w:tcW w:w="567" w:type="dxa"/>
            <w:vMerge w:val="continue"/>
            <w:shd w:val="clear" w:color="auto" w:fill="auto"/>
            <w:vAlign w:val="center"/>
          </w:tcPr>
          <w:p>
            <w:pPr>
              <w:jc w:val="center"/>
              <w:rPr>
                <w:rFonts w:eastAsia="宋体"/>
                <w:color w:val="000000"/>
                <w:sz w:val="22"/>
                <w:szCs w:val="22"/>
              </w:rPr>
            </w:pPr>
          </w:p>
        </w:tc>
        <w:tc>
          <w:tcPr>
            <w:tcW w:w="567" w:type="dxa"/>
            <w:vMerge w:val="continue"/>
            <w:shd w:val="clear" w:color="auto" w:fill="auto"/>
            <w:vAlign w:val="center"/>
          </w:tcPr>
          <w:p>
            <w:pPr>
              <w:jc w:val="center"/>
              <w:rPr>
                <w:rFonts w:ascii="方正书宋_GBK" w:hAnsi="宋体" w:eastAsia="方正书宋_GBK" w:cs="宋体"/>
                <w:color w:val="000000"/>
              </w:rPr>
            </w:pPr>
          </w:p>
        </w:tc>
        <w:tc>
          <w:tcPr>
            <w:tcW w:w="1134" w:type="dxa"/>
            <w:vMerge w:val="continue"/>
            <w:shd w:val="clear" w:color="auto" w:fill="auto"/>
            <w:vAlign w:val="center"/>
          </w:tcPr>
          <w:p>
            <w:pPr>
              <w:jc w:val="center"/>
              <w:rPr>
                <w:rFonts w:ascii="宋体" w:hAnsi="宋体" w:eastAsia="宋体" w:cs="宋体"/>
                <w:color w:val="000000"/>
                <w:sz w:val="22"/>
                <w:szCs w:val="22"/>
              </w:rPr>
            </w:pPr>
          </w:p>
        </w:tc>
        <w:tc>
          <w:tcPr>
            <w:tcW w:w="923"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宋体" w:hAnsi="宋体" w:eastAsia="宋体" w:cs="宋体"/>
                <w:color w:val="000000"/>
                <w:sz w:val="22"/>
                <w:szCs w:val="22"/>
              </w:rPr>
              <w:t>重点工作实际完成率</w:t>
            </w:r>
          </w:p>
        </w:tc>
        <w:tc>
          <w:tcPr>
            <w:tcW w:w="6237" w:type="dxa"/>
            <w:shd w:val="clear" w:color="auto" w:fill="auto"/>
            <w:tcMar>
              <w:top w:w="15" w:type="dxa"/>
              <w:left w:w="15" w:type="dxa"/>
              <w:bottom w:w="0" w:type="dxa"/>
              <w:right w:w="15" w:type="dxa"/>
            </w:tcMar>
            <w:vAlign w:val="center"/>
          </w:tcPr>
          <w:p>
            <w:pPr>
              <w:jc w:val="center"/>
              <w:rPr>
                <w:rFonts w:ascii="Calibri" w:hAnsi="Calibri" w:eastAsia="宋体" w:cs="Calibri"/>
                <w:color w:val="000000"/>
                <w:sz w:val="22"/>
                <w:szCs w:val="22"/>
              </w:rPr>
            </w:pPr>
            <w:r>
              <w:rPr>
                <w:rStyle w:val="36"/>
              </w:rPr>
              <w:t>10</w:t>
            </w:r>
            <w:r>
              <w:rPr>
                <w:rStyle w:val="37"/>
                <w:rFonts w:hint="default" w:cs="Calibri"/>
              </w:rPr>
              <w:t>分不低于</w:t>
            </w:r>
            <w:r>
              <w:rPr>
                <w:rStyle w:val="36"/>
              </w:rPr>
              <w:t>95%</w:t>
            </w:r>
            <w:r>
              <w:rPr>
                <w:rStyle w:val="37"/>
                <w:rFonts w:hint="default" w:cs="Calibri"/>
              </w:rPr>
              <w:t>得满分，否则不得分</w:t>
            </w:r>
            <w:r>
              <w:rPr>
                <w:rStyle w:val="36"/>
              </w:rPr>
              <w:t>5</w:t>
            </w:r>
            <w:r>
              <w:rPr>
                <w:rStyle w:val="37"/>
                <w:rFonts w:hint="default" w:cs="Calibri"/>
              </w:rPr>
              <w:t>每减少</w:t>
            </w:r>
            <w:r>
              <w:rPr>
                <w:rStyle w:val="36"/>
              </w:rPr>
              <w:t>1%</w:t>
            </w:r>
            <w:r>
              <w:rPr>
                <w:rStyle w:val="37"/>
                <w:rFonts w:hint="default" w:cs="Calibri"/>
              </w:rPr>
              <w:t>扣</w:t>
            </w:r>
            <w:r>
              <w:rPr>
                <w:rStyle w:val="36"/>
              </w:rPr>
              <w:t>1</w:t>
            </w:r>
            <w:r>
              <w:rPr>
                <w:rStyle w:val="37"/>
                <w:rFonts w:hint="default" w:cs="Calibri"/>
              </w:rPr>
              <w:t>分，扣完为止</w:t>
            </w:r>
          </w:p>
        </w:tc>
        <w:tc>
          <w:tcPr>
            <w:tcW w:w="2268"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重点工作实际完成率</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采购物资合格率</w:t>
            </w:r>
          </w:p>
        </w:tc>
        <w:tc>
          <w:tcPr>
            <w:tcW w:w="623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6"/>
              </w:rPr>
              <w:t>20</w:t>
            </w:r>
            <w:r>
              <w:rPr>
                <w:rStyle w:val="37"/>
                <w:rFonts w:hint="default" w:cs="Calibri"/>
              </w:rPr>
              <w:t>分合格率</w:t>
            </w:r>
            <w:r>
              <w:rPr>
                <w:rStyle w:val="36"/>
              </w:rPr>
              <w:t>100%</w:t>
            </w:r>
            <w:r>
              <w:rPr>
                <w:rStyle w:val="37"/>
                <w:rFonts w:hint="default" w:cs="Calibri"/>
              </w:rPr>
              <w:t>得满分，否则不得分</w:t>
            </w:r>
          </w:p>
        </w:tc>
        <w:tc>
          <w:tcPr>
            <w:tcW w:w="2268"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采购物资合格率</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100</w:t>
            </w:r>
          </w:p>
        </w:tc>
        <w:tc>
          <w:tcPr>
            <w:tcW w:w="1134"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continue"/>
            <w:shd w:val="clear" w:color="auto" w:fill="auto"/>
            <w:vAlign w:val="center"/>
          </w:tcPr>
          <w:p>
            <w:pPr>
              <w:jc w:val="center"/>
              <w:rPr>
                <w:rFonts w:ascii="方正书宋_GBK" w:hAnsi="宋体" w:eastAsia="方正书宋_GBK" w:cs="宋体"/>
                <w:color w:val="000000"/>
              </w:rPr>
            </w:pPr>
          </w:p>
        </w:tc>
        <w:tc>
          <w:tcPr>
            <w:tcW w:w="1701" w:type="dxa"/>
            <w:vMerge w:val="continue"/>
            <w:shd w:val="clear" w:color="auto" w:fill="auto"/>
            <w:vAlign w:val="center"/>
          </w:tcPr>
          <w:p>
            <w:pPr>
              <w:jc w:val="center"/>
              <w:rPr>
                <w:rFonts w:ascii="宋体" w:hAnsi="宋体" w:eastAsia="宋体" w:cs="宋体"/>
                <w:color w:val="000000"/>
                <w:sz w:val="22"/>
                <w:szCs w:val="22"/>
              </w:rPr>
            </w:pPr>
          </w:p>
        </w:tc>
        <w:tc>
          <w:tcPr>
            <w:tcW w:w="6237" w:type="dxa"/>
            <w:vMerge w:val="continue"/>
            <w:shd w:val="clear" w:color="auto" w:fill="auto"/>
            <w:vAlign w:val="center"/>
          </w:tcPr>
          <w:p>
            <w:pPr>
              <w:jc w:val="center"/>
              <w:rPr>
                <w:rFonts w:ascii="Calibri" w:hAnsi="Calibri" w:eastAsia="宋体" w:cs="Calibri"/>
                <w:color w:val="000000"/>
                <w:sz w:val="22"/>
                <w:szCs w:val="22"/>
              </w:rPr>
            </w:pPr>
          </w:p>
        </w:tc>
        <w:tc>
          <w:tcPr>
            <w:tcW w:w="2268" w:type="dxa"/>
            <w:vMerge w:val="continue"/>
            <w:shd w:val="clear" w:color="auto" w:fill="auto"/>
            <w:vAlign w:val="center"/>
          </w:tcPr>
          <w:p>
            <w:pPr>
              <w:jc w:val="center"/>
              <w:rPr>
                <w:rFonts w:ascii="宋体" w:hAnsi="宋体" w:eastAsia="宋体" w:cs="宋体"/>
                <w:color w:val="000000"/>
                <w:sz w:val="22"/>
                <w:szCs w:val="22"/>
              </w:rPr>
            </w:pPr>
          </w:p>
        </w:tc>
        <w:tc>
          <w:tcPr>
            <w:tcW w:w="567" w:type="dxa"/>
            <w:vMerge w:val="continue"/>
            <w:shd w:val="clear" w:color="auto" w:fill="auto"/>
            <w:vAlign w:val="center"/>
          </w:tcPr>
          <w:p>
            <w:pPr>
              <w:jc w:val="center"/>
              <w:rPr>
                <w:rFonts w:eastAsia="宋体"/>
                <w:color w:val="000000"/>
                <w:sz w:val="22"/>
                <w:szCs w:val="22"/>
              </w:rPr>
            </w:pPr>
          </w:p>
        </w:tc>
        <w:tc>
          <w:tcPr>
            <w:tcW w:w="567" w:type="dxa"/>
            <w:vMerge w:val="continue"/>
            <w:shd w:val="clear" w:color="auto" w:fill="auto"/>
            <w:vAlign w:val="center"/>
          </w:tcPr>
          <w:p>
            <w:pPr>
              <w:jc w:val="center"/>
              <w:rPr>
                <w:rFonts w:ascii="方正书宋_GBK" w:hAnsi="宋体" w:eastAsia="方正书宋_GBK" w:cs="宋体"/>
                <w:color w:val="000000"/>
              </w:rPr>
            </w:pPr>
          </w:p>
        </w:tc>
        <w:tc>
          <w:tcPr>
            <w:tcW w:w="1134" w:type="dxa"/>
            <w:vMerge w:val="continue"/>
            <w:shd w:val="clear" w:color="auto" w:fill="auto"/>
            <w:vAlign w:val="center"/>
          </w:tcPr>
          <w:p>
            <w:pPr>
              <w:jc w:val="center"/>
              <w:rPr>
                <w:rFonts w:ascii="宋体" w:hAnsi="宋体" w:eastAsia="宋体" w:cs="宋体"/>
                <w:color w:val="000000"/>
                <w:sz w:val="22"/>
                <w:szCs w:val="22"/>
              </w:rPr>
            </w:pPr>
          </w:p>
        </w:tc>
        <w:tc>
          <w:tcPr>
            <w:tcW w:w="923"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学校的各项工作任务及时完成情况</w:t>
            </w:r>
          </w:p>
        </w:tc>
        <w:tc>
          <w:tcPr>
            <w:tcW w:w="623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6"/>
              </w:rPr>
              <w:t>10</w:t>
            </w:r>
            <w:r>
              <w:rPr>
                <w:rStyle w:val="37"/>
                <w:rFonts w:hint="default" w:cs="Calibri"/>
              </w:rPr>
              <w:t>分及时完成得满分，否则不得分</w:t>
            </w:r>
          </w:p>
        </w:tc>
        <w:tc>
          <w:tcPr>
            <w:tcW w:w="2268"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及时</w:t>
            </w:r>
          </w:p>
        </w:tc>
        <w:tc>
          <w:tcPr>
            <w:tcW w:w="92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宋体" w:hAnsi="宋体" w:eastAsia="宋体" w:cs="宋体"/>
                <w:color w:val="000000"/>
                <w:sz w:val="22"/>
                <w:szCs w:val="22"/>
              </w:rPr>
              <w:t>教育经费使用控制率</w:t>
            </w:r>
          </w:p>
        </w:tc>
        <w:tc>
          <w:tcPr>
            <w:tcW w:w="6237" w:type="dxa"/>
            <w:shd w:val="clear" w:color="auto" w:fill="auto"/>
            <w:tcMar>
              <w:top w:w="15" w:type="dxa"/>
              <w:left w:w="15" w:type="dxa"/>
              <w:bottom w:w="0" w:type="dxa"/>
              <w:right w:w="15" w:type="dxa"/>
            </w:tcMar>
            <w:vAlign w:val="center"/>
          </w:tcPr>
          <w:p>
            <w:pPr>
              <w:jc w:val="center"/>
              <w:rPr>
                <w:sz w:val="20"/>
                <w:szCs w:val="20"/>
              </w:rPr>
            </w:pPr>
            <w:r>
              <w:rPr>
                <w:rStyle w:val="36"/>
              </w:rPr>
              <w:t>10</w:t>
            </w:r>
            <w:r>
              <w:rPr>
                <w:rStyle w:val="37"/>
                <w:rFonts w:hint="default" w:cs="Calibri"/>
              </w:rPr>
              <w:t>分教育经费决算数不大于调整预算数得满分，否则不得分</w:t>
            </w:r>
          </w:p>
        </w:tc>
        <w:tc>
          <w:tcPr>
            <w:tcW w:w="2268"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教育经费使用控制率</w:t>
            </w:r>
          </w:p>
        </w:tc>
        <w:tc>
          <w:tcPr>
            <w:tcW w:w="567"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sz w:val="20"/>
                <w:szCs w:val="20"/>
              </w:rPr>
            </w:pPr>
          </w:p>
        </w:tc>
        <w:tc>
          <w:tcPr>
            <w:tcW w:w="1134"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教育经费决算数不大于调整预算数</w:t>
            </w:r>
          </w:p>
        </w:tc>
        <w:tc>
          <w:tcPr>
            <w:tcW w:w="92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义务教育高质量发展</w:t>
            </w:r>
          </w:p>
        </w:tc>
        <w:tc>
          <w:tcPr>
            <w:tcW w:w="623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6"/>
              </w:rPr>
              <w:t>10</w:t>
            </w:r>
            <w:r>
              <w:rPr>
                <w:rStyle w:val="37"/>
                <w:rFonts w:hint="default" w:cs="Calibri"/>
              </w:rPr>
              <w:t>分学生、家长、社会对学校整体满意度达到</w:t>
            </w:r>
            <w:r>
              <w:rPr>
                <w:rStyle w:val="36"/>
              </w:rPr>
              <w:t>95%</w:t>
            </w:r>
            <w:r>
              <w:rPr>
                <w:rStyle w:val="37"/>
                <w:rFonts w:hint="default" w:cs="Calibri"/>
              </w:rPr>
              <w:t>得满分，每降低</w:t>
            </w:r>
            <w:r>
              <w:rPr>
                <w:rStyle w:val="36"/>
              </w:rPr>
              <w:t>1%</w:t>
            </w:r>
            <w:r>
              <w:rPr>
                <w:rStyle w:val="37"/>
                <w:rFonts w:hint="default" w:cs="Calibri"/>
              </w:rPr>
              <w:t>扣</w:t>
            </w:r>
            <w:r>
              <w:rPr>
                <w:rStyle w:val="36"/>
              </w:rPr>
              <w:t>1</w:t>
            </w:r>
            <w:r>
              <w:rPr>
                <w:rStyle w:val="37"/>
                <w:rFonts w:hint="default" w:cs="Calibri"/>
              </w:rPr>
              <w:t>分，扣完为止。</w:t>
            </w:r>
          </w:p>
        </w:tc>
        <w:tc>
          <w:tcPr>
            <w:tcW w:w="2268"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义务教育高质量发展</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在校师生的满意程度</w:t>
            </w:r>
          </w:p>
        </w:tc>
        <w:tc>
          <w:tcPr>
            <w:tcW w:w="623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6"/>
              </w:rPr>
              <w:t>10</w:t>
            </w:r>
            <w:r>
              <w:rPr>
                <w:rStyle w:val="37"/>
                <w:rFonts w:hint="default" w:cs="Calibri"/>
              </w:rPr>
              <w:t>分在校师生的满意度达到</w:t>
            </w:r>
            <w:r>
              <w:rPr>
                <w:rStyle w:val="36"/>
              </w:rPr>
              <w:t>95%</w:t>
            </w:r>
            <w:r>
              <w:rPr>
                <w:rStyle w:val="37"/>
                <w:rFonts w:hint="default" w:cs="Calibri"/>
              </w:rPr>
              <w:t>得满分，每降低</w:t>
            </w:r>
            <w:r>
              <w:rPr>
                <w:rStyle w:val="36"/>
              </w:rPr>
              <w:t>1%</w:t>
            </w:r>
            <w:r>
              <w:rPr>
                <w:rStyle w:val="37"/>
                <w:rFonts w:hint="default" w:cs="Calibri"/>
              </w:rPr>
              <w:t>扣</w:t>
            </w:r>
            <w:r>
              <w:rPr>
                <w:rStyle w:val="36"/>
              </w:rPr>
              <w:t>1</w:t>
            </w:r>
            <w:r>
              <w:rPr>
                <w:rStyle w:val="37"/>
                <w:rFonts w:hint="default" w:cs="Calibri"/>
              </w:rPr>
              <w:t>分，扣完为止。</w:t>
            </w:r>
          </w:p>
        </w:tc>
        <w:tc>
          <w:tcPr>
            <w:tcW w:w="2268"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在校师生的满意程度</w:t>
            </w:r>
          </w:p>
        </w:tc>
        <w:tc>
          <w:tcPr>
            <w:tcW w:w="56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continue"/>
            <w:shd w:val="clear" w:color="auto" w:fill="auto"/>
            <w:vAlign w:val="center"/>
          </w:tcPr>
          <w:p>
            <w:pPr>
              <w:jc w:val="center"/>
              <w:rPr>
                <w:rFonts w:ascii="方正书宋_GBK" w:hAnsi="宋体" w:eastAsia="方正书宋_GBK" w:cs="宋体"/>
                <w:color w:val="000000"/>
              </w:rPr>
            </w:pPr>
          </w:p>
        </w:tc>
        <w:tc>
          <w:tcPr>
            <w:tcW w:w="1701" w:type="dxa"/>
            <w:vMerge w:val="continue"/>
            <w:shd w:val="clear" w:color="auto" w:fill="auto"/>
            <w:vAlign w:val="center"/>
          </w:tcPr>
          <w:p>
            <w:pPr>
              <w:jc w:val="center"/>
              <w:rPr>
                <w:rFonts w:ascii="宋体" w:hAnsi="宋体" w:eastAsia="宋体" w:cs="宋体"/>
                <w:color w:val="000000"/>
                <w:sz w:val="22"/>
                <w:szCs w:val="22"/>
              </w:rPr>
            </w:pPr>
          </w:p>
        </w:tc>
        <w:tc>
          <w:tcPr>
            <w:tcW w:w="6237" w:type="dxa"/>
            <w:vMerge w:val="continue"/>
            <w:shd w:val="clear" w:color="auto" w:fill="auto"/>
            <w:vAlign w:val="center"/>
          </w:tcPr>
          <w:p>
            <w:pPr>
              <w:jc w:val="center"/>
              <w:rPr>
                <w:rFonts w:ascii="Calibri" w:hAnsi="Calibri" w:eastAsia="宋体" w:cs="Calibri"/>
                <w:color w:val="000000"/>
                <w:sz w:val="22"/>
                <w:szCs w:val="22"/>
              </w:rPr>
            </w:pPr>
          </w:p>
        </w:tc>
        <w:tc>
          <w:tcPr>
            <w:tcW w:w="2268" w:type="dxa"/>
            <w:vMerge w:val="continue"/>
            <w:shd w:val="clear" w:color="auto" w:fill="auto"/>
            <w:vAlign w:val="center"/>
          </w:tcPr>
          <w:p>
            <w:pPr>
              <w:jc w:val="center"/>
              <w:rPr>
                <w:rFonts w:ascii="宋体" w:hAnsi="宋体" w:eastAsia="宋体" w:cs="宋体"/>
                <w:color w:val="000000"/>
                <w:sz w:val="22"/>
                <w:szCs w:val="22"/>
              </w:rPr>
            </w:pPr>
          </w:p>
        </w:tc>
        <w:tc>
          <w:tcPr>
            <w:tcW w:w="567" w:type="dxa"/>
            <w:vMerge w:val="continue"/>
            <w:shd w:val="clear" w:color="auto" w:fill="auto"/>
            <w:vAlign w:val="center"/>
          </w:tcPr>
          <w:p>
            <w:pPr>
              <w:jc w:val="center"/>
              <w:rPr>
                <w:rFonts w:ascii="Calibri" w:hAnsi="Calibri" w:eastAsia="宋体" w:cs="Calibri"/>
                <w:color w:val="000000"/>
                <w:sz w:val="22"/>
                <w:szCs w:val="22"/>
              </w:rPr>
            </w:pPr>
          </w:p>
        </w:tc>
        <w:tc>
          <w:tcPr>
            <w:tcW w:w="567" w:type="dxa"/>
            <w:vMerge w:val="continue"/>
            <w:shd w:val="clear" w:color="auto" w:fill="auto"/>
            <w:vAlign w:val="center"/>
          </w:tcPr>
          <w:p>
            <w:pPr>
              <w:jc w:val="center"/>
              <w:rPr>
                <w:rFonts w:eastAsia="宋体"/>
                <w:color w:val="000000"/>
                <w:sz w:val="22"/>
                <w:szCs w:val="22"/>
              </w:rPr>
            </w:pPr>
          </w:p>
        </w:tc>
        <w:tc>
          <w:tcPr>
            <w:tcW w:w="1134" w:type="dxa"/>
            <w:vMerge w:val="continue"/>
            <w:shd w:val="clear" w:color="auto" w:fill="auto"/>
            <w:vAlign w:val="center"/>
          </w:tcPr>
          <w:p>
            <w:pPr>
              <w:jc w:val="center"/>
              <w:rPr>
                <w:rFonts w:ascii="宋体" w:hAnsi="宋体" w:eastAsia="宋体" w:cs="宋体"/>
                <w:color w:val="000000"/>
                <w:sz w:val="22"/>
                <w:szCs w:val="22"/>
              </w:rPr>
            </w:pPr>
          </w:p>
        </w:tc>
        <w:tc>
          <w:tcPr>
            <w:tcW w:w="923"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vMerge w:val="restart"/>
            <w:shd w:val="clear" w:color="auto" w:fill="auto"/>
            <w:noWrap/>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家长的满意程度</w:t>
            </w:r>
          </w:p>
        </w:tc>
        <w:tc>
          <w:tcPr>
            <w:tcW w:w="6237" w:type="dxa"/>
            <w:vMerge w:val="restart"/>
            <w:shd w:val="clear" w:color="auto" w:fill="auto"/>
            <w:noWrap/>
            <w:tcMar>
              <w:top w:w="15" w:type="dxa"/>
              <w:left w:w="15" w:type="dxa"/>
              <w:bottom w:w="0" w:type="dxa"/>
              <w:right w:w="15" w:type="dxa"/>
            </w:tcMar>
            <w:vAlign w:val="center"/>
          </w:tcPr>
          <w:p>
            <w:pPr>
              <w:jc w:val="center"/>
              <w:rPr>
                <w:rFonts w:ascii="Calibri" w:hAnsi="Calibri" w:cs="Calibri"/>
                <w:color w:val="000000"/>
                <w:sz w:val="22"/>
                <w:szCs w:val="22"/>
              </w:rPr>
            </w:pPr>
            <w:r>
              <w:rPr>
                <w:rStyle w:val="36"/>
              </w:rPr>
              <w:t>10</w:t>
            </w:r>
            <w:r>
              <w:rPr>
                <w:rStyle w:val="37"/>
                <w:rFonts w:hint="default" w:cs="Calibri"/>
              </w:rPr>
              <w:t>分家长的满意度达到</w:t>
            </w:r>
            <w:r>
              <w:rPr>
                <w:rStyle w:val="36"/>
              </w:rPr>
              <w:t>95%</w:t>
            </w:r>
            <w:r>
              <w:rPr>
                <w:rStyle w:val="37"/>
                <w:rFonts w:hint="default" w:cs="Calibri"/>
              </w:rPr>
              <w:t>得满分，每降低</w:t>
            </w:r>
            <w:r>
              <w:rPr>
                <w:rStyle w:val="36"/>
              </w:rPr>
              <w:t>1%</w:t>
            </w:r>
            <w:r>
              <w:rPr>
                <w:rStyle w:val="37"/>
                <w:rFonts w:hint="default" w:cs="Calibri"/>
              </w:rPr>
              <w:t>扣</w:t>
            </w:r>
            <w:r>
              <w:rPr>
                <w:rStyle w:val="36"/>
              </w:rPr>
              <w:t>1</w:t>
            </w:r>
            <w:r>
              <w:rPr>
                <w:rStyle w:val="37"/>
                <w:rFonts w:hint="default" w:cs="Calibri"/>
              </w:rPr>
              <w:t>分，扣完为止。</w:t>
            </w:r>
          </w:p>
        </w:tc>
        <w:tc>
          <w:tcPr>
            <w:tcW w:w="2268" w:type="dxa"/>
            <w:vMerge w:val="restart"/>
            <w:shd w:val="clear" w:color="auto" w:fill="auto"/>
            <w:noWrap/>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家长的满意程度</w:t>
            </w:r>
          </w:p>
        </w:tc>
        <w:tc>
          <w:tcPr>
            <w:tcW w:w="56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1701" w:type="dxa"/>
            <w:vMerge w:val="continue"/>
            <w:shd w:val="clear" w:color="auto" w:fill="auto"/>
            <w:vAlign w:val="center"/>
          </w:tcPr>
          <w:p>
            <w:pPr>
              <w:rPr>
                <w:rFonts w:ascii="宋体" w:hAnsi="宋体" w:eastAsia="宋体" w:cs="宋体"/>
                <w:color w:val="000000"/>
                <w:sz w:val="22"/>
                <w:szCs w:val="22"/>
              </w:rPr>
            </w:pPr>
          </w:p>
        </w:tc>
        <w:tc>
          <w:tcPr>
            <w:tcW w:w="6237" w:type="dxa"/>
            <w:vMerge w:val="continue"/>
            <w:shd w:val="clear" w:color="auto" w:fill="auto"/>
            <w:vAlign w:val="center"/>
          </w:tcPr>
          <w:p>
            <w:pPr>
              <w:rPr>
                <w:rFonts w:ascii="Calibri" w:hAnsi="Calibri" w:eastAsia="宋体" w:cs="Calibri"/>
                <w:color w:val="000000"/>
                <w:sz w:val="22"/>
                <w:szCs w:val="22"/>
              </w:rPr>
            </w:pPr>
          </w:p>
        </w:tc>
        <w:tc>
          <w:tcPr>
            <w:tcW w:w="2268" w:type="dxa"/>
            <w:vMerge w:val="continue"/>
            <w:shd w:val="clear" w:color="auto" w:fill="auto"/>
            <w:vAlign w:val="center"/>
          </w:tcPr>
          <w:p>
            <w:pPr>
              <w:rPr>
                <w:rFonts w:ascii="宋体" w:hAnsi="宋体" w:eastAsia="宋体" w:cs="宋体"/>
                <w:color w:val="000000"/>
                <w:sz w:val="22"/>
                <w:szCs w:val="22"/>
              </w:rPr>
            </w:pPr>
          </w:p>
        </w:tc>
        <w:tc>
          <w:tcPr>
            <w:tcW w:w="567" w:type="dxa"/>
            <w:vMerge w:val="continue"/>
            <w:shd w:val="clear" w:color="auto" w:fill="auto"/>
            <w:vAlign w:val="center"/>
          </w:tcPr>
          <w:p>
            <w:pPr>
              <w:rPr>
                <w:rFonts w:ascii="Calibri" w:hAnsi="Calibri" w:eastAsia="宋体" w:cs="Calibri"/>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ascii="宋体" w:hAnsi="宋体" w:eastAsia="宋体" w:cs="宋体"/>
                <w:color w:val="000000"/>
                <w:sz w:val="22"/>
                <w:szCs w:val="22"/>
              </w:rPr>
            </w:pPr>
          </w:p>
        </w:tc>
        <w:tc>
          <w:tcPr>
            <w:tcW w:w="923" w:type="dxa"/>
            <w:vMerge w:val="continue"/>
            <w:shd w:val="clear" w:color="auto" w:fill="auto"/>
            <w:vAlign w:val="center"/>
          </w:tcPr>
          <w:p>
            <w:pPr>
              <w:rPr>
                <w:rFonts w:ascii="宋体" w:hAnsi="宋体" w:eastAsia="宋体" w:cs="宋体"/>
                <w:color w:val="000000"/>
                <w:sz w:val="22"/>
                <w:szCs w:val="22"/>
              </w:rPr>
            </w:pP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1.廊坊市第十一学对2023年在校学生1259人，按照义务教育生均公用经费标准申请财政预算资金，通过合理、合规使用资金达到保证学校正常运转，改善办学条件，促进义务教育发展。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1259人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2023年，廊坊市第十一小学安排政府采购预算0.00万元。具体内容见下表。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0"/>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1" w:type="dxa"/>
            <w:gridSpan w:val="7"/>
            <w:tcBorders>
              <w:top w:val="single" w:color="FFFFFF" w:sz="6" w:space="0"/>
              <w:left w:val="single" w:color="FFFFFF" w:sz="6" w:space="0"/>
              <w:right w:val="single" w:color="FFFFFF" w:sz="6" w:space="0"/>
            </w:tcBorders>
            <w:vAlign w:val="center"/>
          </w:tcPr>
          <w:p>
            <w:pPr>
              <w:pStyle w:val="14"/>
            </w:pPr>
            <w:r>
              <w:t>458001廊坊市第十一小学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4"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50"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50"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廊坊市第十一小学上年末固定资产金额为729.62万元（详见下表）。本年度拟购置固定资产总额为13.57万元，已按要求列入政府采购预算，详见政府采购预算表。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458001廊坊市第十一小学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729.62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5371.23</w:t>
            </w:r>
          </w:p>
        </w:tc>
        <w:tc>
          <w:tcPr>
            <w:tcW w:w="2835" w:type="dxa"/>
            <w:vAlign w:val="center"/>
          </w:tcPr>
          <w:p>
            <w:pPr>
              <w:pStyle w:val="16"/>
            </w:pPr>
            <w:r>
              <w:t>544.12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582.02</w:t>
            </w:r>
          </w:p>
        </w:tc>
        <w:tc>
          <w:tcPr>
            <w:tcW w:w="2835" w:type="dxa"/>
            <w:vAlign w:val="center"/>
          </w:tcPr>
          <w:p>
            <w:pPr>
              <w:pStyle w:val="16"/>
            </w:pPr>
            <w:r>
              <w:t>55.91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10222</w:t>
            </w:r>
          </w:p>
        </w:tc>
        <w:tc>
          <w:tcPr>
            <w:tcW w:w="2835" w:type="dxa"/>
            <w:vAlign w:val="center"/>
          </w:tcPr>
          <w:p>
            <w:pPr>
              <w:pStyle w:val="16"/>
            </w:pPr>
            <w:r>
              <w:t>185.50</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A96ECA"/>
    <w:rsid w:val="004C2C32"/>
    <w:rsid w:val="00595493"/>
    <w:rsid w:val="00980ACC"/>
    <w:rsid w:val="00A96ECA"/>
    <w:rsid w:val="62E62831"/>
    <w:rsid w:val="6E71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51"/>
    <w:basedOn w:val="10"/>
    <w:uiPriority w:val="0"/>
    <w:rPr>
      <w:rFonts w:hint="default" w:ascii="Calibri" w:hAnsi="Calibri" w:cs="Calibri"/>
      <w:color w:val="000000"/>
      <w:sz w:val="22"/>
      <w:szCs w:val="22"/>
      <w:u w:val="none"/>
    </w:rPr>
  </w:style>
  <w:style w:type="character" w:customStyle="1" w:styleId="37">
    <w:name w:val="font41"/>
    <w:basedOn w:val="10"/>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2023-03-13T11:08:12Z</dcterms:created>
  <dcterms:modified xsi:type="dcterms:W3CDTF">2023-03-13T03:08:12Z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2023-03-13T11:08:12Z</dcterms:created>
  <dcterms:modified xsi:type="dcterms:W3CDTF">2023-03-13T03:08:12Z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2023-03-13T11:08:09Z</dcterms:created>
  <dcterms:modified xsi:type="dcterms:W3CDTF">2023-03-13T03:08:09Z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2023-03-13T11:08:09Z</dcterms:created>
  <dcterms:modified xsi:type="dcterms:W3CDTF">2023-03-13T03:08:09Z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2023-03-13T11:08:09Z</dcterms:created>
  <dcterms:modified xsi:type="dcterms:W3CDTF">2023-03-13T03:08:09Z</dcterms:modified>
</cp:coreProperties>
</file>

<file path=customXml/itemProps1.xml><?xml version="1.0" encoding="utf-8"?>
<ds:datastoreItem xmlns:ds="http://schemas.openxmlformats.org/officeDocument/2006/customXml" ds:itemID="{24F61756-A416-4BC5-B05A-B8D92FAD6FEF}">
  <ds:schemaRefs/>
</ds:datastoreItem>
</file>

<file path=customXml/itemProps10.xml><?xml version="1.0" encoding="utf-8"?>
<ds:datastoreItem xmlns:ds="http://schemas.openxmlformats.org/officeDocument/2006/customXml" ds:itemID="{AF31458C-3171-495D-B780-0BFEDEAD8C23}">
  <ds:schemaRefs/>
</ds:datastoreItem>
</file>

<file path=customXml/itemProps11.xml><?xml version="1.0" encoding="utf-8"?>
<ds:datastoreItem xmlns:ds="http://schemas.openxmlformats.org/officeDocument/2006/customXml" ds:itemID="{5017BF6F-DCB6-4F8E-8F56-73636312F72A}">
  <ds:schemaRefs/>
</ds:datastoreItem>
</file>

<file path=customXml/itemProps12.xml><?xml version="1.0" encoding="utf-8"?>
<ds:datastoreItem xmlns:ds="http://schemas.openxmlformats.org/officeDocument/2006/customXml" ds:itemID="{CBE07C5A-F5D1-4886-855D-01FA8FFC86E0}">
  <ds:schemaRefs/>
</ds:datastoreItem>
</file>

<file path=customXml/itemProps13.xml><?xml version="1.0" encoding="utf-8"?>
<ds:datastoreItem xmlns:ds="http://schemas.openxmlformats.org/officeDocument/2006/customXml" ds:itemID="{E7B26085-CC47-4BF0-8595-EF703909D10E}">
  <ds:schemaRefs/>
</ds:datastoreItem>
</file>

<file path=customXml/itemProps14.xml><?xml version="1.0" encoding="utf-8"?>
<ds:datastoreItem xmlns:ds="http://schemas.openxmlformats.org/officeDocument/2006/customXml" ds:itemID="{1577345F-4A3B-44C1-9674-4AB416A0FA68}">
  <ds:schemaRefs/>
</ds:datastoreItem>
</file>

<file path=customXml/itemProps2.xml><?xml version="1.0" encoding="utf-8"?>
<ds:datastoreItem xmlns:ds="http://schemas.openxmlformats.org/officeDocument/2006/customXml" ds:itemID="{F55A6D42-0DB5-4CAA-8EFF-5CC47DC360A1}">
  <ds:schemaRefs/>
</ds:datastoreItem>
</file>

<file path=customXml/itemProps3.xml><?xml version="1.0" encoding="utf-8"?>
<ds:datastoreItem xmlns:ds="http://schemas.openxmlformats.org/officeDocument/2006/customXml" ds:itemID="{C38D49EC-A77B-40C2-97E5-5B633E072992}">
  <ds:schemaRefs/>
</ds:datastoreItem>
</file>

<file path=customXml/itemProps4.xml><?xml version="1.0" encoding="utf-8"?>
<ds:datastoreItem xmlns:ds="http://schemas.openxmlformats.org/officeDocument/2006/customXml" ds:itemID="{C18DF864-1F28-412F-86D5-F54B135FF19C}">
  <ds:schemaRefs/>
</ds:datastoreItem>
</file>

<file path=customXml/itemProps5.xml><?xml version="1.0" encoding="utf-8"?>
<ds:datastoreItem xmlns:ds="http://schemas.openxmlformats.org/officeDocument/2006/customXml" ds:itemID="{5E185001-02C6-492C-A419-35B7DFD10F84}">
  <ds:schemaRefs/>
</ds:datastoreItem>
</file>

<file path=customXml/itemProps6.xml><?xml version="1.0" encoding="utf-8"?>
<ds:datastoreItem xmlns:ds="http://schemas.openxmlformats.org/officeDocument/2006/customXml" ds:itemID="{338BB289-1DA9-4DC3-9FBB-1E4A8ACD5E3E}">
  <ds:schemaRefs/>
</ds:datastoreItem>
</file>

<file path=customXml/itemProps7.xml><?xml version="1.0" encoding="utf-8"?>
<ds:datastoreItem xmlns:ds="http://schemas.openxmlformats.org/officeDocument/2006/customXml" ds:itemID="{B16385D3-C197-4E23-912C-8BC2D51928A1}">
  <ds:schemaRefs/>
</ds:datastoreItem>
</file>

<file path=customXml/itemProps8.xml><?xml version="1.0" encoding="utf-8"?>
<ds:datastoreItem xmlns:ds="http://schemas.openxmlformats.org/officeDocument/2006/customXml" ds:itemID="{0CB3F925-2D46-4282-BDC3-0E3BD83CDA0C}">
  <ds:schemaRefs/>
</ds:datastoreItem>
</file>

<file path=customXml/itemProps9.xml><?xml version="1.0" encoding="utf-8"?>
<ds:datastoreItem xmlns:ds="http://schemas.openxmlformats.org/officeDocument/2006/customXml" ds:itemID="{C5D755F4-92DD-4ADE-ACAE-77EE64E79893}">
  <ds:schemaRefs/>
</ds:datastoreItem>
</file>

<file path=docProps/app.xml><?xml version="1.0" encoding="utf-8"?>
<Properties xmlns="http://schemas.openxmlformats.org/officeDocument/2006/extended-properties" xmlns:vt="http://schemas.openxmlformats.org/officeDocument/2006/docPropsVTypes">
  <Template>Normal</Template>
  <Pages>25</Pages>
  <Words>1481</Words>
  <Characters>8448</Characters>
  <Lines>70</Lines>
  <Paragraphs>19</Paragraphs>
  <TotalTime>3</TotalTime>
  <ScaleCrop>false</ScaleCrop>
  <LinksUpToDate>false</LinksUpToDate>
  <CharactersWithSpaces>9910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2024-01-10T10:35:42Z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A1609C722E034966A508F2A504945B6B</vt:lpwstr>
  </property>
</Properties>
</file>