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14</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22</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23</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24</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456廊坊市第九小学</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2902.42</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r>
              <w:t>2902.42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2902.42</w:t>
            </w:r>
          </w:p>
        </w:tc>
        <w:tc>
          <w:tcPr>
            <w:tcW w:w="4535" w:type="dxa"/>
            <w:vAlign w:val="center"/>
          </w:tcPr>
          <w:p>
            <w:pPr>
              <w:pStyle w:val="19"/>
            </w:pPr>
            <w:r>
              <w:t>本年支出合计</w:t>
            </w:r>
          </w:p>
        </w:tc>
        <w:tc>
          <w:tcPr>
            <w:tcW w:w="2126" w:type="dxa"/>
            <w:vAlign w:val="center"/>
          </w:tcPr>
          <w:p>
            <w:pPr>
              <w:pStyle w:val="20"/>
            </w:pPr>
            <w:r>
              <w:t>2902.42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2902.42</w:t>
            </w:r>
          </w:p>
        </w:tc>
        <w:tc>
          <w:tcPr>
            <w:tcW w:w="4535" w:type="dxa"/>
            <w:vAlign w:val="center"/>
          </w:tcPr>
          <w:p>
            <w:pPr>
              <w:pStyle w:val="19"/>
            </w:pPr>
            <w:r>
              <w:t>支出总计</w:t>
            </w:r>
          </w:p>
        </w:tc>
        <w:tc>
          <w:tcPr>
            <w:tcW w:w="2126" w:type="dxa"/>
            <w:vAlign w:val="center"/>
          </w:tcPr>
          <w:p>
            <w:pPr>
              <w:pStyle w:val="20"/>
            </w:pPr>
            <w:r>
              <w:t>2902.42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456廊坊市第九小学</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2902.42</w:t>
            </w:r>
          </w:p>
        </w:tc>
        <w:tc>
          <w:tcPr>
            <w:tcW w:w="1134" w:type="dxa"/>
            <w:vAlign w:val="center"/>
          </w:tcPr>
          <w:p>
            <w:pPr>
              <w:pStyle w:val="20"/>
            </w:pPr>
            <w:r>
              <w:t>2902.42</w:t>
            </w:r>
          </w:p>
        </w:tc>
        <w:tc>
          <w:tcPr>
            <w:tcW w:w="1134" w:type="dxa"/>
            <w:vAlign w:val="center"/>
          </w:tcPr>
          <w:p>
            <w:pPr>
              <w:pStyle w:val="20"/>
            </w:pPr>
            <w:r>
              <w:t>2902.42</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205</w:t>
            </w:r>
          </w:p>
        </w:tc>
        <w:tc>
          <w:tcPr>
            <w:tcW w:w="1559" w:type="dxa"/>
            <w:vAlign w:val="center"/>
          </w:tcPr>
          <w:p>
            <w:pPr>
              <w:pStyle w:val="17"/>
            </w:pPr>
            <w:r>
              <w:t>教育支出</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20502</w:t>
            </w:r>
          </w:p>
        </w:tc>
        <w:tc>
          <w:tcPr>
            <w:tcW w:w="1559" w:type="dxa"/>
            <w:vAlign w:val="center"/>
          </w:tcPr>
          <w:p>
            <w:pPr>
              <w:pStyle w:val="17"/>
            </w:pPr>
            <w:r>
              <w:t>普通教育</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2050202</w:t>
            </w:r>
          </w:p>
        </w:tc>
        <w:tc>
          <w:tcPr>
            <w:tcW w:w="1559" w:type="dxa"/>
            <w:vAlign w:val="center"/>
          </w:tcPr>
          <w:p>
            <w:pPr>
              <w:pStyle w:val="17"/>
            </w:pPr>
            <w:r>
              <w:t>小学教育</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r>
              <w:t>2902.42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2902.42</w:t>
            </w:r>
          </w:p>
        </w:tc>
        <w:tc>
          <w:tcPr>
            <w:tcW w:w="1361" w:type="dxa"/>
            <w:vAlign w:val="center"/>
          </w:tcPr>
          <w:p>
            <w:pPr>
              <w:pStyle w:val="20"/>
            </w:pPr>
            <w:r>
              <w:t>2881.21</w:t>
            </w:r>
          </w:p>
        </w:tc>
        <w:tc>
          <w:tcPr>
            <w:tcW w:w="1361" w:type="dxa"/>
            <w:vAlign w:val="center"/>
          </w:tcPr>
          <w:p>
            <w:pPr>
              <w:pStyle w:val="20"/>
            </w:pPr>
            <w:r>
              <w:t>21.20</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205</w:t>
            </w:r>
          </w:p>
        </w:tc>
        <w:tc>
          <w:tcPr>
            <w:tcW w:w="4535" w:type="dxa"/>
            <w:vAlign w:val="center"/>
          </w:tcPr>
          <w:p>
            <w:pPr>
              <w:pStyle w:val="17"/>
            </w:pPr>
            <w:r>
              <w:t>教育支出</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20502</w:t>
            </w:r>
          </w:p>
        </w:tc>
        <w:tc>
          <w:tcPr>
            <w:tcW w:w="4535" w:type="dxa"/>
            <w:vAlign w:val="center"/>
          </w:tcPr>
          <w:p>
            <w:pPr>
              <w:pStyle w:val="17"/>
            </w:pPr>
            <w:r>
              <w:t>普通教育</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2050202</w:t>
            </w:r>
          </w:p>
        </w:tc>
        <w:tc>
          <w:tcPr>
            <w:tcW w:w="4535" w:type="dxa"/>
            <w:vAlign w:val="center"/>
          </w:tcPr>
          <w:p>
            <w:pPr>
              <w:pStyle w:val="17"/>
            </w:pPr>
            <w:r>
              <w:t>小学教育</w:t>
            </w:r>
          </w:p>
        </w:tc>
        <w:tc>
          <w:tcPr>
            <w:tcW w:w="1361" w:type="dxa"/>
            <w:vAlign w:val="center"/>
          </w:tcPr>
          <w:p>
            <w:pPr>
              <w:pStyle w:val="16"/>
            </w:pPr>
            <w:r>
              <w:t>2902.42</w:t>
            </w:r>
          </w:p>
        </w:tc>
        <w:tc>
          <w:tcPr>
            <w:tcW w:w="1361" w:type="dxa"/>
            <w:vAlign w:val="center"/>
          </w:tcPr>
          <w:p>
            <w:pPr>
              <w:pStyle w:val="16"/>
            </w:pPr>
            <w:r>
              <w:t>2881.21</w:t>
            </w:r>
          </w:p>
        </w:tc>
        <w:tc>
          <w:tcPr>
            <w:tcW w:w="1361" w:type="dxa"/>
            <w:vAlign w:val="center"/>
          </w:tcPr>
          <w:p>
            <w:pPr>
              <w:pStyle w:val="16"/>
            </w:pPr>
            <w:r>
              <w:t>21.20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2902.42</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r>
              <w:t>2902.42</w:t>
            </w:r>
          </w:p>
        </w:tc>
        <w:tc>
          <w:tcPr>
            <w:tcW w:w="1474" w:type="dxa"/>
            <w:vAlign w:val="center"/>
          </w:tcPr>
          <w:p>
            <w:pPr>
              <w:pStyle w:val="16"/>
            </w:pPr>
            <w:r>
              <w:t>2902.42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2902.42</w:t>
            </w:r>
          </w:p>
        </w:tc>
        <w:tc>
          <w:tcPr>
            <w:tcW w:w="3402" w:type="dxa"/>
            <w:vAlign w:val="center"/>
          </w:tcPr>
          <w:p>
            <w:pPr>
              <w:pStyle w:val="19"/>
            </w:pPr>
            <w:r>
              <w:t>本年支出合计</w:t>
            </w:r>
          </w:p>
        </w:tc>
        <w:tc>
          <w:tcPr>
            <w:tcW w:w="1474" w:type="dxa"/>
            <w:vAlign w:val="center"/>
          </w:tcPr>
          <w:p>
            <w:pPr>
              <w:pStyle w:val="20"/>
            </w:pPr>
            <w:r>
              <w:t>2902.42</w:t>
            </w:r>
          </w:p>
        </w:tc>
        <w:tc>
          <w:tcPr>
            <w:tcW w:w="1474" w:type="dxa"/>
            <w:vAlign w:val="center"/>
          </w:tcPr>
          <w:p>
            <w:pPr>
              <w:pStyle w:val="20"/>
            </w:pPr>
            <w:r>
              <w:t>2902.42</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2902.42</w:t>
            </w:r>
          </w:p>
        </w:tc>
        <w:tc>
          <w:tcPr>
            <w:tcW w:w="3402" w:type="dxa"/>
            <w:vAlign w:val="center"/>
          </w:tcPr>
          <w:p>
            <w:pPr>
              <w:pStyle w:val="19"/>
            </w:pPr>
            <w:r>
              <w:t>支出总计</w:t>
            </w:r>
          </w:p>
        </w:tc>
        <w:tc>
          <w:tcPr>
            <w:tcW w:w="1474" w:type="dxa"/>
            <w:vAlign w:val="center"/>
          </w:tcPr>
          <w:p>
            <w:pPr>
              <w:pStyle w:val="20"/>
            </w:pPr>
            <w:r>
              <w:t>2902.42</w:t>
            </w:r>
          </w:p>
        </w:tc>
        <w:tc>
          <w:tcPr>
            <w:tcW w:w="1474" w:type="dxa"/>
            <w:vAlign w:val="center"/>
          </w:tcPr>
          <w:p>
            <w:pPr>
              <w:pStyle w:val="20"/>
            </w:pPr>
            <w:r>
              <w:t>2902.42</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2902.42</w:t>
            </w:r>
          </w:p>
        </w:tc>
        <w:tc>
          <w:tcPr>
            <w:tcW w:w="2551" w:type="dxa"/>
            <w:vAlign w:val="center"/>
          </w:tcPr>
          <w:p>
            <w:pPr>
              <w:pStyle w:val="20"/>
            </w:pPr>
            <w:r>
              <w:t>2881.21</w:t>
            </w:r>
          </w:p>
        </w:tc>
        <w:tc>
          <w:tcPr>
            <w:tcW w:w="2551" w:type="dxa"/>
            <w:vAlign w:val="center"/>
          </w:tcPr>
          <w:p>
            <w:pPr>
              <w:pStyle w:val="20"/>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205</w:t>
            </w:r>
          </w:p>
        </w:tc>
        <w:tc>
          <w:tcPr>
            <w:tcW w:w="4535" w:type="dxa"/>
            <w:vAlign w:val="center"/>
          </w:tcPr>
          <w:p>
            <w:pPr>
              <w:pStyle w:val="17"/>
            </w:pPr>
            <w:r>
              <w:t>教育支出</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20502</w:t>
            </w:r>
          </w:p>
        </w:tc>
        <w:tc>
          <w:tcPr>
            <w:tcW w:w="4535" w:type="dxa"/>
            <w:vAlign w:val="center"/>
          </w:tcPr>
          <w:p>
            <w:pPr>
              <w:pStyle w:val="17"/>
            </w:pPr>
            <w:r>
              <w:t>普通教育</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2050202</w:t>
            </w:r>
          </w:p>
        </w:tc>
        <w:tc>
          <w:tcPr>
            <w:tcW w:w="4535" w:type="dxa"/>
            <w:vAlign w:val="center"/>
          </w:tcPr>
          <w:p>
            <w:pPr>
              <w:pStyle w:val="17"/>
            </w:pPr>
            <w:r>
              <w:t>小学教育</w:t>
            </w:r>
          </w:p>
        </w:tc>
        <w:tc>
          <w:tcPr>
            <w:tcW w:w="2551" w:type="dxa"/>
            <w:vAlign w:val="center"/>
          </w:tcPr>
          <w:p>
            <w:pPr>
              <w:pStyle w:val="16"/>
            </w:pPr>
            <w:r>
              <w:t>2902.42</w:t>
            </w:r>
          </w:p>
        </w:tc>
        <w:tc>
          <w:tcPr>
            <w:tcW w:w="2551" w:type="dxa"/>
            <w:vAlign w:val="center"/>
          </w:tcPr>
          <w:p>
            <w:pPr>
              <w:pStyle w:val="16"/>
            </w:pPr>
            <w:r>
              <w:t>2881.21</w:t>
            </w:r>
          </w:p>
        </w:tc>
        <w:tc>
          <w:tcPr>
            <w:tcW w:w="2551" w:type="dxa"/>
            <w:vAlign w:val="center"/>
          </w:tcPr>
          <w:p>
            <w:pPr>
              <w:pStyle w:val="16"/>
            </w:pPr>
            <w:r>
              <w:t>21.20</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2881.21</w:t>
            </w:r>
          </w:p>
        </w:tc>
        <w:tc>
          <w:tcPr>
            <w:tcW w:w="2551" w:type="dxa"/>
            <w:vAlign w:val="center"/>
          </w:tcPr>
          <w:p>
            <w:pPr>
              <w:pStyle w:val="20"/>
            </w:pPr>
            <w:r>
              <w:t>2859.72</w:t>
            </w:r>
          </w:p>
        </w:tc>
        <w:tc>
          <w:tcPr>
            <w:tcW w:w="2551" w:type="dxa"/>
            <w:vAlign w:val="center"/>
          </w:tcPr>
          <w:p>
            <w:pPr>
              <w:pStyle w:val="20"/>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2435.80</w:t>
            </w:r>
          </w:p>
        </w:tc>
        <w:tc>
          <w:tcPr>
            <w:tcW w:w="2551" w:type="dxa"/>
            <w:vAlign w:val="center"/>
          </w:tcPr>
          <w:p>
            <w:pPr>
              <w:pStyle w:val="16"/>
            </w:pPr>
            <w:r>
              <w:t>2435.80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731.15</w:t>
            </w:r>
          </w:p>
        </w:tc>
        <w:tc>
          <w:tcPr>
            <w:tcW w:w="2551" w:type="dxa"/>
            <w:vAlign w:val="center"/>
          </w:tcPr>
          <w:p>
            <w:pPr>
              <w:pStyle w:val="16"/>
            </w:pPr>
            <w:r>
              <w:t>731.15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275.33</w:t>
            </w:r>
          </w:p>
        </w:tc>
        <w:tc>
          <w:tcPr>
            <w:tcW w:w="2551" w:type="dxa"/>
            <w:vAlign w:val="center"/>
          </w:tcPr>
          <w:p>
            <w:pPr>
              <w:pStyle w:val="16"/>
            </w:pPr>
            <w:r>
              <w:t>275.33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419.59</w:t>
            </w:r>
          </w:p>
        </w:tc>
        <w:tc>
          <w:tcPr>
            <w:tcW w:w="2551" w:type="dxa"/>
            <w:vAlign w:val="center"/>
          </w:tcPr>
          <w:p>
            <w:pPr>
              <w:pStyle w:val="16"/>
            </w:pPr>
            <w:r>
              <w:t>419.59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498.95</w:t>
            </w:r>
          </w:p>
        </w:tc>
        <w:tc>
          <w:tcPr>
            <w:tcW w:w="2551" w:type="dxa"/>
            <w:vAlign w:val="center"/>
          </w:tcPr>
          <w:p>
            <w:pPr>
              <w:pStyle w:val="16"/>
            </w:pPr>
            <w:r>
              <w:t>498.95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233.93</w:t>
            </w:r>
          </w:p>
        </w:tc>
        <w:tc>
          <w:tcPr>
            <w:tcW w:w="2551" w:type="dxa"/>
            <w:vAlign w:val="center"/>
          </w:tcPr>
          <w:p>
            <w:pPr>
              <w:pStyle w:val="16"/>
            </w:pPr>
            <w:r>
              <w:t>233.93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71.23</w:t>
            </w:r>
          </w:p>
        </w:tc>
        <w:tc>
          <w:tcPr>
            <w:tcW w:w="2551" w:type="dxa"/>
            <w:vAlign w:val="center"/>
          </w:tcPr>
          <w:p>
            <w:pPr>
              <w:pStyle w:val="16"/>
            </w:pPr>
            <w:r>
              <w:t>71.23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9.12</w:t>
            </w:r>
          </w:p>
        </w:tc>
        <w:tc>
          <w:tcPr>
            <w:tcW w:w="2551" w:type="dxa"/>
            <w:vAlign w:val="center"/>
          </w:tcPr>
          <w:p>
            <w:pPr>
              <w:pStyle w:val="16"/>
            </w:pPr>
            <w:r>
              <w:t>9.12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191.93</w:t>
            </w:r>
          </w:p>
        </w:tc>
        <w:tc>
          <w:tcPr>
            <w:tcW w:w="2551" w:type="dxa"/>
            <w:vAlign w:val="center"/>
          </w:tcPr>
          <w:p>
            <w:pPr>
              <w:pStyle w:val="16"/>
            </w:pPr>
            <w:r>
              <w:t>191.93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4.57</w:t>
            </w:r>
          </w:p>
        </w:tc>
        <w:tc>
          <w:tcPr>
            <w:tcW w:w="2551" w:type="dxa"/>
            <w:vAlign w:val="center"/>
          </w:tcPr>
          <w:p>
            <w:pPr>
              <w:pStyle w:val="16"/>
            </w:pPr>
            <w:r>
              <w:t>4.57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21.49</w:t>
            </w:r>
          </w:p>
        </w:tc>
        <w:tc>
          <w:tcPr>
            <w:tcW w:w="2551" w:type="dxa"/>
            <w:vAlign w:val="center"/>
          </w:tcPr>
          <w:p>
            <w:pPr>
              <w:pStyle w:val="16"/>
            </w:pPr>
          </w:p>
        </w:tc>
        <w:tc>
          <w:tcPr>
            <w:tcW w:w="2551" w:type="dxa"/>
            <w:vAlign w:val="center"/>
          </w:tcPr>
          <w:p>
            <w:pPr>
              <w:pStyle w:val="16"/>
            </w:pPr>
            <w:r>
              <w:t>21.49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10.76</w:t>
            </w:r>
          </w:p>
        </w:tc>
        <w:tc>
          <w:tcPr>
            <w:tcW w:w="2551" w:type="dxa"/>
            <w:vAlign w:val="center"/>
          </w:tcPr>
          <w:p>
            <w:pPr>
              <w:pStyle w:val="16"/>
            </w:pPr>
          </w:p>
        </w:tc>
        <w:tc>
          <w:tcPr>
            <w:tcW w:w="2551" w:type="dxa"/>
            <w:vAlign w:val="center"/>
          </w:tcPr>
          <w:p>
            <w:pPr>
              <w:pStyle w:val="16"/>
            </w:pPr>
            <w:r>
              <w:t>10.76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10.73</w:t>
            </w:r>
          </w:p>
        </w:tc>
        <w:tc>
          <w:tcPr>
            <w:tcW w:w="2551" w:type="dxa"/>
            <w:vAlign w:val="center"/>
          </w:tcPr>
          <w:p>
            <w:pPr>
              <w:pStyle w:val="16"/>
            </w:pPr>
          </w:p>
        </w:tc>
        <w:tc>
          <w:tcPr>
            <w:tcW w:w="2551" w:type="dxa"/>
            <w:vAlign w:val="center"/>
          </w:tcPr>
          <w:p>
            <w:pPr>
              <w:pStyle w:val="16"/>
            </w:pPr>
            <w:r>
              <w:t>10.73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423.93</w:t>
            </w:r>
          </w:p>
        </w:tc>
        <w:tc>
          <w:tcPr>
            <w:tcW w:w="2551" w:type="dxa"/>
            <w:vAlign w:val="center"/>
          </w:tcPr>
          <w:p>
            <w:pPr>
              <w:pStyle w:val="16"/>
            </w:pPr>
            <w:r>
              <w:t>423.93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423.70</w:t>
            </w:r>
          </w:p>
        </w:tc>
        <w:tc>
          <w:tcPr>
            <w:tcW w:w="2551" w:type="dxa"/>
            <w:vAlign w:val="center"/>
          </w:tcPr>
          <w:p>
            <w:pPr>
              <w:pStyle w:val="16"/>
            </w:pPr>
            <w:r>
              <w:t>423.70</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0.23</w:t>
            </w:r>
          </w:p>
        </w:tc>
        <w:tc>
          <w:tcPr>
            <w:tcW w:w="2551" w:type="dxa"/>
            <w:vAlign w:val="center"/>
          </w:tcPr>
          <w:p>
            <w:pPr>
              <w:pStyle w:val="16"/>
            </w:pPr>
            <w:r>
              <w:t>0.23</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456廊坊市第九小学</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廊坊市第九小学2023年部门预算信息公开情况说明</w:t>
      </w:r>
    </w:p>
    <w:p>
      <w:pPr>
        <w:jc w:val="center"/>
      </w:pPr>
      <w:r>
        <w:rPr>
          <w:rFonts w:ascii="方正小标宋_GBK" w:hAnsi="方正小标宋_GBK" w:eastAsia="方正小标宋_GBK" w:cs="方正小标宋_GBK"/>
          <w:color w:val="000000"/>
          <w:sz w:val="44"/>
        </w:rPr>
        <w:t>廊坊市第九小学2023年部门预算信息公开情况说明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预算法》、《地方预决算公开操作规程》和《关于进一步推进预算公开工作的实施意见》规定，现将廊坊市第九小学2023年部门预算公开如下：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bookmarkStart w:id="36" w:name="_GoBack"/>
      <w:bookmarkEnd w:id="36"/>
    </w:p>
    <w:p>
      <w:pPr>
        <w:pStyle w:val="22"/>
      </w:pPr>
      <w:r>
        <w:t>部门职责</w:t>
      </w:r>
    </w:p>
    <w:p>
      <w:pPr>
        <w:pStyle w:val="22"/>
      </w:pPr>
      <w:r>
        <w:t>根据《廊坊市第九小学学职能配置、内设机构和人员编制规定》，廊坊市第九小学的主要职责是：</w:t>
      </w:r>
    </w:p>
    <w:p>
      <w:pPr>
        <w:pStyle w:val="22"/>
      </w:pPr>
      <w:r>
        <w:t>（一）贯彻执行党和国家的教育方针、政策、法律法规，</w:t>
      </w:r>
      <w:r>
        <w:rPr>
          <w:rFonts w:hint="eastAsia"/>
          <w:lang w:eastAsia="zh-CN"/>
        </w:rPr>
        <w:t>制订</w:t>
      </w:r>
      <w:r>
        <w:t>我校的长远规划和年度计划，并组织实施。</w:t>
      </w:r>
    </w:p>
    <w:p>
      <w:pPr>
        <w:pStyle w:val="22"/>
      </w:pPr>
      <w:r>
        <w:t>（二）负责教育基本信息的统计、分析。</w:t>
      </w:r>
    </w:p>
    <w:p>
      <w:pPr>
        <w:pStyle w:val="22"/>
      </w:pPr>
      <w:r>
        <w:t>（三）负责基础教育的管理。推进义务教育均衡发展和促进教育公平，全面实施素质教育。</w:t>
      </w:r>
    </w:p>
    <w:p>
      <w:pPr>
        <w:pStyle w:val="22"/>
      </w:pPr>
      <w:r>
        <w:t>（四）负责学校教师队伍的建设和管理，提高教师队伍素质。</w:t>
      </w:r>
    </w:p>
    <w:p>
      <w:pPr>
        <w:pStyle w:val="22"/>
      </w:pPr>
      <w:r>
        <w:t>（五）负责本部门教育经费的统筹管理，教育经费预决算工作，教育经费的管理和使用；统筹规划和管理学校基本建设和设施的配置及计划统计工作。</w:t>
      </w:r>
    </w:p>
    <w:p>
      <w:pPr>
        <w:pStyle w:val="22"/>
      </w:pPr>
      <w:r>
        <w:t>（六）管理学校的党建、思想政治、宣传统战和维护稳定以及德育、体育、卫生防疫与艺术教育、国防教育工作；负责学校的安全监督管理。</w:t>
      </w:r>
    </w:p>
    <w:p>
      <w:pPr>
        <w:pStyle w:val="22"/>
      </w:pPr>
      <w:r>
        <w:t>（七）负责做好学校的招生、考试工作；负责管理本校教师学历教育及考试工作。</w:t>
      </w:r>
    </w:p>
    <w:p>
      <w:pPr>
        <w:pStyle w:val="22"/>
      </w:pPr>
      <w:r>
        <w:t>（八）负责组织开展学校教育的督导评估、检查验收、质量监测等工作。</w:t>
      </w:r>
    </w:p>
    <w:p>
      <w:pPr>
        <w:pStyle w:val="22"/>
      </w:pPr>
      <w:r>
        <w:t>（九）负责学校党的政治建设、思想建设、组织建设、作风建设、纪律建设和制度建设。</w:t>
      </w:r>
    </w:p>
    <w:p>
      <w:pPr>
        <w:pStyle w:val="22"/>
      </w:pPr>
      <w:r>
        <w:t>（十）负责学校学生和教师的思想政治工作，学校思想政治队伍建设和学校校本课程教育教学。</w:t>
      </w:r>
    </w:p>
    <w:p>
      <w:pPr>
        <w:pStyle w:val="22"/>
      </w:pPr>
      <w:r>
        <w:t>（十一）负责学校安全稳定工作。</w:t>
      </w:r>
    </w:p>
    <w:p>
      <w:pPr>
        <w:pStyle w:val="22"/>
      </w:pPr>
      <w:r>
        <w:t>（十二）做好本校体育事业发展规划、全民健身计划，开展群众性体育活动。</w:t>
      </w:r>
    </w:p>
    <w:p>
      <w:pPr>
        <w:pStyle w:val="22"/>
      </w:pPr>
      <w:r>
        <w:t>（十三）做好上级部门交办的其他事项。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廊坊市第九小学</w:t>
            </w:r>
          </w:p>
        </w:tc>
        <w:tc>
          <w:tcPr>
            <w:tcW w:w="1843" w:type="dxa"/>
            <w:vAlign w:val="center"/>
          </w:tcPr>
          <w:p>
            <w:pPr>
              <w:pStyle w:val="18"/>
            </w:pPr>
            <w:r>
              <w:t>事业</w:t>
            </w:r>
          </w:p>
        </w:tc>
        <w:tc>
          <w:tcPr>
            <w:tcW w:w="2126" w:type="dxa"/>
            <w:vAlign w:val="center"/>
          </w:tcPr>
          <w:p>
            <w:pPr>
              <w:pStyle w:val="18"/>
            </w:pPr>
            <w:r>
              <w:t>股级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按照预算管理有关规定，目前我区部门预算的编制实行综合预算管理，即全部收入和支出都反映在预算中。廊坊市第九小学机关及所属事业单位的收支包含在部门预算中。</w:t>
      </w:r>
    </w:p>
    <w:p>
      <w:pPr>
        <w:pStyle w:val="23"/>
      </w:pPr>
      <w:r>
        <w:t>1、收入说明</w:t>
      </w:r>
    </w:p>
    <w:p>
      <w:pPr>
        <w:pStyle w:val="23"/>
      </w:pPr>
      <w:r>
        <w:t>反映本部门当年全部收入，2023年预算收入2902.42万元，其中：一般公共预算收入2902.42万元，基金预算收入0万元，财政专户核拨收入0万元，其他来源收入0万元，上年结转0万元。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第九小学2023年度部门预算中支出预算的总体情况。2023年支出预算2902.42万元，其中：基本支出2881.21万元，包括人员经费2859.72万元和日常公用经费21.49万元；项目支出21.2万元，全部为本级支出，主要为城乡义务教育生均公用区级经费项目。</w:t>
      </w:r>
    </w:p>
    <w:p>
      <w:pPr>
        <w:pStyle w:val="23"/>
      </w:pPr>
      <w:r>
        <w:t>3、比上年增减情况</w:t>
      </w:r>
    </w:p>
    <w:p>
      <w:pPr>
        <w:pStyle w:val="23"/>
      </w:pPr>
      <w:r>
        <w:t>2023年预算收支安排2902.42万元，较2022年预算增加271.34万元，其中：基本支出增加974.49万元，增加原因主要为人员经费支出增加；项目支出减少703.16万元，减少原因主要为城乡义务教育生均公用中央、省级、市级经费调整为追加预算。</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2023年，我部门运行经费共计安排21.49万元,主要用于办公区的日常维修、办公费用、办公用房水电费、办公用房取暖费、邮电费、差旅费、办公用房物业管理费、公务用车运行维护费等日常运行支出。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0万元。其中，因公出国（境）费0万元；公务用车购置及运维费0万元（其中：公务用车购置费为0万元，公务用车运维费0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廊坊市第九小学坚持执行党和国家的教育方针、政策、法规，维护学校的教学秩序，为学生创造良好的学习环境；积极稳妥地推进教育改革，按教育规律办事，不断提高教育质量，建立健全各项规章制度和岗位责任制；通过完善我校教育基础设施，推进学校建设，改善师生学习环境；加强教师队伍建设，提高教师专业素质、学生综合素质、学生学习效率，提升教育教学水平；坚持教书育人，服务育人，环境育人方针，加强对学生的思想品德教育，使学生的德智体全面发展；抓好教师队伍建设，使每个教师都热心于教育事业，做好安全防范，保证学生的人身安全。</w:t>
      </w:r>
    </w:p>
    <w:p>
      <w:pPr>
        <w:spacing w:line="500" w:lineRule="exact"/>
        <w:ind w:firstLine="560"/>
      </w:pPr>
      <w:r>
        <w:rPr>
          <w:rFonts w:eastAsia="方正仿宋_GBK"/>
          <w:color w:val="000000"/>
          <w:sz w:val="28"/>
        </w:rPr>
        <w:t>（二）分项绩效目标</w:t>
      </w:r>
    </w:p>
    <w:p>
      <w:pPr>
        <w:pStyle w:val="27"/>
      </w:pPr>
      <w:r>
        <w:t>1、教育教学绩效</w:t>
      </w:r>
    </w:p>
    <w:p>
      <w:pPr>
        <w:pStyle w:val="27"/>
      </w:pPr>
      <w:r>
        <w:t>绩效目标：按质按量完成教育教学方面的各项任务，稳步提升学校的教育教学质量。深化教育教学改革创新，推行义务教育质量检测。</w:t>
      </w:r>
    </w:p>
    <w:p>
      <w:pPr>
        <w:pStyle w:val="27"/>
      </w:pPr>
      <w:r>
        <w:t>绩效指标：各项工作完成情况达到100%；提升教师教学及备课质量，提高学生综合素质。</w:t>
      </w:r>
    </w:p>
    <w:p>
      <w:pPr>
        <w:pStyle w:val="27"/>
      </w:pPr>
      <w:r>
        <w:t>2、培养高素质的教师队伍</w:t>
      </w:r>
    </w:p>
    <w:p>
      <w:pPr>
        <w:pStyle w:val="27"/>
      </w:pPr>
      <w:r>
        <w:t>绩效目标：提高教师培训质量，提升教师业务能力和水平，不断提高教学质量。</w:t>
      </w:r>
    </w:p>
    <w:p>
      <w:pPr>
        <w:pStyle w:val="27"/>
      </w:pPr>
      <w:r>
        <w:t>绩效指标：及时组织教师参加培训；教师培训合格率达到100%。</w:t>
      </w:r>
    </w:p>
    <w:p>
      <w:pPr>
        <w:pStyle w:val="27"/>
      </w:pPr>
      <w:r>
        <w:t>3、加强学校安全工作</w:t>
      </w:r>
    </w:p>
    <w:p>
      <w:pPr>
        <w:pStyle w:val="27"/>
      </w:pPr>
      <w:r>
        <w:t>绩效目标：防范化解学校安全风险，排查整改安全隐患，提高学生安全防范意识。</w:t>
      </w:r>
    </w:p>
    <w:p>
      <w:pPr>
        <w:pStyle w:val="27"/>
      </w:pPr>
      <w:r>
        <w:t>绩效指标：通过项目的开展，提升学校安防级别；师生对项目的满意度达到95%。</w:t>
      </w:r>
    </w:p>
    <w:p>
      <w:pPr>
        <w:pStyle w:val="27"/>
      </w:pPr>
      <w:r>
        <w:t>4、办满意的学校</w:t>
      </w:r>
    </w:p>
    <w:p>
      <w:pPr>
        <w:pStyle w:val="27"/>
      </w:pPr>
      <w:r>
        <w:t>绩效目标：不断改善办学条件，提升学校基础设施设备的整体水平，不断提高教育质量。</w:t>
      </w:r>
    </w:p>
    <w:p>
      <w:pPr>
        <w:pStyle w:val="27"/>
      </w:pPr>
      <w:r>
        <w:t>绩效指标：教师、学生、家长整体满意度达到90%以上。</w:t>
      </w:r>
    </w:p>
    <w:p>
      <w:pPr>
        <w:spacing w:line="500" w:lineRule="exact"/>
        <w:ind w:firstLine="560"/>
      </w:pPr>
      <w:r>
        <w:rPr>
          <w:rFonts w:eastAsia="方正仿宋_GBK"/>
          <w:color w:val="000000"/>
          <w:sz w:val="28"/>
        </w:rPr>
        <w:t>（三）工作保障措施</w:t>
      </w:r>
    </w:p>
    <w:p>
      <w:pPr>
        <w:pStyle w:val="28"/>
      </w:pPr>
      <w:r>
        <w:t>1、完善制度建设</w:t>
      </w:r>
    </w:p>
    <w:p>
      <w:pPr>
        <w:pStyle w:val="28"/>
      </w:pPr>
      <w:r>
        <w:t>完善工作制度，</w:t>
      </w:r>
      <w:r>
        <w:rPr>
          <w:rFonts w:hint="eastAsia"/>
          <w:lang w:eastAsia="zh-CN"/>
        </w:rPr>
        <w:t>制订</w:t>
      </w:r>
      <w:r>
        <w:t>完善预算绩效管理制度、资金管理办法等，为全年预算绩效目标的实现奠定坚实的基础。</w:t>
      </w:r>
    </w:p>
    <w:p>
      <w:pPr>
        <w:pStyle w:val="28"/>
      </w:pPr>
      <w:r>
        <w:t>2、加强绩效运行监控</w:t>
      </w:r>
    </w:p>
    <w:p>
      <w:pPr>
        <w:pStyle w:val="28"/>
      </w:pPr>
      <w:r>
        <w:t>按要求开展绩效运行监控，发现问题及时采取措施，确保绩效目标如期保质实现。</w:t>
      </w:r>
    </w:p>
    <w:p>
      <w:pPr>
        <w:pStyle w:val="28"/>
      </w:pPr>
      <w:r>
        <w:t>3、做好绩效自评</w:t>
      </w:r>
    </w:p>
    <w:p>
      <w:pPr>
        <w:pStyle w:val="28"/>
      </w:pPr>
      <w:r>
        <w:t>按要求做好预算绩效自评工作，加强对重点预算项目的自评工作，通过对评价中发现的问题进行整改，提高财政资金使用效益。</w:t>
      </w:r>
    </w:p>
    <w:p>
      <w:pPr>
        <w:pStyle w:val="28"/>
      </w:pPr>
      <w:r>
        <w:t>4、规范财务资产管理</w:t>
      </w:r>
    </w:p>
    <w:p>
      <w:pPr>
        <w:pStyle w:val="28"/>
      </w:pPr>
      <w:r>
        <w:t>进一步完善财务管理制度，严格审批程序，规范审批流程，加强固定资产登记、使用和报废处置管理，做到支出合理，物尽其用。</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709"/>
        <w:gridCol w:w="1843"/>
        <w:gridCol w:w="5877"/>
        <w:gridCol w:w="2061"/>
        <w:gridCol w:w="567"/>
        <w:gridCol w:w="709"/>
        <w:gridCol w:w="1134"/>
        <w:gridCol w:w="1348"/>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lang w:eastAsia="zh-CN"/>
              </w:rPr>
            </w:pPr>
            <w:r>
              <w:rPr>
                <w:rFonts w:hint="eastAsia" w:ascii="黑体" w:hAnsi="黑体" w:eastAsia="黑体"/>
                <w:color w:val="000000"/>
                <w:sz w:val="21"/>
                <w:szCs w:val="21"/>
              </w:rPr>
              <w:t>一级</w:t>
            </w:r>
          </w:p>
          <w:p>
            <w:pPr>
              <w:jc w:val="center"/>
              <w:rPr>
                <w:rFonts w:ascii="黑体" w:hAnsi="黑体" w:eastAsia="黑体"/>
                <w:color w:val="000000"/>
                <w:sz w:val="21"/>
                <w:szCs w:val="21"/>
                <w:lang w:eastAsia="zh-CN"/>
              </w:rPr>
            </w:pPr>
            <w:r>
              <w:rPr>
                <w:rFonts w:hint="eastAsia" w:ascii="黑体" w:hAnsi="黑体" w:eastAsia="黑体"/>
                <w:color w:val="000000"/>
                <w:sz w:val="21"/>
                <w:szCs w:val="21"/>
              </w:rPr>
              <w:t>指标</w:t>
            </w:r>
          </w:p>
        </w:tc>
        <w:tc>
          <w:tcPr>
            <w:tcW w:w="709"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二级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1843"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三级</w:t>
            </w:r>
          </w:p>
          <w:p>
            <w:pPr>
              <w:jc w:val="center"/>
              <w:rPr>
                <w:rFonts w:ascii="黑体" w:hAnsi="黑体" w:eastAsia="黑体"/>
                <w:color w:val="000000"/>
                <w:sz w:val="21"/>
                <w:szCs w:val="21"/>
              </w:rPr>
            </w:pPr>
            <w:r>
              <w:rPr>
                <w:rFonts w:hint="eastAsia" w:ascii="黑体" w:hAnsi="黑体" w:eastAsia="黑体"/>
                <w:color w:val="000000"/>
                <w:sz w:val="21"/>
                <w:szCs w:val="21"/>
              </w:rPr>
              <w:t>指标</w:t>
            </w:r>
          </w:p>
        </w:tc>
        <w:tc>
          <w:tcPr>
            <w:tcW w:w="5877"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评（扣）分标准</w:t>
            </w:r>
          </w:p>
        </w:tc>
        <w:tc>
          <w:tcPr>
            <w:tcW w:w="2061"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绩效指标</w:t>
            </w:r>
          </w:p>
          <w:p>
            <w:pPr>
              <w:jc w:val="center"/>
              <w:rPr>
                <w:rFonts w:ascii="黑体" w:hAnsi="黑体" w:eastAsia="黑体"/>
                <w:color w:val="000000"/>
                <w:sz w:val="21"/>
                <w:szCs w:val="21"/>
              </w:rPr>
            </w:pPr>
            <w:r>
              <w:rPr>
                <w:rFonts w:hint="eastAsia" w:ascii="黑体" w:hAnsi="黑体" w:eastAsia="黑体"/>
                <w:color w:val="000000"/>
                <w:sz w:val="21"/>
                <w:szCs w:val="21"/>
              </w:rPr>
              <w:t>描述</w:t>
            </w:r>
          </w:p>
        </w:tc>
        <w:tc>
          <w:tcPr>
            <w:tcW w:w="2410" w:type="dxa"/>
            <w:gridSpan w:val="3"/>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tc>
        <w:tc>
          <w:tcPr>
            <w:tcW w:w="1348" w:type="dxa"/>
            <w:vMerge w:val="restart"/>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指标值</w:t>
            </w:r>
          </w:p>
          <w:p>
            <w:pPr>
              <w:jc w:val="center"/>
              <w:rPr>
                <w:rFonts w:ascii="黑体" w:hAnsi="黑体" w:eastAsia="黑体"/>
                <w:color w:val="000000"/>
                <w:sz w:val="21"/>
                <w:szCs w:val="21"/>
              </w:rPr>
            </w:pPr>
            <w:r>
              <w:rPr>
                <w:rFonts w:hint="eastAsia" w:ascii="黑体" w:hAnsi="黑体" w:eastAsia="黑体"/>
                <w:color w:val="000000"/>
                <w:sz w:val="21"/>
                <w:szCs w:val="21"/>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709"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1843"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877" w:type="dxa"/>
            <w:vMerge w:val="continue"/>
            <w:shd w:val="clear" w:color="auto" w:fill="auto"/>
            <w:tcMar>
              <w:top w:w="15" w:type="dxa"/>
              <w:left w:w="15" w:type="dxa"/>
              <w:bottom w:w="0" w:type="dxa"/>
              <w:right w:w="15" w:type="dxa"/>
            </w:tcMar>
            <w:vAlign w:val="center"/>
          </w:tcPr>
          <w:p>
            <w:pPr>
              <w:rPr>
                <w:rFonts w:ascii="黑体" w:hAnsi="黑体" w:eastAsia="黑体" w:cs="宋体"/>
                <w:color w:val="000000"/>
                <w:sz w:val="21"/>
                <w:szCs w:val="21"/>
              </w:rPr>
            </w:pPr>
          </w:p>
        </w:tc>
        <w:tc>
          <w:tcPr>
            <w:tcW w:w="2061"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c>
          <w:tcPr>
            <w:tcW w:w="567"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符号</w:t>
            </w:r>
          </w:p>
        </w:tc>
        <w:tc>
          <w:tcPr>
            <w:tcW w:w="709"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值</w:t>
            </w:r>
          </w:p>
        </w:tc>
        <w:tc>
          <w:tcPr>
            <w:tcW w:w="1134" w:type="dxa"/>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r>
              <w:rPr>
                <w:rFonts w:hint="eastAsia" w:ascii="黑体" w:hAnsi="黑体" w:eastAsia="黑体"/>
                <w:color w:val="000000"/>
                <w:sz w:val="21"/>
                <w:szCs w:val="21"/>
              </w:rPr>
              <w:t>单位</w:t>
            </w:r>
          </w:p>
        </w:tc>
        <w:tc>
          <w:tcPr>
            <w:tcW w:w="1348" w:type="dxa"/>
            <w:vMerge w:val="continue"/>
            <w:shd w:val="clear" w:color="auto" w:fill="auto"/>
            <w:tcMar>
              <w:top w:w="15" w:type="dxa"/>
              <w:left w:w="15" w:type="dxa"/>
              <w:bottom w:w="0" w:type="dxa"/>
              <w:right w:w="15" w:type="dxa"/>
            </w:tcMar>
            <w:vAlign w:val="center"/>
          </w:tcPr>
          <w:p>
            <w:pPr>
              <w:jc w:val="center"/>
              <w:rPr>
                <w:rFonts w:ascii="黑体" w:hAnsi="黑体" w:eastAsia="黑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olor w:val="000000"/>
                <w:sz w:val="21"/>
                <w:szCs w:val="21"/>
              </w:rPr>
            </w:pPr>
            <w:r>
              <w:rPr>
                <w:rFonts w:hint="eastAsia" w:ascii="仿宋_GB2312" w:eastAsia="仿宋_GB2312"/>
                <w:color w:val="000000"/>
                <w:sz w:val="21"/>
                <w:szCs w:val="21"/>
              </w:rPr>
              <w:t>部门产出</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数量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2885</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小学生毕业生优秀人数</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小学生毕业生优秀生人数情况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2597</w:t>
            </w: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人</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重点工作实际完成情况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年度计划和实际完成情况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质量</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w:t>
            </w:r>
            <w:r>
              <w:rPr>
                <w:rStyle w:val="35"/>
                <w:rFonts w:eastAsia="仿宋_GB2312"/>
              </w:rPr>
              <w:t>100%</w:t>
            </w:r>
            <w:r>
              <w:rPr>
                <w:rStyle w:val="34"/>
                <w:rFonts w:hint="default"/>
              </w:rPr>
              <w:t>，否则不得分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小学生毕业生合格率情况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实际值较目标值每降</w:t>
            </w:r>
            <w:r>
              <w:rPr>
                <w:rStyle w:val="35"/>
                <w:rFonts w:eastAsia="仿宋_GB2312"/>
              </w:rPr>
              <w:t>1%</w:t>
            </w:r>
            <w:r>
              <w:rPr>
                <w:rStyle w:val="34"/>
                <w:rFonts w:hint="default"/>
              </w:rPr>
              <w:t>，扣</w:t>
            </w:r>
            <w:r>
              <w:rPr>
                <w:rStyle w:val="35"/>
                <w:rFonts w:eastAsia="仿宋_GB2312"/>
              </w:rPr>
              <w:t>10%</w:t>
            </w:r>
            <w:r>
              <w:rPr>
                <w:rStyle w:val="34"/>
                <w:rFonts w:hint="default"/>
              </w:rPr>
              <w:t>的权重分，扣完为止</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小学生毕业生优秀率情况</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85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岗位职责</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达到目标值得权重分满分，否则不得分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采购物资、建设工程合格率</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100</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质量评价标准</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时效</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，未按时不得分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学校的各项工作任务及时完成情况</w:t>
            </w:r>
          </w:p>
        </w:tc>
        <w:tc>
          <w:tcPr>
            <w:tcW w:w="567"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及时</w:t>
            </w:r>
          </w:p>
        </w:tc>
        <w:tc>
          <w:tcPr>
            <w:tcW w:w="1348"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年初工作计划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成本</w:t>
            </w:r>
          </w:p>
        </w:tc>
        <w:tc>
          <w:tcPr>
            <w:tcW w:w="1843"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教育经费使用控制率</w:t>
            </w:r>
          </w:p>
        </w:tc>
        <w:tc>
          <w:tcPr>
            <w:tcW w:w="5877"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教育经费决算数</w:t>
            </w:r>
            <w:r>
              <w:rPr>
                <w:rStyle w:val="35"/>
                <w:rFonts w:eastAsia="仿宋_GB2312"/>
              </w:rPr>
              <w:t>≤</w:t>
            </w:r>
            <w:r>
              <w:rPr>
                <w:rStyle w:val="34"/>
                <w:rFonts w:hint="default"/>
              </w:rPr>
              <w:t>调整预算数得权重分的满分，否则不得分；</w:t>
            </w:r>
          </w:p>
        </w:tc>
        <w:tc>
          <w:tcPr>
            <w:tcW w:w="2061"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支出的公用经费总额与预算安排的差额</w:t>
            </w:r>
          </w:p>
        </w:tc>
        <w:tc>
          <w:tcPr>
            <w:tcW w:w="567"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文字描述</w:t>
            </w: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p>
        </w:tc>
        <w:tc>
          <w:tcPr>
            <w:tcW w:w="1134" w:type="dxa"/>
            <w:vMerge w:val="restart"/>
            <w:shd w:val="clear" w:color="auto" w:fill="auto"/>
            <w:tcMar>
              <w:top w:w="15" w:type="dxa"/>
              <w:left w:w="15" w:type="dxa"/>
              <w:bottom w:w="0" w:type="dxa"/>
              <w:right w:w="15" w:type="dxa"/>
            </w:tcMar>
            <w:vAlign w:val="center"/>
          </w:tcPr>
          <w:p>
            <w:pPr>
              <w:jc w:val="center"/>
              <w:rPr>
                <w:rFonts w:ascii="仿宋_GB2312" w:hAnsi="宋体" w:eastAsia="仿宋_GB2312" w:cs="宋体"/>
                <w:color w:val="000000"/>
                <w:sz w:val="21"/>
                <w:szCs w:val="21"/>
              </w:rPr>
            </w:pPr>
            <w:r>
              <w:rPr>
                <w:rFonts w:hint="eastAsia" w:ascii="仿宋_GB2312" w:eastAsia="仿宋_GB2312"/>
                <w:color w:val="000000"/>
                <w:sz w:val="21"/>
                <w:szCs w:val="21"/>
              </w:rPr>
              <w:t>小于等于调整预算数</w:t>
            </w:r>
          </w:p>
        </w:tc>
        <w:tc>
          <w:tcPr>
            <w:tcW w:w="1348" w:type="dxa"/>
            <w:vMerge w:val="restart"/>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预算调整数和实际完成情况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66"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vMerge w:val="continue"/>
            <w:shd w:val="clear" w:color="auto" w:fill="auto"/>
            <w:vAlign w:val="center"/>
          </w:tcPr>
          <w:p>
            <w:pPr>
              <w:rPr>
                <w:rFonts w:ascii="仿宋_GB2312" w:hAnsi="宋体" w:eastAsia="仿宋_GB2312" w:cs="宋体"/>
                <w:color w:val="000000"/>
                <w:sz w:val="21"/>
                <w:szCs w:val="21"/>
              </w:rPr>
            </w:pPr>
          </w:p>
        </w:tc>
        <w:tc>
          <w:tcPr>
            <w:tcW w:w="5877" w:type="dxa"/>
            <w:vMerge w:val="continue"/>
            <w:shd w:val="clear" w:color="auto" w:fill="auto"/>
            <w:vAlign w:val="center"/>
          </w:tcPr>
          <w:p>
            <w:pPr>
              <w:rPr>
                <w:rFonts w:ascii="仿宋_GB2312" w:hAnsi="宋体" w:eastAsia="仿宋_GB2312" w:cs="宋体"/>
                <w:color w:val="000000"/>
                <w:sz w:val="21"/>
                <w:szCs w:val="21"/>
              </w:rPr>
            </w:pPr>
          </w:p>
        </w:tc>
        <w:tc>
          <w:tcPr>
            <w:tcW w:w="2061" w:type="dxa"/>
            <w:vMerge w:val="continue"/>
            <w:shd w:val="clear" w:color="auto" w:fill="auto"/>
            <w:vAlign w:val="center"/>
          </w:tcPr>
          <w:p>
            <w:pPr>
              <w:rPr>
                <w:rFonts w:ascii="仿宋_GB2312" w:hAnsi="宋体" w:eastAsia="仿宋_GB2312" w:cs="宋体"/>
                <w:color w:val="000000"/>
                <w:sz w:val="21"/>
                <w:szCs w:val="21"/>
              </w:rPr>
            </w:pPr>
          </w:p>
        </w:tc>
        <w:tc>
          <w:tcPr>
            <w:tcW w:w="567"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134" w:type="dxa"/>
            <w:vMerge w:val="continue"/>
            <w:shd w:val="clear" w:color="auto" w:fill="auto"/>
            <w:vAlign w:val="center"/>
          </w:tcPr>
          <w:p>
            <w:pPr>
              <w:rPr>
                <w:rFonts w:ascii="仿宋_GB2312" w:hAnsi="宋体" w:eastAsia="仿宋_GB2312" w:cs="宋体"/>
                <w:color w:val="000000"/>
                <w:sz w:val="21"/>
                <w:szCs w:val="21"/>
              </w:rPr>
            </w:pPr>
          </w:p>
        </w:tc>
        <w:tc>
          <w:tcPr>
            <w:tcW w:w="1348" w:type="dxa"/>
            <w:vMerge w:val="continue"/>
            <w:shd w:val="clear" w:color="auto" w:fill="auto"/>
            <w:vAlign w:val="center"/>
          </w:tcPr>
          <w:p>
            <w:pPr>
              <w:rPr>
                <w:rFonts w:ascii="仿宋_GB2312" w:hAnsi="宋体" w:eastAsia="仿宋_GB2312"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PrEx>
        <w:trPr>
          <w:cantSplit/>
          <w:trHeight w:val="767"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部门效果</w:t>
            </w:r>
          </w:p>
        </w:tc>
        <w:tc>
          <w:tcPr>
            <w:tcW w:w="709" w:type="dxa"/>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社会</w:t>
            </w:r>
          </w:p>
          <w:p>
            <w:pPr>
              <w:jc w:val="center"/>
              <w:rPr>
                <w:rFonts w:ascii="仿宋_GB2312" w:eastAsia="仿宋_GB2312"/>
                <w:color w:val="000000"/>
                <w:sz w:val="21"/>
                <w:szCs w:val="21"/>
              </w:rPr>
            </w:pPr>
            <w:r>
              <w:rPr>
                <w:rFonts w:hint="eastAsia" w:ascii="仿宋_GB2312" w:eastAsia="仿宋_GB2312"/>
                <w:color w:val="000000"/>
                <w:sz w:val="21"/>
                <w:szCs w:val="21"/>
              </w:rPr>
              <w:t>效益</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义务教育高质量发展</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学生、家长、社会对学校整体满意度达到</w:t>
            </w:r>
            <w:r>
              <w:rPr>
                <w:rStyle w:val="35"/>
                <w:rFonts w:eastAsia="仿宋_GB2312"/>
              </w:rPr>
              <w:t>95%</w:t>
            </w:r>
            <w:r>
              <w:rPr>
                <w:rStyle w:val="34"/>
                <w:rFonts w:hint="default"/>
              </w:rPr>
              <w:t>得权重分</w:t>
            </w:r>
            <w:r>
              <w:rPr>
                <w:rStyle w:val="35"/>
                <w:rFonts w:eastAsia="仿宋_GB2312"/>
              </w:rPr>
              <w:t>100%</w:t>
            </w:r>
            <w:r>
              <w:rPr>
                <w:rStyle w:val="34"/>
                <w:rFonts w:hint="default"/>
              </w:rPr>
              <w:t>，每降低</w:t>
            </w:r>
            <w:r>
              <w:rPr>
                <w:rStyle w:val="35"/>
                <w:rFonts w:eastAsia="仿宋_GB2312"/>
              </w:rPr>
              <w:t>1%</w:t>
            </w:r>
            <w:r>
              <w:rPr>
                <w:rStyle w:val="34"/>
                <w:rFonts w:hint="default"/>
              </w:rPr>
              <w:t>扣扣</w:t>
            </w:r>
            <w:r>
              <w:rPr>
                <w:rStyle w:val="35"/>
                <w:rFonts w:eastAsia="仿宋_GB2312"/>
              </w:rPr>
              <w:t>10%</w:t>
            </w:r>
            <w:r>
              <w:rPr>
                <w:rStyle w:val="34"/>
                <w:rFonts w:hint="default"/>
              </w:rPr>
              <w:t>的权重分，扣完为止。低于</w:t>
            </w:r>
            <w:r>
              <w:rPr>
                <w:rStyle w:val="35"/>
                <w:rFonts w:eastAsia="仿宋_GB2312"/>
              </w:rPr>
              <w:t>60%</w:t>
            </w:r>
            <w:r>
              <w:rPr>
                <w:rStyle w:val="34"/>
                <w:rFonts w:hint="default"/>
              </w:rPr>
              <w:t>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推动义务教育从数量扩张向质量提高转变</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sz w:val="21"/>
                <w:szCs w:val="21"/>
              </w:rPr>
            </w:pPr>
            <w:r>
              <w:rPr>
                <w:rFonts w:hint="eastAsia" w:ascii="仿宋_GB2312" w:eastAsia="仿宋_GB2312"/>
                <w:color w:val="000000"/>
                <w:sz w:val="21"/>
                <w:szCs w:val="21"/>
              </w:rPr>
              <w:t>满意度</w:t>
            </w:r>
          </w:p>
        </w:tc>
        <w:tc>
          <w:tcPr>
            <w:tcW w:w="1843"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在校师生的满意程度</w:t>
            </w:r>
          </w:p>
        </w:tc>
        <w:tc>
          <w:tcPr>
            <w:tcW w:w="5877"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061"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在校师生的满意人数占所有人数的比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仿宋_GB2312" w:hAnsi="宋体" w:eastAsia="仿宋_GB2312" w:cs="宋体"/>
                <w:color w:val="000000"/>
                <w:sz w:val="21"/>
                <w:szCs w:val="21"/>
              </w:rPr>
            </w:pPr>
          </w:p>
        </w:tc>
        <w:tc>
          <w:tcPr>
            <w:tcW w:w="709" w:type="dxa"/>
            <w:vMerge w:val="continue"/>
            <w:shd w:val="clear" w:color="auto" w:fill="auto"/>
            <w:vAlign w:val="center"/>
          </w:tcPr>
          <w:p>
            <w:pPr>
              <w:rPr>
                <w:rFonts w:ascii="仿宋_GB2312" w:hAnsi="宋体" w:eastAsia="仿宋_GB2312" w:cs="宋体"/>
                <w:color w:val="000000"/>
                <w:sz w:val="21"/>
                <w:szCs w:val="21"/>
              </w:rPr>
            </w:pPr>
          </w:p>
        </w:tc>
        <w:tc>
          <w:tcPr>
            <w:tcW w:w="1843"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家长的满意程度</w:t>
            </w:r>
          </w:p>
        </w:tc>
        <w:tc>
          <w:tcPr>
            <w:tcW w:w="5877"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Style w:val="34"/>
                <w:rFonts w:hint="default"/>
              </w:rPr>
              <w:t>达到目标得权重分的</w:t>
            </w:r>
            <w:r>
              <w:rPr>
                <w:rStyle w:val="35"/>
                <w:rFonts w:eastAsia="仿宋_GB2312"/>
              </w:rPr>
              <w:t>100%</w:t>
            </w:r>
            <w:r>
              <w:rPr>
                <w:rStyle w:val="34"/>
                <w:rFonts w:hint="default"/>
              </w:rPr>
              <w:t>，每降低</w:t>
            </w:r>
            <w:r>
              <w:rPr>
                <w:rStyle w:val="35"/>
                <w:rFonts w:eastAsia="仿宋_GB2312"/>
              </w:rPr>
              <w:t>5%</w:t>
            </w:r>
            <w:r>
              <w:rPr>
                <w:rStyle w:val="34"/>
                <w:rFonts w:hint="default"/>
              </w:rPr>
              <w:t>扣减权重分的</w:t>
            </w:r>
            <w:r>
              <w:rPr>
                <w:rStyle w:val="35"/>
                <w:rFonts w:eastAsia="仿宋_GB2312"/>
              </w:rPr>
              <w:t>10%</w:t>
            </w:r>
            <w:r>
              <w:rPr>
                <w:rStyle w:val="34"/>
                <w:rFonts w:hint="default"/>
              </w:rPr>
              <w:t>，低于</w:t>
            </w:r>
            <w:r>
              <w:rPr>
                <w:rStyle w:val="35"/>
                <w:rFonts w:eastAsia="仿宋_GB2312"/>
              </w:rPr>
              <w:t>60%</w:t>
            </w:r>
            <w:r>
              <w:rPr>
                <w:rStyle w:val="34"/>
                <w:rFonts w:hint="default"/>
              </w:rPr>
              <w:t>不得分</w:t>
            </w:r>
          </w:p>
        </w:tc>
        <w:tc>
          <w:tcPr>
            <w:tcW w:w="2061" w:type="dxa"/>
            <w:shd w:val="clear" w:color="auto" w:fill="auto"/>
            <w:noWrap/>
            <w:tcMar>
              <w:top w:w="15" w:type="dxa"/>
              <w:left w:w="15" w:type="dxa"/>
              <w:bottom w:w="0" w:type="dxa"/>
              <w:right w:w="15" w:type="dxa"/>
            </w:tcMar>
            <w:vAlign w:val="center"/>
          </w:tcPr>
          <w:p>
            <w:pPr>
              <w:rPr>
                <w:rFonts w:ascii="仿宋_GB2312" w:eastAsia="仿宋_GB2312"/>
                <w:color w:val="000000"/>
                <w:sz w:val="21"/>
                <w:szCs w:val="21"/>
              </w:rPr>
            </w:pPr>
            <w:r>
              <w:rPr>
                <w:rFonts w:hint="eastAsia" w:ascii="仿宋_GB2312" w:eastAsia="仿宋_GB2312"/>
                <w:color w:val="000000"/>
                <w:sz w:val="21"/>
                <w:szCs w:val="21"/>
              </w:rPr>
              <w:t>家长的满意人数占所有人数的比</w:t>
            </w:r>
          </w:p>
        </w:tc>
        <w:tc>
          <w:tcPr>
            <w:tcW w:w="567" w:type="dxa"/>
            <w:shd w:val="clear" w:color="auto" w:fill="auto"/>
            <w:tcMar>
              <w:top w:w="15" w:type="dxa"/>
              <w:left w:w="15" w:type="dxa"/>
              <w:bottom w:w="0" w:type="dxa"/>
              <w:right w:w="15" w:type="dxa"/>
            </w:tcMar>
            <w:vAlign w:val="center"/>
          </w:tcPr>
          <w:p>
            <w:pPr>
              <w:jc w:val="center"/>
              <w:rPr>
                <w:rFonts w:eastAsia="宋体"/>
                <w:color w:val="000000"/>
                <w:sz w:val="21"/>
                <w:szCs w:val="21"/>
              </w:rPr>
            </w:pPr>
            <w:r>
              <w:rPr>
                <w:color w:val="000000"/>
                <w:sz w:val="21"/>
                <w:szCs w:val="21"/>
              </w:rPr>
              <w:t>≥</w:t>
            </w:r>
          </w:p>
        </w:tc>
        <w:tc>
          <w:tcPr>
            <w:tcW w:w="709"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95</w:t>
            </w:r>
          </w:p>
        </w:tc>
        <w:tc>
          <w:tcPr>
            <w:tcW w:w="1134" w:type="dxa"/>
            <w:shd w:val="clear" w:color="auto" w:fill="auto"/>
            <w:tcMar>
              <w:top w:w="15" w:type="dxa"/>
              <w:left w:w="15" w:type="dxa"/>
              <w:bottom w:w="0" w:type="dxa"/>
              <w:right w:w="15" w:type="dxa"/>
            </w:tcMar>
            <w:vAlign w:val="center"/>
          </w:tcPr>
          <w:p>
            <w:pPr>
              <w:jc w:val="center"/>
              <w:rPr>
                <w:color w:val="000000"/>
                <w:sz w:val="21"/>
                <w:szCs w:val="21"/>
              </w:rPr>
            </w:pPr>
            <w:r>
              <w:rPr>
                <w:color w:val="000000"/>
                <w:sz w:val="21"/>
                <w:szCs w:val="21"/>
              </w:rPr>
              <w:t>%</w:t>
            </w:r>
          </w:p>
        </w:tc>
        <w:tc>
          <w:tcPr>
            <w:tcW w:w="1348" w:type="dxa"/>
            <w:shd w:val="clear" w:color="auto" w:fill="auto"/>
            <w:tcMar>
              <w:top w:w="15" w:type="dxa"/>
              <w:left w:w="15" w:type="dxa"/>
              <w:bottom w:w="0" w:type="dxa"/>
              <w:right w:w="15" w:type="dxa"/>
            </w:tcMar>
            <w:vAlign w:val="center"/>
          </w:tcPr>
          <w:p>
            <w:pPr>
              <w:rPr>
                <w:rFonts w:ascii="仿宋_GB2312" w:hAnsi="宋体" w:eastAsia="仿宋_GB2312" w:cs="宋体"/>
                <w:color w:val="000000"/>
                <w:sz w:val="21"/>
                <w:szCs w:val="21"/>
              </w:rPr>
            </w:pPr>
            <w:r>
              <w:rPr>
                <w:rFonts w:hint="eastAsia" w:ascii="仿宋_GB2312" w:eastAsia="仿宋_GB2312"/>
                <w:color w:val="000000"/>
                <w:sz w:val="21"/>
                <w:szCs w:val="21"/>
              </w:rPr>
              <w:t>调查问卷</w:t>
            </w:r>
          </w:p>
        </w:tc>
      </w:tr>
    </w:tbl>
    <w:p>
      <w:pPr>
        <w:ind w:firstLine="640"/>
        <w:rPr>
          <w:rFonts w:ascii="方正楷体_GBK" w:hAnsi="方正楷体_GBK" w:eastAsia="方正楷体_GBK" w:cs="方正楷体_GBK"/>
          <w:b/>
          <w:color w:val="000000"/>
          <w:sz w:val="32"/>
          <w:lang w:eastAsia="zh-CN"/>
        </w:rPr>
      </w:pPr>
      <w:r>
        <w:rPr>
          <w:rFonts w:ascii="方正楷体_GBK" w:hAnsi="方正楷体_GBK" w:eastAsia="方正楷体_GBK" w:cs="方正楷体_GBK"/>
          <w:b/>
          <w:color w:val="000000"/>
          <w:sz w:val="32"/>
        </w:rPr>
        <w:t>第二部分  预算项目绩效目标</w:t>
      </w:r>
    </w:p>
    <w:p>
      <w:pPr>
        <w:ind w:firstLine="640"/>
      </w:pPr>
      <w:r>
        <w:rPr>
          <w:rFonts w:ascii="方正仿宋_GBK" w:hAnsi="方正仿宋_GBK" w:eastAsia="方正仿宋_GBK" w:cs="方正仿宋_GBK"/>
          <w:b/>
          <w:color w:val="000000"/>
          <w:sz w:val="28"/>
        </w:rPr>
        <w:t>1、义务教育学校生均公用经费资金[区级]绩效目标表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1.廊坊市第九小学对2023年在校学生2885人，按照义务教育生均公用经费标准申请财政预算资金，通过合理、合规使用资金达到保证学校正常运转，改善办学条件，促进义务教育发展。</w:t>
            </w:r>
          </w:p>
        </w:tc>
      </w:tr>
    </w:tbl>
    <w:p>
      <w:pPr>
        <w:spacing w:line="2" w:lineRule="exact"/>
        <w:jc w:val="cente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生均公用经费保障的学生人数</w:t>
            </w:r>
          </w:p>
        </w:tc>
        <w:tc>
          <w:tcPr>
            <w:tcW w:w="2835" w:type="dxa"/>
            <w:vAlign w:val="center"/>
          </w:tcPr>
          <w:p>
            <w:pPr>
              <w:pStyle w:val="17"/>
            </w:pPr>
            <w:r>
              <w:t>保障使用生均公用经费的实际校学生人数</w:t>
            </w:r>
          </w:p>
        </w:tc>
        <w:tc>
          <w:tcPr>
            <w:tcW w:w="2551" w:type="dxa"/>
            <w:vAlign w:val="center"/>
          </w:tcPr>
          <w:p>
            <w:pPr>
              <w:pStyle w:val="17"/>
            </w:pPr>
            <w:r>
              <w:t>2885人</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生均公用经费使用的合规率</w:t>
            </w:r>
          </w:p>
        </w:tc>
        <w:tc>
          <w:tcPr>
            <w:tcW w:w="2835" w:type="dxa"/>
            <w:vAlign w:val="center"/>
          </w:tcPr>
          <w:p>
            <w:pPr>
              <w:pStyle w:val="17"/>
            </w:pPr>
            <w:r>
              <w:t>生均公用经费使用符合文件中的相关规定</w:t>
            </w:r>
          </w:p>
        </w:tc>
        <w:tc>
          <w:tcPr>
            <w:tcW w:w="2551" w:type="dxa"/>
            <w:vAlign w:val="center"/>
          </w:tcPr>
          <w:p>
            <w:pPr>
              <w:pStyle w:val="17"/>
            </w:pPr>
            <w:r>
              <w:t>100%</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用于保障学校正常运转项目完成及时率</w:t>
            </w:r>
          </w:p>
        </w:tc>
        <w:tc>
          <w:tcPr>
            <w:tcW w:w="2835" w:type="dxa"/>
            <w:vAlign w:val="center"/>
          </w:tcPr>
          <w:p>
            <w:pPr>
              <w:pStyle w:val="17"/>
            </w:pPr>
            <w:r>
              <w:t>使用生均公用经费，用于保障学校正常运转的项目完成情况</w:t>
            </w:r>
          </w:p>
        </w:tc>
        <w:tc>
          <w:tcPr>
            <w:tcW w:w="2551" w:type="dxa"/>
            <w:vAlign w:val="center"/>
          </w:tcPr>
          <w:p>
            <w:pPr>
              <w:pStyle w:val="17"/>
            </w:pPr>
            <w:r>
              <w:t>100%</w:t>
            </w:r>
          </w:p>
        </w:tc>
        <w:tc>
          <w:tcPr>
            <w:tcW w:w="2268" w:type="dxa"/>
            <w:vAlign w:val="center"/>
          </w:tcPr>
          <w:p>
            <w:pPr>
              <w:pStyle w:val="17"/>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使用生均公用经费，用于保障学校正常运转的项目支出成本</w:t>
            </w:r>
          </w:p>
        </w:tc>
        <w:tc>
          <w:tcPr>
            <w:tcW w:w="2835" w:type="dxa"/>
            <w:vAlign w:val="center"/>
          </w:tcPr>
          <w:p>
            <w:pPr>
              <w:pStyle w:val="17"/>
            </w:pPr>
            <w:r>
              <w:t>使用生均公用经费，用于保障学校正常运转的项目支出成本等于935元/生</w:t>
            </w:r>
          </w:p>
        </w:tc>
        <w:tc>
          <w:tcPr>
            <w:tcW w:w="2551" w:type="dxa"/>
            <w:vAlign w:val="center"/>
          </w:tcPr>
          <w:p>
            <w:pPr>
              <w:pStyle w:val="17"/>
            </w:pPr>
            <w:r>
              <w:t>735元</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义务教育高质量发展</w:t>
            </w:r>
          </w:p>
        </w:tc>
        <w:tc>
          <w:tcPr>
            <w:tcW w:w="2835" w:type="dxa"/>
            <w:vAlign w:val="center"/>
          </w:tcPr>
          <w:p>
            <w:pPr>
              <w:pStyle w:val="17"/>
            </w:pPr>
            <w:r>
              <w:t>该资金用于学校正常运转，改善办学条件，促进义务教育均衡发展及学生素质提高</w:t>
            </w:r>
          </w:p>
        </w:tc>
        <w:tc>
          <w:tcPr>
            <w:tcW w:w="2551" w:type="dxa"/>
            <w:vAlign w:val="center"/>
          </w:tcPr>
          <w:p>
            <w:pPr>
              <w:pStyle w:val="17"/>
            </w:pPr>
            <w:r>
              <w:t>支持</w:t>
            </w:r>
          </w:p>
        </w:tc>
        <w:tc>
          <w:tcPr>
            <w:tcW w:w="2268" w:type="dxa"/>
            <w:vAlign w:val="center"/>
          </w:tcPr>
          <w:p>
            <w:pPr>
              <w:pStyle w:val="17"/>
            </w:pPr>
            <w:r>
              <w:t>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在校师生的满意程度</w:t>
            </w:r>
          </w:p>
        </w:tc>
        <w:tc>
          <w:tcPr>
            <w:tcW w:w="2835" w:type="dxa"/>
            <w:vAlign w:val="center"/>
          </w:tcPr>
          <w:p>
            <w:pPr>
              <w:pStyle w:val="17"/>
            </w:pPr>
            <w:r>
              <w:t>在校师生的满意程度</w:t>
            </w:r>
          </w:p>
        </w:tc>
        <w:tc>
          <w:tcPr>
            <w:tcW w:w="2551" w:type="dxa"/>
            <w:vAlign w:val="center"/>
          </w:tcPr>
          <w:p>
            <w:pPr>
              <w:pStyle w:val="17"/>
            </w:pPr>
            <w:r>
              <w:t>≥95%</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2023年，廊坊市第九小学安排政府采购预算0.00万元。具体内容见下表。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456廊坊市第九小学</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8"/>
            </w:pPr>
          </w:p>
        </w:tc>
        <w:tc>
          <w:tcPr>
            <w:tcW w:w="850" w:type="dxa"/>
            <w:vAlign w:val="center"/>
          </w:tcPr>
          <w:p>
            <w:pPr>
              <w:pStyle w:val="16"/>
            </w:pPr>
          </w:p>
        </w:tc>
        <w:tc>
          <w:tcPr>
            <w:tcW w:w="850"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廊坊市第九小学（含所属单位）上年末固定资产金额为931.14万元（详见下表）。本年度拟购置固定资产总额为65.76万元，已按要求列入政府采购预算，详见政府采购预算表。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456廊坊市第九小学</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931.14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6365</w:t>
            </w:r>
          </w:p>
        </w:tc>
        <w:tc>
          <w:tcPr>
            <w:tcW w:w="2835" w:type="dxa"/>
            <w:vAlign w:val="center"/>
          </w:tcPr>
          <w:p>
            <w:pPr>
              <w:pStyle w:val="16"/>
            </w:pPr>
            <w:r>
              <w:t>267.25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5465</w:t>
            </w:r>
          </w:p>
        </w:tc>
        <w:tc>
          <w:tcPr>
            <w:tcW w:w="2835" w:type="dxa"/>
            <w:vAlign w:val="center"/>
          </w:tcPr>
          <w:p>
            <w:pPr>
              <w:pStyle w:val="16"/>
            </w:pPr>
            <w:r>
              <w:t>203.85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1006</w:t>
            </w:r>
          </w:p>
        </w:tc>
        <w:tc>
          <w:tcPr>
            <w:tcW w:w="2835" w:type="dxa"/>
            <w:vAlign w:val="center"/>
          </w:tcPr>
          <w:p>
            <w:pPr>
              <w:pStyle w:val="16"/>
            </w:pPr>
            <w:r>
              <w:t>663.89</w:t>
            </w:r>
          </w:p>
        </w:tc>
      </w:tr>
    </w:tbl>
    <w:p>
      <w:pPr>
        <w:ind w:firstLine="640"/>
      </w:pP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51394"/>
    <w:rsid w:val="00253926"/>
    <w:rsid w:val="003F0AB6"/>
    <w:rsid w:val="00451394"/>
    <w:rsid w:val="004D591D"/>
    <w:rsid w:val="00825B70"/>
    <w:rsid w:val="008435DC"/>
    <w:rsid w:val="008A2F20"/>
    <w:rsid w:val="00AE09B0"/>
    <w:rsid w:val="00E12F2A"/>
    <w:rsid w:val="00E746FF"/>
    <w:rsid w:val="00FC7989"/>
    <w:rsid w:val="7036675E"/>
    <w:rsid w:val="78871C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7"/>
    <w:semiHidden/>
    <w:unhideWhenUsed/>
    <w:uiPriority w:val="99"/>
    <w:pPr>
      <w:tabs>
        <w:tab w:val="center" w:pos="4153"/>
        <w:tab w:val="right" w:pos="8306"/>
      </w:tabs>
      <w:snapToGrid w:val="0"/>
    </w:pPr>
    <w:rPr>
      <w:sz w:val="18"/>
      <w:szCs w:val="18"/>
    </w:rPr>
  </w:style>
  <w:style w:type="paragraph" w:styleId="4">
    <w:name w:val="header"/>
    <w:basedOn w:val="1"/>
    <w:link w:val="36"/>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31"/>
    <w:basedOn w:val="10"/>
    <w:qFormat/>
    <w:uiPriority w:val="0"/>
    <w:rPr>
      <w:rFonts w:hint="eastAsia" w:ascii="仿宋_GB2312" w:eastAsia="仿宋_GB2312"/>
      <w:color w:val="000000"/>
      <w:sz w:val="21"/>
      <w:szCs w:val="21"/>
      <w:u w:val="none"/>
    </w:rPr>
  </w:style>
  <w:style w:type="character" w:customStyle="1" w:styleId="35">
    <w:name w:val="font21"/>
    <w:basedOn w:val="10"/>
    <w:qFormat/>
    <w:uiPriority w:val="0"/>
    <w:rPr>
      <w:rFonts w:hint="default" w:ascii="Times New Roman" w:hAnsi="Times New Roman" w:cs="Times New Roman"/>
      <w:color w:val="000000"/>
      <w:sz w:val="21"/>
      <w:szCs w:val="21"/>
      <w:u w:val="none"/>
    </w:rPr>
  </w:style>
  <w:style w:type="character" w:customStyle="1" w:styleId="36">
    <w:name w:val="页眉 Char"/>
    <w:basedOn w:val="10"/>
    <w:link w:val="4"/>
    <w:semiHidden/>
    <w:qFormat/>
    <w:uiPriority w:val="99"/>
    <w:rPr>
      <w:rFonts w:eastAsia="Times New Roman"/>
      <w:sz w:val="18"/>
      <w:szCs w:val="18"/>
      <w:lang w:eastAsia="uk-UA"/>
    </w:rPr>
  </w:style>
  <w:style w:type="character" w:customStyle="1" w:styleId="37">
    <w:name w:val="页脚 Char"/>
    <w:basedOn w:val="10"/>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2023-03-13T11:07:57Z</dcterms:created>
  <dcterms:modified xsi:type="dcterms:W3CDTF">2023-03-13T03:07:57Z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2023-03-13T11:08:01Z</dcterms:created>
  <dcterms:modified xsi:type="dcterms:W3CDTF">2023-03-13T03:08:01Z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2023-03-13T11:08:01Z</dcterms:created>
  <dcterms:modified xsi:type="dcterms:W3CDTF">2023-03-13T03:08:01Z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2023-03-13T11:08:00Z</dcterms:created>
  <dcterms:modified xsi:type="dcterms:W3CDTF">2023-03-13T03:08:00Z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2023-03-13T11:07:58Z</dcterms:created>
  <dcterms:modified xsi:type="dcterms:W3CDTF">2023-03-13T03:07:58Z</dcterms:modified>
</cp:coreProperties>
</file>

<file path=customXml/itemProps1.xml><?xml version="1.0" encoding="utf-8"?>
<ds:datastoreItem xmlns:ds="http://schemas.openxmlformats.org/officeDocument/2006/customXml" ds:itemID="{0AC2BA0C-DD72-47DE-96E2-D54C628AB92E}">
  <ds:schemaRefs/>
</ds:datastoreItem>
</file>

<file path=customXml/itemProps10.xml><?xml version="1.0" encoding="utf-8"?>
<ds:datastoreItem xmlns:ds="http://schemas.openxmlformats.org/officeDocument/2006/customXml" ds:itemID="{CAB246D1-E4FC-4CFF-BC98-6C2DF9A27893}">
  <ds:schemaRefs/>
</ds:datastoreItem>
</file>

<file path=customXml/itemProps11.xml><?xml version="1.0" encoding="utf-8"?>
<ds:datastoreItem xmlns:ds="http://schemas.openxmlformats.org/officeDocument/2006/customXml" ds:itemID="{D6ED2513-5C41-4DA4-AA38-5A0425CE7489}">
  <ds:schemaRefs/>
</ds:datastoreItem>
</file>

<file path=customXml/itemProps12.xml><?xml version="1.0" encoding="utf-8"?>
<ds:datastoreItem xmlns:ds="http://schemas.openxmlformats.org/officeDocument/2006/customXml" ds:itemID="{D57D3724-2C5A-4B6C-912D-EA6C380E5058}">
  <ds:schemaRefs/>
</ds:datastoreItem>
</file>

<file path=customXml/itemProps13.xml><?xml version="1.0" encoding="utf-8"?>
<ds:datastoreItem xmlns:ds="http://schemas.openxmlformats.org/officeDocument/2006/customXml" ds:itemID="{DD7F9A2B-92CF-4752-8ED8-D39F116BCE88}">
  <ds:schemaRefs/>
</ds:datastoreItem>
</file>

<file path=customXml/itemProps14.xml><?xml version="1.0" encoding="utf-8"?>
<ds:datastoreItem xmlns:ds="http://schemas.openxmlformats.org/officeDocument/2006/customXml" ds:itemID="{B6CCC28E-2A7B-424C-B07F-5F67F43C913A}">
  <ds:schemaRefs/>
</ds:datastoreItem>
</file>

<file path=customXml/itemProps2.xml><?xml version="1.0" encoding="utf-8"?>
<ds:datastoreItem xmlns:ds="http://schemas.openxmlformats.org/officeDocument/2006/customXml" ds:itemID="{18345AF3-5E2E-40A2-B8EC-A9B09A6DFF0C}">
  <ds:schemaRefs/>
</ds:datastoreItem>
</file>

<file path=customXml/itemProps3.xml><?xml version="1.0" encoding="utf-8"?>
<ds:datastoreItem xmlns:ds="http://schemas.openxmlformats.org/officeDocument/2006/customXml" ds:itemID="{5D81FA35-7E2A-426F-B763-EC720F57A708}">
  <ds:schemaRefs/>
</ds:datastoreItem>
</file>

<file path=customXml/itemProps4.xml><?xml version="1.0" encoding="utf-8"?>
<ds:datastoreItem xmlns:ds="http://schemas.openxmlformats.org/officeDocument/2006/customXml" ds:itemID="{F9728B3A-0F1A-40B5-85DE-9FF5456B77CC}">
  <ds:schemaRefs/>
</ds:datastoreItem>
</file>

<file path=customXml/itemProps5.xml><?xml version="1.0" encoding="utf-8"?>
<ds:datastoreItem xmlns:ds="http://schemas.openxmlformats.org/officeDocument/2006/customXml" ds:itemID="{421FAAC1-7039-4866-9EFF-4DFC4832C2C5}">
  <ds:schemaRefs/>
</ds:datastoreItem>
</file>

<file path=customXml/itemProps6.xml><?xml version="1.0" encoding="utf-8"?>
<ds:datastoreItem xmlns:ds="http://schemas.openxmlformats.org/officeDocument/2006/customXml" ds:itemID="{F3129B5A-7DC2-4B5B-89A3-4664569F72ED}">
  <ds:schemaRefs/>
</ds:datastoreItem>
</file>

<file path=customXml/itemProps7.xml><?xml version="1.0" encoding="utf-8"?>
<ds:datastoreItem xmlns:ds="http://schemas.openxmlformats.org/officeDocument/2006/customXml" ds:itemID="{B5F7F856-E559-4FDE-96AC-483856E72249}">
  <ds:schemaRefs/>
</ds:datastoreItem>
</file>

<file path=customXml/itemProps8.xml><?xml version="1.0" encoding="utf-8"?>
<ds:datastoreItem xmlns:ds="http://schemas.openxmlformats.org/officeDocument/2006/customXml" ds:itemID="{B100FF10-DFF2-4564-BCF5-BFF6425BE182}">
  <ds:schemaRefs/>
</ds:datastoreItem>
</file>

<file path=customXml/itemProps9.xml><?xml version="1.0" encoding="utf-8"?>
<ds:datastoreItem xmlns:ds="http://schemas.openxmlformats.org/officeDocument/2006/customXml" ds:itemID="{1D52CF16-04B0-41BD-82A1-F8DB84C4CF4A}">
  <ds:schemaRefs/>
</ds:datastoreItem>
</file>

<file path=docProps/app.xml><?xml version="1.0" encoding="utf-8"?>
<Properties xmlns="http://schemas.openxmlformats.org/officeDocument/2006/extended-properties" xmlns:vt="http://schemas.openxmlformats.org/officeDocument/2006/docPropsVTypes">
  <Template>Normal</Template>
  <Pages>24</Pages>
  <Words>1479</Words>
  <Characters>8435</Characters>
  <Lines>70</Lines>
  <Paragraphs>19</Paragraphs>
  <TotalTime>4</TotalTime>
  <ScaleCrop>false</ScaleCrop>
  <LinksUpToDate>false</LinksUpToDate>
  <CharactersWithSpaces>9895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2023-03-13T11:08:00Z</dcterms:created>
  <dc:creator>111</dc:creator>
  <cp:lastModifiedBy>Administrator</cp:lastModifiedBy>
  <dcterms:modified xsi:type="dcterms:W3CDTF">2024-01-10T09:27:33Z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ADA47082854D42BC8227FE92AD39BCC2</vt:lpwstr>
  </property>
</Properties>
</file>