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hint="eastAsia"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广阳区住房和城乡建设局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廊坊市广阳区住房和城乡建设局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（一）贯彻执行国家、省、市住房城乡建设的方针、政策和法律、法规；研究提出住房城乡建设重大问题的政策建议；参与拟定相关规范性文件；负责区住房城乡建设行业安全生产监管。</w:t>
      </w:r>
    </w:p>
    <w:p>
      <w:pPr>
        <w:spacing w:line="579"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（二）负责组织实施工程建设实施阶段的国家标准及全国统一的行业标准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贯彻落实工程建设标准和工程量计量规则工作；负责区属建筑企业及建筑业相关企业的行业管理工作；负责区属建筑市场房屋建筑、市政基础设施的工程质量及施工安全的监督；组织推动建筑节能减排相关工作。</w:t>
      </w:r>
      <w:r>
        <w:rPr>
          <w:rFonts w:ascii="Times New Roman" w:hAnsi="Times New Roman" w:eastAsia="仿宋_GB2312" w:cs="Times New Roman"/>
          <w:sz w:val="32"/>
          <w:szCs w:val="32"/>
        </w:rPr>
        <w:t xml:space="preserve"> </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直管公房的管理及房改政策贯彻落实工作；配合市住房和城乡建设局做好辖区居民保障性住房申请条件的初步复核工作；负责区属集中供热设施的建设和运行管理；负责棚户区改造的相关管理工作；负责实施国有土地上房屋征收与补偿工作。</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（四）负责区属建筑市场的管理工作；负责国家、省、市规定必须招标的房屋建筑和市政基础设施工程招标投标活动的监督工作；组织查处住房城乡建设领域依法应由区住房和城乡建设局实施行政处罚的案件。</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指导全区村镇建设和管理工作；指导建制镇生活垃圾及农村生活垃圾收运处置体系建设；负责村镇建设工程标准、民居通用设计图的研究、指导和推广工作；指导城区、农村、铁路沿线、城乡结合部的环境卫生管理工作。</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（六）负责为油田、铁路建设提供支援帮助，及时反馈油田、铁路建设的有关信息。</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（七）贯彻党和国家关于人民防空工作的方针政策和决策部署，落实人民防空法律法规和规章；配合开展防空警报试鸣工作；负责区级指挥场所和设施设备建设、使用、维护和管理；</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开展防空防灾宣传教育，普及防空防灾知识。</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（八）开展区住房城乡建设方面的对外交流与合作。</w:t>
      </w:r>
    </w:p>
    <w:p>
      <w:pPr>
        <w:spacing w:line="579"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（九）完成区委、区政府交办的其它任务。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廊坊市广阳区住房和城乡建设局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p>
        </w:tc>
        <w:tc>
          <w:tcPr>
            <w:tcW w:w="1134" w:type="dxa"/>
            <w:shd w:val="clear" w:color="auto" w:fill="auto"/>
            <w:vAlign w:val="center"/>
          </w:tcPr>
          <w:p>
            <w:pPr>
              <w:spacing w:line="584" w:lineRule="exact"/>
              <w:jc w:val="center"/>
              <w:rPr>
                <w:rFonts w:ascii="Times New Roman" w:hAnsi="Times New Roman" w:eastAsia="仿宋_GB2312" w:cs="Times New Roman"/>
                <w:b/>
              </w:rPr>
            </w:pPr>
          </w:p>
        </w:tc>
        <w:tc>
          <w:tcPr>
            <w:tcW w:w="1276" w:type="dxa"/>
            <w:shd w:val="clear" w:color="auto" w:fill="auto"/>
            <w:vAlign w:val="center"/>
          </w:tcPr>
          <w:p>
            <w:pPr>
              <w:spacing w:line="584" w:lineRule="exact"/>
              <w:jc w:val="center"/>
              <w:rPr>
                <w:rFonts w:ascii="Times New Roman" w:hAnsi="Times New Roman" w:eastAsia="仿宋_GB2312" w:cs="Times New Roman"/>
                <w:b/>
              </w:rPr>
            </w:pPr>
          </w:p>
        </w:tc>
        <w:tc>
          <w:tcPr>
            <w:tcW w:w="2902" w:type="dxa"/>
            <w:shd w:val="clear" w:color="auto" w:fill="auto"/>
            <w:vAlign w:val="center"/>
          </w:tcPr>
          <w:p>
            <w:pPr>
              <w:spacing w:line="584" w:lineRule="exact"/>
              <w:jc w:val="center"/>
              <w:rPr>
                <w:rFonts w:ascii="Times New Roman" w:hAnsi="Times New Roman" w:eastAsia="仿宋_GB2312" w:cs="Times New Roman"/>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w:t>
      </w:r>
      <w:r>
        <w:rPr>
          <w:rFonts w:hint="eastAsia" w:ascii="Times New Roman" w:hAnsi="Times New Roman" w:eastAsia="仿宋_GB2312" w:cs="Times New Roman"/>
          <w:sz w:val="32"/>
          <w:szCs w:val="32"/>
        </w:rPr>
        <w:t>广阳区住房和城乡建设局</w:t>
      </w:r>
      <w:r>
        <w:rPr>
          <w:rFonts w:ascii="Times New Roman" w:hAnsi="Times New Roman" w:eastAsia="仿宋_GB2312" w:cs="Times New Roman"/>
          <w:sz w:val="32"/>
          <w:szCs w:val="32"/>
        </w:rPr>
        <w:t>机关及所属事业单位的收支包含在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rPr>
        <w:t>级</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13903.17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7187.79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6715.38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广阳区住房和城乡建设局2022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本级</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13903.17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1042.71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922.08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120.63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12806.46</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对下补助支出，主要为</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13903.17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6998.70</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393.62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7392.32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节能环保支出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城乡社区支出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住房保障支出</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120.63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广阳区住房和城乡建设局</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ascii="Times New Roman" w:hAnsi="Times New Roman" w:eastAsia="仿宋_GB2312" w:cs="Times New Roman"/>
          <w:color w:val="000000" w:themeColor="text1"/>
          <w:sz w:val="32"/>
          <w:szCs w:val="32"/>
          <w14:textFill>
            <w14:solidFill>
              <w14:schemeClr w14:val="tx1"/>
            </w14:solidFill>
          </w14:textFill>
        </w:rPr>
        <w:t>无增减变化。</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公务用车购置及运维费增</w:t>
      </w:r>
      <w:r>
        <w:rPr>
          <w:rFonts w:hint="eastAsia" w:ascii="Times New Roman" w:hAnsi="Times New Roman" w:eastAsia="仿宋_GB2312" w:cs="Times New Roman"/>
          <w:sz w:val="32"/>
          <w:szCs w:val="32"/>
        </w:rPr>
        <w:t>加0</w:t>
      </w:r>
      <w:r>
        <w:rPr>
          <w:rFonts w:ascii="Times New Roman" w:hAnsi="Times New Roman" w:eastAsia="仿宋_GB2312" w:cs="Times New Roman"/>
          <w:sz w:val="32"/>
          <w:szCs w:val="32"/>
        </w:rPr>
        <w:t>万元（其中：公务用车购置费增</w:t>
      </w:r>
      <w:r>
        <w:rPr>
          <w:rFonts w:hint="eastAsia" w:ascii="Times New Roman" w:hAnsi="Times New Roman" w:eastAsia="仿宋_GB2312" w:cs="Times New Roman"/>
          <w:sz w:val="32"/>
          <w:szCs w:val="32"/>
        </w:rPr>
        <w:t>加0</w:t>
      </w:r>
      <w:r>
        <w:rPr>
          <w:rFonts w:ascii="Times New Roman" w:hAnsi="Times New Roman" w:eastAsia="仿宋_GB2312" w:cs="Times New Roman"/>
          <w:sz w:val="32"/>
          <w:szCs w:val="32"/>
        </w:rPr>
        <w:t>万元，公务用车运维费增</w:t>
      </w:r>
      <w:r>
        <w:rPr>
          <w:rFonts w:hint="eastAsia" w:ascii="Times New Roman" w:hAnsi="Times New Roman" w:eastAsia="仿宋_GB2312" w:cs="Times New Roman"/>
          <w:sz w:val="32"/>
          <w:szCs w:val="32"/>
        </w:rPr>
        <w:t>加0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万元增</w:t>
      </w:r>
      <w:r>
        <w:rPr>
          <w:rFonts w:hint="eastAsia" w:ascii="Times New Roman" w:hAnsi="Times New Roman" w:eastAsia="仿宋_GB2312" w:cs="Times New Roman"/>
          <w:sz w:val="32"/>
          <w:szCs w:val="32"/>
        </w:rPr>
        <w:t>加0万元，</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切实落实勤俭节约各项规定，严格控制公务接待费支出。</w:t>
      </w:r>
    </w:p>
    <w:p>
      <w:pPr>
        <w:keepNext w:val="0"/>
        <w:keepLines w:val="0"/>
        <w:pageBreakBefore w:val="0"/>
        <w:kinsoku/>
        <w:wordWrap/>
        <w:topLinePunct w:val="0"/>
        <w:autoSpaceDE w:val="0"/>
        <w:autoSpaceDN w:val="0"/>
        <w:bidi w:val="0"/>
        <w:adjustRightInd w:val="0"/>
        <w:spacing w:line="584" w:lineRule="exact"/>
        <w:ind w:firstLine="627" w:firstLineChars="196"/>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五、预算绩效信息</w:t>
      </w:r>
    </w:p>
    <w:p>
      <w:pPr>
        <w:keepNext w:val="0"/>
        <w:keepLines w:val="0"/>
        <w:pageBreakBefore w:val="0"/>
        <w:kinsoku/>
        <w:wordWrap/>
        <w:topLinePunct w:val="0"/>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topLinePunct w:val="0"/>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总体绩效目标：按照上级主管</w:t>
      </w:r>
      <w:r>
        <w:rPr>
          <w:rFonts w:hint="eastAsia" w:eastAsia="仿宋_GB2312"/>
          <w:kern w:val="2"/>
          <w:sz w:val="32"/>
          <w:szCs w:val="32"/>
          <w:lang w:eastAsia="zh-CN"/>
        </w:rPr>
        <w:t>单位</w:t>
      </w:r>
      <w:r>
        <w:rPr>
          <w:rFonts w:eastAsia="仿宋_GB2312"/>
          <w:kern w:val="2"/>
          <w:sz w:val="32"/>
          <w:szCs w:val="32"/>
          <w:lang w:eastAsia="zh-CN"/>
        </w:rPr>
        <w:t>的统一安排部署，推进相关工作稳步开展，规范建筑市场，提升城市人居环境，推进民生工程，提升支油支铁工作质效，更实举措保安全稳定。</w:t>
      </w:r>
    </w:p>
    <w:p>
      <w:pPr>
        <w:keepNext w:val="0"/>
        <w:keepLines w:val="0"/>
        <w:pageBreakBefore w:val="0"/>
        <w:kinsoku/>
        <w:wordWrap/>
        <w:topLinePunct w:val="0"/>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w:t>
      </w:r>
      <w:r>
        <w:rPr>
          <w:rFonts w:eastAsia="仿宋_GB2312"/>
          <w:kern w:val="2"/>
          <w:sz w:val="32"/>
          <w:szCs w:val="32"/>
          <w:lang w:eastAsia="zh-CN"/>
        </w:rPr>
        <w:t>特定目标类项目热力人员经费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绩效目标：通过项目的开展，实现供暖正常运转，保障职工稳定。</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绩效指标：1、产出指标：数量指标：发放人数=31人，质量指标: 发放准确率=100%,时效指标：及时性及时发放。成本指标：单位成本每人每年补贴金额≤3万元。2、效果指标：社会效益指标：保证工资及福利到位，可持续影响：保障职工稳定，满意度：受益人群满意度≥98%。</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2、</w:t>
      </w:r>
      <w:r>
        <w:rPr>
          <w:rFonts w:eastAsia="仿宋_GB2312"/>
          <w:kern w:val="2"/>
          <w:sz w:val="32"/>
          <w:szCs w:val="32"/>
          <w:lang w:eastAsia="zh-CN"/>
        </w:rPr>
        <w:t>特定目标类项目大气环保监测点卫生清理专项经费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绩效目标：通过开展对北华航天学院东校区与西校区，河北工业大学东校区与西校区的24小时循环清扫保洁，车辆喷洒绿化地，湿扫路面，巡查校区及周边情况等工作，保证四个校区的精细化管控工作。</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绩效指标：1、产出指标：数量指标：清扫面积≥73.33万平方米，质量指标: 清扫面积覆盖率≥98%，时效指标：每天项目作业时间=24小时，成本指标：成本控制≤660万元。2、效果指标：社会效益：校区及周边污染问题处理率≥95%，环境效益：校区污染物处理率≥98%，满意度：服务对象满意度≥95%。</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3、</w:t>
      </w:r>
      <w:r>
        <w:rPr>
          <w:rFonts w:eastAsia="仿宋_GB2312"/>
          <w:kern w:val="2"/>
          <w:sz w:val="32"/>
          <w:szCs w:val="32"/>
          <w:lang w:eastAsia="zh-CN"/>
        </w:rPr>
        <w:t>特定目标类项目原房管局自收自支人员经费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绩效目标：年按时按量支付职工工资及各项福利，维护职工队伍稳定，切实保障原区房管局承担的各项工作顺利正常开展，完成区住建局各项工作任务。</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绩效指标：1、产出指标：数量指标：发放人数=45人，准确发放率=100%，时效指标：发放及时率=100%，成本指标：人员经费成本≤150万元。2、效果指标：社会效益：维护职工队伍稳定，满意度：职工满意度≥90%。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4、</w:t>
      </w:r>
      <w:r>
        <w:rPr>
          <w:rFonts w:eastAsia="仿宋_GB2312"/>
          <w:kern w:val="2"/>
          <w:sz w:val="32"/>
          <w:szCs w:val="32"/>
          <w:lang w:eastAsia="zh-CN"/>
        </w:rPr>
        <w:t>特定目标类项目农村燃气协管员人员经费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绩效目标：2022年保障广阳区“气代煤”工程农村燃气安全协管员工资按月正常发放，维护协管员队伍稳定，确保“气代煤”工程改造后安全运行，保障村街居民用气安全，提高居民生活水平。</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发放人数≤145人，质量指标：补贴发放覆盖率=100%，时效指标：及时拨付协管员工资，成本指标：每月发放工资标准=1000元/人/月。2、效果指标：社会效益：气代煤村街居民生活安全保障用气安全，可持续影响：维护人员队伍稳定，保持居民良好生活水平持续影响，满意度指标：协管员满意度≥90%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5、</w:t>
      </w:r>
      <w:r>
        <w:rPr>
          <w:rFonts w:eastAsia="仿宋_GB2312"/>
          <w:kern w:val="2"/>
          <w:sz w:val="32"/>
          <w:szCs w:val="32"/>
          <w:lang w:eastAsia="zh-CN"/>
        </w:rPr>
        <w:t>特定目标类项目华兴石油矿区市政职能运行维护专项经费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绩效目标：保证广阳区全年万庄矿区12条辖区街道及3个公园的保洁和绿化工作、3个雨水提升站，6个排污站的维护，3个矿区的垃圾清运、基础设施维护项目全部完，确保矿区居民及驻矿区单位的正常生活。</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清扫养护主要道路=12条，绿化养护面积=19632.9平方米，市政管网检修及维护长度=20384.7米，路灯信号灯维护数量=832个，雨污提升站维护数量=9座，质量指标：垃圾处理率≥98%，时效指标：项目完成率=100%，成本指标：成本控制≤1000万元。2、效果指标：社会效益：矿区居民生活便利及舒适度有所提升，环境效益：矿区居住环境得到改善，服务对象满意度：矿区居民满意度≥95%。</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6、</w:t>
      </w:r>
      <w:r>
        <w:rPr>
          <w:rFonts w:eastAsia="仿宋_GB2312"/>
          <w:kern w:val="2"/>
          <w:sz w:val="32"/>
          <w:szCs w:val="32"/>
          <w:lang w:eastAsia="zh-CN"/>
        </w:rPr>
        <w:t>特定目标类项目老旧小区物业管理服务扶持资金</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保证合作区域内物业服务提升工作、社区治理工作和对合作区域内街区停车、社区空置、低效资产和资源进行规划设计以及社区商业盘活。开展城市管理、物业管理、街区治理以及其他公共服务业务。持续改善社区居民、城市居民的生活环境和生活质量，助力创建文明城市。</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管理老旧小区面积≥193.7万平方米，质量指标：管理合格率≥90%，时效指标：管理及时性管理及时，成本指标：成本控制≤300万元。2、效果指标：社会效益：提高社会稳定性，生态效益：改善居民居住环境，满意度指标：居民满意度≥90%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7、</w:t>
      </w:r>
      <w:r>
        <w:rPr>
          <w:rFonts w:eastAsia="仿宋_GB2312"/>
          <w:kern w:val="2"/>
          <w:sz w:val="32"/>
          <w:szCs w:val="32"/>
          <w:lang w:eastAsia="zh-CN"/>
        </w:rPr>
        <w:t>特定目标类项目建设员人员经费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绩效目标：解决农村住房安全、隐患排查、监测工作，确保房屋安全，保障城建档案工作的正常运行。</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补贴人员数量=11人，质量指标：补贴发放精准性=100%，时效指标：发放建设员人员经费及时性及时发放，成本指标：人员经费补贴成本≤13万元。2、效果指标：社会效益：保障城建工作正常开展，满意度指标：受益人群满意度≥90%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8、</w:t>
      </w:r>
      <w:r>
        <w:rPr>
          <w:rFonts w:eastAsia="仿宋_GB2312"/>
          <w:kern w:val="2"/>
          <w:sz w:val="32"/>
          <w:szCs w:val="32"/>
          <w:lang w:eastAsia="zh-CN"/>
        </w:rPr>
        <w:t>特定目标类项目新增行政职能工作经费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绩效目标：通过项目开展，确保全区物业管理工作、住宅专项维修资金管理工作、老旧小区改造工作及公共租赁住房保障工作正常运行，保障新增行政职能工作人员及办公场所正常运转的需要。</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保障办公人数≥30人，质量指标：运行保障率≥95%，时效指标：经费保障及时性及时保障，成本指标：人员经费保障成本≤150万元。2、效果指标：社会效益：保障办公日常需要，维持四个科室正常运转维持</w:t>
      </w:r>
      <w:r>
        <w:rPr>
          <w:rFonts w:hint="eastAsia" w:eastAsia="仿宋_GB2312"/>
          <w:kern w:val="2"/>
          <w:sz w:val="32"/>
          <w:szCs w:val="32"/>
          <w:lang w:eastAsia="zh-CN"/>
        </w:rPr>
        <w:t>单位</w:t>
      </w:r>
      <w:r>
        <w:rPr>
          <w:rFonts w:eastAsia="仿宋_GB2312"/>
          <w:kern w:val="2"/>
          <w:sz w:val="32"/>
          <w:szCs w:val="32"/>
          <w:lang w:eastAsia="zh-CN"/>
        </w:rPr>
        <w:t>正常运转，服务对象满意度指标：服务对象满意度≥95%。</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9、</w:t>
      </w:r>
      <w:r>
        <w:rPr>
          <w:rFonts w:eastAsia="仿宋_GB2312"/>
          <w:kern w:val="2"/>
          <w:sz w:val="32"/>
          <w:szCs w:val="32"/>
          <w:lang w:eastAsia="zh-CN"/>
        </w:rPr>
        <w:t>特定目标类项目城镇既有管道燃气用户加装安全装置资金</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自2021年12月起至2022年底，完成我区城镇既有住宅和单位燃气用户加装具有自动切断功能的安全装置工作。强化城镇既有管道燃气用户安全技防措施，有效遏制燃气事故发生，保障人民群众生命财产安全。</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绩效指标：1、产出指标：数量指标：补贴户数≤16.7315万户，质量指标：工作目标完成率≥90%，时效指标：完成时间2022年12月31日前完成，成本指标：补贴成本≤838.23万元。 2、效果指标：社会效益：强化技防措施，保障居民燃气安全，可持续影响：保持燃气行业安全运行，满意度指标：安装户满意度≥90%。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10、</w:t>
      </w:r>
      <w:r>
        <w:rPr>
          <w:rFonts w:eastAsia="仿宋_GB2312"/>
          <w:kern w:val="2"/>
          <w:sz w:val="32"/>
          <w:szCs w:val="32"/>
          <w:lang w:eastAsia="zh-CN"/>
        </w:rPr>
        <w:t>特定目标类项目无物业小区道闸经费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绩效目标：建设廊坊市广阳区老旧小区围合道闸及相关设施，解决老旧小区配套设施不完善、管理机制不健全等问题，解决老旧小区安全管理、居住功能、环境治理等方面问题。</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解决小区数=343个，质量指标：验收合格率=100%，时效指标：裁决书送达15日支付，成本指标：安装成本≤1050万元，2、效果指标：社会效益：老旧小区安全管理加强疫情防控，创文明城市，服务对象满意度：居民满意度≥90%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11、</w:t>
      </w:r>
      <w:r>
        <w:rPr>
          <w:rFonts w:eastAsia="仿宋_GB2312"/>
          <w:kern w:val="2"/>
          <w:sz w:val="32"/>
          <w:szCs w:val="32"/>
          <w:lang w:eastAsia="zh-CN"/>
        </w:rPr>
        <w:t>特定目标类项目工商分流及援疆干部人员经费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绩效目标：保证工商分流人员及援疆干部工资等各项福利待遇正常发放，各项保险及公积金正常缴纳。</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发放人数=36人，质量指标：工资（待遇）发放准确性=100%，社保（公积金）缴纳准确性=100%，时效指标：工资（待遇）发放及时性及时发放，社保（公积金）缴纳及时性及时缴纳，成本指标：按规定执行工资（待遇）、社保（公积金）标准按规定执行。2、效果指标：社会效益：提高人员归属感，维护职工队伍稳定，服务对象满意度：分流及援疆人员满意度≥95%。</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12、</w:t>
      </w:r>
      <w:r>
        <w:rPr>
          <w:rFonts w:eastAsia="仿宋_GB2312"/>
          <w:kern w:val="2"/>
          <w:sz w:val="32"/>
          <w:szCs w:val="32"/>
          <w:lang w:eastAsia="zh-CN"/>
        </w:rPr>
        <w:t>特定目标类项目生活垃圾分类项目经费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绩效目标：所有开展生活垃圾分类的小区、公共机构、公共区域持续开展分类收集，达到生活垃圾总量减量化、资源化的总目标。</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新增各类垃圾分类集中投放点数量≥35个，质量指标：设备合格率=100%，时效指标：设备设施购置时限≤6个月，成本指标：人工年需费用单人金额≤7.5万元。2、效果指标：社会效益：开展垃圾分类居民小区数量=515个，服务对象满意度：居民满意度≥95%。</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13、</w:t>
      </w:r>
      <w:r>
        <w:rPr>
          <w:rFonts w:eastAsia="仿宋_GB2312"/>
          <w:kern w:val="2"/>
          <w:sz w:val="32"/>
          <w:szCs w:val="32"/>
          <w:lang w:eastAsia="zh-CN"/>
        </w:rPr>
        <w:t>特定目标类项目城区环卫经费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绩效目标：广阳辖区内所有主次道路的清扫保洁，广阳区区内生活垃圾收集清运中转站，降雨排水，落叶收集，降雪除雪，洒水雾化等工作，并根据不同路段路型调配机械和人员，提高市区整体环境。</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清扫面积≥723万㎡，质量指标：清扫合格率≥90%，时效指标：清扫保洁频次≥2次/天，成本指标：环卫所需经费=8096万元。2、效果指标：社会效益：城区处罚频次≤1次/年，环境效益：城区环境得到优化，可持续影响：持续提升城区环境卫生形象，服务对象满意度：服务对象满意度≥90%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14、</w:t>
      </w:r>
      <w:r>
        <w:rPr>
          <w:rFonts w:eastAsia="仿宋_GB2312"/>
          <w:kern w:val="2"/>
          <w:sz w:val="32"/>
          <w:szCs w:val="32"/>
          <w:lang w:eastAsia="zh-CN"/>
        </w:rPr>
        <w:t>特定目标类项目小街巷及无物业小区环卫经费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绩效目标：通过对138小街巷及306处无物业管理小区进行日常清扫管理，达到垃圾无积存、卫生无死角，以实际行动感染居民们共同承担起净化美化家园的责任，共同创造长效整洁、和谐宜居的生活环境。</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辖区内进行清扫保洁的小街巷数=138条，辖区内进行清扫保洁的无物业小区数=306个，质量指标：清扫质量≥95%，时效指标：及时清理生活垃圾日产日清，成本指标：成本控制≤603万元。2、效果指标：社会效益：提升环境舒适度≥97%，环境效益：保障辖区环境整洁卫生，可持续影响：提升辖区环境整洁度，促进生态环境可持续发展，服务对象满意度：服务对象满意度≥95%。</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15、</w:t>
      </w:r>
      <w:r>
        <w:rPr>
          <w:rFonts w:eastAsia="仿宋_GB2312"/>
          <w:kern w:val="2"/>
          <w:sz w:val="32"/>
          <w:szCs w:val="32"/>
          <w:lang w:eastAsia="zh-CN"/>
        </w:rPr>
        <w:t>特定目标类项目2022年广阳区城乡一体化环卫经费</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实施城乡一体化工作，从根本上解决了区管村街的生活垃圾无害化处理问题，强化日常管理，建立健全收转运处置体系，推动农村生活垃圾处理体系全覆盖，促进乡村振兴战略的全面推进和农村人居环境的持续。</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治理的村街数量=63个，质量指标：垃圾清理合格率≥90%，时效指标：生活垃圾得到及时清理日产日清，成本指标：成本控制≤3502万元。2、效果指标：社会效益：提高居民生活舒适度显著提升，生态效益指标：城乡环境得到改善环境污染减少，可持续影响指标：保持区管村街环境可持续发展，服务对象满意度指标：村街居民满意度≥80%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16、</w:t>
      </w:r>
      <w:r>
        <w:rPr>
          <w:rFonts w:eastAsia="仿宋_GB2312"/>
          <w:kern w:val="2"/>
          <w:sz w:val="32"/>
          <w:szCs w:val="32"/>
          <w:lang w:eastAsia="zh-CN"/>
        </w:rPr>
        <w:t>上级转移支付项目大气污染防治资金（用于农村地区清洁取暖任务运行补助）[中央]</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绩效目标：保障广阳区农村地区清洁取暖2016到2018年改造任务的2021年、2022年省级应承担的运行补贴，保持我市气代煤电代煤补助政策的连续性和稳定性。</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补贴宅数≤52388宅，质量指标：补贴完成度应补尽补，时效指标：完成时间取暖季结束后三个月完成，成本指标：补贴成本≤516.3万元。2、效果指标：社会效益：保障补贴正常发放，环境效益：大气环境质量改善，可持续影响：保持我市气代煤电代煤补助政策的连续性，服务对象满意度：补贴户满意度≥90%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17、</w:t>
      </w:r>
      <w:r>
        <w:rPr>
          <w:rFonts w:eastAsia="仿宋_GB2312"/>
          <w:kern w:val="2"/>
          <w:sz w:val="32"/>
          <w:szCs w:val="32"/>
          <w:lang w:eastAsia="zh-CN"/>
        </w:rPr>
        <w:t>上级转移支付项目老旧小区改造奖励资金[省级]</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绩效目标：积极推进广阳区城镇老旧小区改造这一重大民生工程和发展工程稳步实施，逐步满足人民群众对美好生活的需要、推动惠民生扩内需、推进城市更新和开发建设方式转型、促进经济高质量发展。</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改造小区数完成数=32个，项目总建筑面积=27.6万平方米，质量指标：工程质量合格率95%，时效指标：按项目计划及时完成，成本指标：成本控制≤136万元。2、效果指标：社会效益：提高居民生活品质，可持续影响：促进城市更新发展，服务对象满意度：改造小区居民满意度≥80%。</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18、</w:t>
      </w:r>
      <w:r>
        <w:rPr>
          <w:rFonts w:eastAsia="仿宋_GB2312"/>
          <w:kern w:val="2"/>
          <w:sz w:val="32"/>
          <w:szCs w:val="32"/>
          <w:lang w:eastAsia="zh-CN"/>
        </w:rPr>
        <w:t>上级转移支付项目城镇保障性安居工程补助资金[中央]</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绩效目标：积极推进广阳区城镇老旧小区改造这一重大民生工程和发展工程稳步实施，逐步满足人民群众对美好生活的需要、推动惠民生扩内需、推进城市更新和开发建设方式转型、促进经济高质量发展。</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eastAsia="仿宋_GB2312"/>
          <w:kern w:val="2"/>
          <w:sz w:val="32"/>
          <w:szCs w:val="32"/>
          <w:lang w:eastAsia="zh-CN"/>
        </w:rPr>
        <w:t>绩效指标：1、产出指标：数量指标：改造小区数完成数=32个，项目总建筑面积=27.6万平方米，质量指标：工程质量合格率95%，时效指标：按项目计划及时完成，成本指标：成本控制≤718万元。2、效果指标：社会效益：提高居民生活品质，可持续影响：促进城市更新发展，服务对象满意度：改造小区居民满意度≥80%。</w:t>
      </w:r>
    </w:p>
    <w:p>
      <w:pPr>
        <w:keepNext w:val="0"/>
        <w:keepLines w:val="0"/>
        <w:pageBreakBefore w:val="0"/>
        <w:kinsoku/>
        <w:wordWrap/>
        <w:topLinePunct w:val="0"/>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1</w:t>
      </w:r>
      <w:r>
        <w:rPr>
          <w:rFonts w:eastAsia="仿宋_GB2312"/>
          <w:kern w:val="2"/>
          <w:sz w:val="32"/>
          <w:szCs w:val="32"/>
          <w:lang w:eastAsia="zh-CN"/>
        </w:rPr>
        <w:t>、完善制度建设</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2</w:t>
      </w:r>
      <w:r>
        <w:rPr>
          <w:rFonts w:eastAsia="仿宋_GB2312"/>
          <w:kern w:val="2"/>
          <w:sz w:val="32"/>
          <w:szCs w:val="32"/>
          <w:lang w:eastAsia="zh-CN"/>
        </w:rPr>
        <w:t>、加强支出管理</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3</w:t>
      </w:r>
      <w:r>
        <w:rPr>
          <w:rFonts w:eastAsia="仿宋_GB2312"/>
          <w:kern w:val="2"/>
          <w:sz w:val="32"/>
          <w:szCs w:val="32"/>
          <w:lang w:eastAsia="zh-CN"/>
        </w:rPr>
        <w:t>、加强绩效运行监控管理</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4、</w:t>
      </w:r>
      <w:r>
        <w:rPr>
          <w:rFonts w:eastAsia="仿宋_GB2312"/>
          <w:kern w:val="2"/>
          <w:sz w:val="32"/>
          <w:szCs w:val="32"/>
          <w:lang w:eastAsia="zh-CN"/>
        </w:rPr>
        <w:t>做好绩效自评</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5</w:t>
      </w:r>
      <w:r>
        <w:rPr>
          <w:rFonts w:eastAsia="仿宋_GB2312"/>
          <w:kern w:val="2"/>
          <w:sz w:val="32"/>
          <w:szCs w:val="32"/>
          <w:lang w:eastAsia="zh-CN"/>
        </w:rPr>
        <w:t>、规范财务资产管理</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6</w:t>
      </w:r>
      <w:r>
        <w:rPr>
          <w:rFonts w:eastAsia="仿宋_GB2312"/>
          <w:kern w:val="2"/>
          <w:sz w:val="32"/>
          <w:szCs w:val="32"/>
          <w:lang w:eastAsia="zh-CN"/>
        </w:rPr>
        <w:t>、加强内部监督</w:t>
      </w:r>
    </w:p>
    <w:p>
      <w:pPr>
        <w:pStyle w:val="19"/>
        <w:keepNext w:val="0"/>
        <w:keepLines w:val="0"/>
        <w:pageBreakBefore w:val="0"/>
        <w:kinsoku/>
        <w:wordWrap/>
        <w:topLinePunct w:val="0"/>
        <w:bidi w:val="0"/>
        <w:spacing w:line="584" w:lineRule="exact"/>
        <w:textAlignment w:val="auto"/>
        <w:rPr>
          <w:rFonts w:eastAsia="仿宋_GB2312"/>
          <w:kern w:val="2"/>
          <w:sz w:val="32"/>
          <w:szCs w:val="32"/>
          <w:lang w:eastAsia="zh-CN"/>
        </w:rPr>
      </w:pPr>
      <w:r>
        <w:rPr>
          <w:rFonts w:hint="eastAsia" w:eastAsia="仿宋_GB2312"/>
          <w:kern w:val="2"/>
          <w:sz w:val="32"/>
          <w:szCs w:val="32"/>
          <w:lang w:eastAsia="zh-CN"/>
        </w:rPr>
        <w:t>7</w:t>
      </w:r>
      <w:r>
        <w:rPr>
          <w:rFonts w:eastAsia="仿宋_GB2312"/>
          <w:kern w:val="2"/>
          <w:sz w:val="32"/>
          <w:szCs w:val="32"/>
          <w:lang w:eastAsia="zh-CN"/>
        </w:rPr>
        <w:t>、加强宣传培训调研</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0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83"/>
        <w:gridCol w:w="705"/>
        <w:gridCol w:w="1356"/>
        <w:gridCol w:w="2584"/>
        <w:gridCol w:w="2207"/>
        <w:gridCol w:w="795"/>
        <w:gridCol w:w="650"/>
        <w:gridCol w:w="786"/>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blHeader/>
          <w:jc w:val="center"/>
        </w:trPr>
        <w:tc>
          <w:tcPr>
            <w:tcW w:w="8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70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35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5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20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231"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883" w:type="dxa"/>
            <w:vMerge w:val="continue"/>
            <w:tcBorders>
              <w:tl2br w:val="nil"/>
              <w:tr2bl w:val="nil"/>
            </w:tcBorders>
            <w:vAlign w:val="center"/>
          </w:tcPr>
          <w:p/>
        </w:tc>
        <w:tc>
          <w:tcPr>
            <w:tcW w:w="705" w:type="dxa"/>
            <w:vMerge w:val="continue"/>
            <w:tcBorders>
              <w:tl2br w:val="nil"/>
              <w:tr2bl w:val="nil"/>
            </w:tcBorders>
            <w:vAlign w:val="center"/>
          </w:tcPr>
          <w:p/>
        </w:tc>
        <w:tc>
          <w:tcPr>
            <w:tcW w:w="1356" w:type="dxa"/>
            <w:vMerge w:val="continue"/>
            <w:tcBorders>
              <w:tl2br w:val="nil"/>
              <w:tr2bl w:val="nil"/>
            </w:tcBorders>
            <w:vAlign w:val="center"/>
          </w:tcPr>
          <w:p/>
        </w:tc>
        <w:tc>
          <w:tcPr>
            <w:tcW w:w="2584" w:type="dxa"/>
            <w:vMerge w:val="continue"/>
            <w:tcBorders>
              <w:tl2br w:val="nil"/>
              <w:tr2bl w:val="nil"/>
            </w:tcBorders>
            <w:vAlign w:val="center"/>
          </w:tcPr>
          <w:p/>
        </w:tc>
        <w:tc>
          <w:tcPr>
            <w:tcW w:w="2207" w:type="dxa"/>
            <w:vMerge w:val="continue"/>
            <w:tcBorders>
              <w:tl2br w:val="nil"/>
              <w:tr2bl w:val="nil"/>
            </w:tcBorders>
            <w:vAlign w:val="center"/>
          </w:tcPr>
          <w:p/>
        </w:tc>
        <w:tc>
          <w:tcPr>
            <w:tcW w:w="79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86"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8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83"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35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绩效目标数量</w:t>
            </w:r>
          </w:p>
        </w:tc>
        <w:tc>
          <w:tcPr>
            <w:tcW w:w="2584"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完成指标值得</w:t>
            </w:r>
            <w:r>
              <w:rPr>
                <w:rFonts w:hint="eastAsia" w:ascii="仿宋_GB2312" w:hAnsi="仿宋_GB2312" w:eastAsia="仿宋_GB2312" w:cs="仿宋_GB2312"/>
                <w:color w:val="000000"/>
                <w:sz w:val="22"/>
                <w:lang w:val="en-US" w:eastAsia="zh-CN"/>
              </w:rPr>
              <w:t>20</w:t>
            </w:r>
            <w:r>
              <w:rPr>
                <w:rFonts w:hint="eastAsia" w:ascii="仿宋_GB2312" w:hAnsi="仿宋_GB2312" w:eastAsia="仿宋_GB2312" w:cs="仿宋_GB2312"/>
                <w:color w:val="000000"/>
                <w:sz w:val="22"/>
              </w:rPr>
              <w:t>分，未完成指标值酌情按比例扣分</w:t>
            </w:r>
          </w:p>
        </w:tc>
        <w:tc>
          <w:tcPr>
            <w:tcW w:w="220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绩效目标数量</w:t>
            </w:r>
          </w:p>
        </w:tc>
        <w:tc>
          <w:tcPr>
            <w:tcW w:w="79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65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18</w:t>
            </w:r>
          </w:p>
        </w:tc>
        <w:tc>
          <w:tcPr>
            <w:tcW w:w="78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个</w:t>
            </w:r>
          </w:p>
        </w:tc>
        <w:tc>
          <w:tcPr>
            <w:tcW w:w="984"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3" w:type="dxa"/>
            <w:vMerge w:val="continue"/>
            <w:tcBorders>
              <w:tl2br w:val="nil"/>
              <w:tr2bl w:val="nil"/>
            </w:tcBorders>
            <w:vAlign w:val="center"/>
          </w:tcP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35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验收合格率</w:t>
            </w:r>
          </w:p>
        </w:tc>
        <w:tc>
          <w:tcPr>
            <w:tcW w:w="2584"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完成指标值得10分，未完成指标值酌情按比例扣分</w:t>
            </w:r>
          </w:p>
        </w:tc>
        <w:tc>
          <w:tcPr>
            <w:tcW w:w="220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验收合格项目占验收项目总量的比例</w:t>
            </w:r>
          </w:p>
        </w:tc>
        <w:tc>
          <w:tcPr>
            <w:tcW w:w="79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65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78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百分比</w:t>
            </w:r>
          </w:p>
        </w:tc>
        <w:tc>
          <w:tcPr>
            <w:tcW w:w="984"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883" w:type="dxa"/>
            <w:vMerge w:val="continue"/>
            <w:tcBorders>
              <w:tl2br w:val="nil"/>
              <w:tr2bl w:val="nil"/>
            </w:tcBorders>
            <w:vAlign w:val="center"/>
          </w:tcP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35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完成时间</w:t>
            </w:r>
          </w:p>
        </w:tc>
        <w:tc>
          <w:tcPr>
            <w:tcW w:w="2584"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完成指标值得10分，未完成指标值酌情按比例扣分</w:t>
            </w:r>
          </w:p>
        </w:tc>
        <w:tc>
          <w:tcPr>
            <w:tcW w:w="2207"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工作目标完成时间</w:t>
            </w:r>
          </w:p>
        </w:tc>
        <w:tc>
          <w:tcPr>
            <w:tcW w:w="79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650" w:type="dxa"/>
            <w:tcBorders>
              <w:tl2br w:val="nil"/>
              <w:tr2bl w:val="nil"/>
            </w:tcBorders>
          </w:tcPr>
          <w:p>
            <w:pPr>
              <w:rPr>
                <w:rFonts w:hint="eastAsia" w:ascii="仿宋_GB2312" w:hAnsi="仿宋_GB2312" w:eastAsia="仿宋_GB2312" w:cs="仿宋_GB2312"/>
                <w:color w:val="000000"/>
                <w:sz w:val="22"/>
              </w:rPr>
            </w:pPr>
          </w:p>
        </w:tc>
        <w:tc>
          <w:tcPr>
            <w:tcW w:w="78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2022年年底前完成</w:t>
            </w:r>
          </w:p>
        </w:tc>
        <w:tc>
          <w:tcPr>
            <w:tcW w:w="984"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3" w:type="dxa"/>
            <w:vMerge w:val="continue"/>
            <w:tcBorders>
              <w:tl2br w:val="nil"/>
              <w:tr2bl w:val="nil"/>
            </w:tcBorders>
            <w:vAlign w:val="center"/>
          </w:tcP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35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成本控制</w:t>
            </w:r>
          </w:p>
        </w:tc>
        <w:tc>
          <w:tcPr>
            <w:tcW w:w="258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完成指标值得10分，未完成指标值酌情按比例扣分</w:t>
            </w:r>
          </w:p>
        </w:tc>
        <w:tc>
          <w:tcPr>
            <w:tcW w:w="220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全年成本控制</w:t>
            </w:r>
          </w:p>
        </w:tc>
        <w:tc>
          <w:tcPr>
            <w:tcW w:w="79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21828.92</w:t>
            </w:r>
          </w:p>
        </w:tc>
        <w:tc>
          <w:tcPr>
            <w:tcW w:w="786"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万元</w:t>
            </w:r>
          </w:p>
        </w:tc>
        <w:tc>
          <w:tcPr>
            <w:tcW w:w="98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3"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35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突发事件处理完成情况</w:t>
            </w:r>
          </w:p>
          <w:p>
            <w:pPr>
              <w:widowControl/>
              <w:adjustRightInd w:val="0"/>
              <w:snapToGrid w:val="0"/>
              <w:rPr>
                <w:rFonts w:hint="eastAsia" w:ascii="仿宋_GB2312" w:hAnsi="仿宋_GB2312" w:eastAsia="仿宋_GB2312" w:cs="仿宋_GB2312"/>
              </w:rPr>
            </w:pPr>
          </w:p>
        </w:tc>
        <w:tc>
          <w:tcPr>
            <w:tcW w:w="25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完成指标值得10分，未完成指标值酌情按比例扣分</w:t>
            </w:r>
          </w:p>
          <w:p>
            <w:pPr>
              <w:widowControl/>
              <w:adjustRightInd w:val="0"/>
              <w:snapToGrid w:val="0"/>
              <w:rPr>
                <w:rFonts w:hint="eastAsia" w:ascii="仿宋_GB2312" w:hAnsi="仿宋_GB2312" w:eastAsia="仿宋_GB2312" w:cs="仿宋_GB2312"/>
              </w:rPr>
            </w:pPr>
          </w:p>
        </w:tc>
        <w:tc>
          <w:tcPr>
            <w:tcW w:w="2207" w:type="dxa"/>
            <w:tcBorders>
              <w:tl2br w:val="nil"/>
              <w:tr2bl w:val="nil"/>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000000"/>
                <w:sz w:val="22"/>
              </w:rPr>
              <w:t>反映我区区域内突发事件是否能够得到及时发现并部署处理措施情况</w:t>
            </w:r>
          </w:p>
        </w:tc>
        <w:tc>
          <w:tcPr>
            <w:tcW w:w="79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650" w:type="dxa"/>
            <w:tcBorders>
              <w:tl2br w:val="nil"/>
              <w:tr2bl w:val="nil"/>
            </w:tcBorders>
          </w:tcPr>
          <w:p>
            <w:pPr>
              <w:rPr>
                <w:rFonts w:hint="eastAsia" w:ascii="仿宋_GB2312" w:hAnsi="仿宋_GB2312" w:eastAsia="仿宋_GB2312" w:cs="仿宋_GB2312"/>
                <w:color w:val="000000"/>
                <w:sz w:val="22"/>
              </w:rPr>
            </w:pPr>
          </w:p>
        </w:tc>
        <w:tc>
          <w:tcPr>
            <w:tcW w:w="78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能够及时发现并处理</w:t>
            </w:r>
          </w:p>
        </w:tc>
        <w:tc>
          <w:tcPr>
            <w:tcW w:w="98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3" w:type="dxa"/>
            <w:vMerge w:val="continue"/>
            <w:tcBorders>
              <w:tl2br w:val="nil"/>
              <w:tr2bl w:val="nil"/>
            </w:tcBorders>
            <w:vAlign w:val="center"/>
          </w:tcP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35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大气环境质量改善</w:t>
            </w:r>
          </w:p>
          <w:p>
            <w:pPr>
              <w:widowControl/>
              <w:adjustRightInd w:val="0"/>
              <w:snapToGrid w:val="0"/>
              <w:rPr>
                <w:rFonts w:hint="eastAsia" w:ascii="仿宋_GB2312" w:hAnsi="仿宋_GB2312" w:eastAsia="仿宋_GB2312" w:cs="仿宋_GB2312"/>
              </w:rPr>
            </w:pPr>
          </w:p>
        </w:tc>
        <w:tc>
          <w:tcPr>
            <w:tcW w:w="2584"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完成指标值得20分，未完成指标值酌情按比例扣分</w:t>
            </w:r>
          </w:p>
        </w:tc>
        <w:tc>
          <w:tcPr>
            <w:tcW w:w="2207"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大气环境质量改善</w:t>
            </w:r>
          </w:p>
          <w:p>
            <w:pPr>
              <w:widowControl/>
              <w:adjustRightInd w:val="0"/>
              <w:snapToGrid w:val="0"/>
              <w:rPr>
                <w:rFonts w:hint="eastAsia" w:ascii="仿宋_GB2312" w:hAnsi="仿宋_GB2312" w:eastAsia="仿宋_GB2312" w:cs="仿宋_GB2312"/>
              </w:rPr>
            </w:pPr>
          </w:p>
        </w:tc>
        <w:tc>
          <w:tcPr>
            <w:tcW w:w="79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650" w:type="dxa"/>
            <w:tcBorders>
              <w:tl2br w:val="nil"/>
              <w:tr2bl w:val="nil"/>
            </w:tcBorders>
          </w:tcPr>
          <w:p>
            <w:pPr>
              <w:rPr>
                <w:rFonts w:hint="eastAsia" w:ascii="仿宋_GB2312" w:hAnsi="仿宋_GB2312" w:eastAsia="仿宋_GB2312" w:cs="仿宋_GB2312"/>
                <w:color w:val="000000"/>
                <w:sz w:val="22"/>
              </w:rPr>
            </w:pPr>
          </w:p>
        </w:tc>
        <w:tc>
          <w:tcPr>
            <w:tcW w:w="78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大气环境质量改善</w:t>
            </w:r>
          </w:p>
        </w:tc>
        <w:tc>
          <w:tcPr>
            <w:tcW w:w="984" w:type="dxa"/>
            <w:tcBorders>
              <w:tl2br w:val="nil"/>
              <w:tr2bl w:val="nil"/>
            </w:tcBorders>
            <w:vAlign w:val="center"/>
          </w:tcPr>
          <w:p>
            <w:pPr>
              <w:widowControl/>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883" w:type="dxa"/>
            <w:vMerge w:val="continue"/>
            <w:tcBorders>
              <w:tl2br w:val="nil"/>
              <w:tr2bl w:val="nil"/>
            </w:tcBorders>
            <w:vAlign w:val="center"/>
          </w:tcPr>
          <w:p/>
        </w:tc>
        <w:tc>
          <w:tcPr>
            <w:tcW w:w="70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35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可持续影响性</w:t>
            </w:r>
          </w:p>
          <w:p>
            <w:pPr>
              <w:widowControl/>
              <w:adjustRightInd w:val="0"/>
              <w:snapToGrid w:val="0"/>
              <w:rPr>
                <w:rFonts w:hint="eastAsia" w:ascii="仿宋_GB2312" w:hAnsi="仿宋_GB2312" w:eastAsia="仿宋_GB2312" w:cs="仿宋_GB2312"/>
              </w:rPr>
            </w:pPr>
          </w:p>
        </w:tc>
        <w:tc>
          <w:tcPr>
            <w:tcW w:w="2584" w:type="dxa"/>
            <w:tcBorders>
              <w:tl2br w:val="nil"/>
              <w:tr2bl w:val="nil"/>
            </w:tcBorders>
            <w:noWrap/>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完成指标值得20分，未完成指标值酌情按比例扣分</w:t>
            </w:r>
          </w:p>
        </w:tc>
        <w:tc>
          <w:tcPr>
            <w:tcW w:w="2207"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持续保障综合事务的完成，保障人民生产生活的质量</w:t>
            </w:r>
          </w:p>
          <w:p>
            <w:pPr>
              <w:widowControl/>
              <w:adjustRightInd w:val="0"/>
              <w:snapToGrid w:val="0"/>
              <w:rPr>
                <w:rFonts w:hint="eastAsia" w:ascii="仿宋_GB2312" w:hAnsi="仿宋_GB2312" w:eastAsia="仿宋_GB2312" w:cs="仿宋_GB2312"/>
              </w:rPr>
            </w:pPr>
          </w:p>
        </w:tc>
        <w:tc>
          <w:tcPr>
            <w:tcW w:w="79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650" w:type="dxa"/>
            <w:tcBorders>
              <w:tl2br w:val="nil"/>
              <w:tr2bl w:val="nil"/>
            </w:tcBorders>
          </w:tcPr>
          <w:p>
            <w:pPr>
              <w:rPr>
                <w:rFonts w:hint="eastAsia" w:ascii="仿宋_GB2312" w:hAnsi="仿宋_GB2312" w:eastAsia="仿宋_GB2312" w:cs="仿宋_GB2312"/>
                <w:color w:val="000000"/>
                <w:sz w:val="22"/>
              </w:rPr>
            </w:pPr>
          </w:p>
        </w:tc>
        <w:tc>
          <w:tcPr>
            <w:tcW w:w="78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得到保障</w:t>
            </w:r>
          </w:p>
        </w:tc>
        <w:tc>
          <w:tcPr>
            <w:tcW w:w="984" w:type="dxa"/>
            <w:tcBorders>
              <w:tl2br w:val="nil"/>
              <w:tr2bl w:val="nil"/>
            </w:tcBorders>
            <w:vAlign w:val="center"/>
          </w:tcPr>
          <w:p>
            <w:pPr>
              <w:widowControl/>
              <w:adjustRightInd w:val="0"/>
              <w:snapToGrid w:val="0"/>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预算批复、工作计划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83" w:type="dxa"/>
            <w:vMerge w:val="continue"/>
            <w:tcBorders>
              <w:tl2br w:val="nil"/>
              <w:tr2bl w:val="nil"/>
            </w:tcBorders>
            <w:vAlign w:val="center"/>
          </w:tcPr>
          <w:p/>
        </w:tc>
        <w:tc>
          <w:tcPr>
            <w:tcW w:w="70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35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服务对象满意度</w:t>
            </w:r>
          </w:p>
          <w:p>
            <w:pPr>
              <w:widowControl/>
              <w:adjustRightInd w:val="0"/>
              <w:snapToGrid w:val="0"/>
              <w:rPr>
                <w:rFonts w:hint="eastAsia" w:ascii="仿宋_GB2312" w:hAnsi="仿宋_GB2312" w:eastAsia="仿宋_GB2312" w:cs="仿宋_GB2312"/>
              </w:rPr>
            </w:pPr>
          </w:p>
        </w:tc>
        <w:tc>
          <w:tcPr>
            <w:tcW w:w="25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完成指标值得10分，未完成指标值酌情按比例扣分</w:t>
            </w:r>
          </w:p>
          <w:p>
            <w:pPr>
              <w:widowControl/>
              <w:adjustRightInd w:val="0"/>
              <w:snapToGrid w:val="0"/>
              <w:rPr>
                <w:rFonts w:hint="eastAsia" w:ascii="仿宋_GB2312" w:hAnsi="仿宋_GB2312" w:eastAsia="仿宋_GB2312" w:cs="仿宋_GB2312"/>
              </w:rPr>
            </w:pPr>
          </w:p>
        </w:tc>
        <w:tc>
          <w:tcPr>
            <w:tcW w:w="2207"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服务对象满意数量占调查对象总量的比率</w:t>
            </w:r>
          </w:p>
          <w:p>
            <w:pPr>
              <w:widowControl/>
              <w:adjustRightInd w:val="0"/>
              <w:snapToGrid w:val="0"/>
              <w:rPr>
                <w:rFonts w:hint="eastAsia" w:ascii="仿宋_GB2312" w:hAnsi="仿宋_GB2312" w:eastAsia="仿宋_GB2312" w:cs="仿宋_GB2312"/>
              </w:rPr>
            </w:pPr>
          </w:p>
        </w:tc>
        <w:tc>
          <w:tcPr>
            <w:tcW w:w="795"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650"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90</w:t>
            </w:r>
          </w:p>
        </w:tc>
        <w:tc>
          <w:tcPr>
            <w:tcW w:w="786" w:type="dxa"/>
            <w:tcBorders>
              <w:tl2br w:val="nil"/>
              <w:tr2bl w:val="nil"/>
            </w:tcBorders>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百分比</w:t>
            </w:r>
          </w:p>
        </w:tc>
        <w:tc>
          <w:tcPr>
            <w:tcW w:w="984"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color w:val="000000"/>
                <w:sz w:val="22"/>
              </w:rPr>
              <w:t>预算批复、工作计划</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pStyle w:val="22"/>
        <w:numPr>
          <w:ilvl w:val="0"/>
          <w:numId w:val="1"/>
        </w:numPr>
        <w:ind w:firstLineChars="0"/>
        <w:outlineLvl w:val="3"/>
        <w:rPr>
          <w:rFonts w:hint="eastAsia" w:ascii="仿宋_GB2312" w:hAnsi="仿宋_GB2312" w:eastAsia="仿宋_GB2312" w:cs="仿宋_GB2312"/>
          <w:sz w:val="28"/>
        </w:rPr>
      </w:pPr>
      <w:bookmarkStart w:id="0" w:name="_Toc_4_4_0000000004"/>
      <w:r>
        <w:rPr>
          <w:rFonts w:hint="eastAsia" w:ascii="仿宋_GB2312" w:hAnsi="仿宋_GB2312" w:eastAsia="仿宋_GB2312" w:cs="仿宋_GB2312"/>
          <w:sz w:val="28"/>
        </w:rPr>
        <w:t>2021—2022年取暖季农村地区气代煤电代煤市级运行补贴资金绩效目标表</w:t>
      </w:r>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1.按期发放广阳区农村地区清洁取暖2016、2017、2018年完成改造任务2021-2022年采暖季的市级应承担的运行补贴。</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2.保障广阳区农村地区清洁取暖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气代煤改造运行补贴宅数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≥30000宅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根据实际农村取暖用户数量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补贴发放精准率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补贴发放精准数量占总补贴发放数量的比率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及时补贴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及时补贴到户</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及时补贴到户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补贴金额</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实际补贴农村取暖用户金额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≤2997万元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缓解农村居民用户取暖费用压力,保障补贴正常发放</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缓解农村居民用户取暖费用压力,保障补贴正常发放</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提高大气环境质量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提高大气环境质量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提高大气环境质量</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廊广财建【2021】33号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补贴户满意数量占总调查数量的比率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lang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2.2021年省级大气污染防治资金（用于农村地区清洁取暖2017年任务运行补贴）预算绩效目标表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1.用于农村地区清洁取暖2017年任务的2021年运行补贴退坡至25%全额285万元</w:t>
            </w:r>
          </w:p>
          <w:p>
            <w:pPr>
              <w:spacing w:line="300" w:lineRule="exact"/>
              <w:rPr>
                <w:rFonts w:hint="eastAsia" w:ascii="仿宋_GB2312" w:hAnsi="仿宋_GB2312" w:eastAsia="仿宋_GB2312" w:cs="仿宋_GB2312"/>
                <w:b/>
              </w:rPr>
            </w:pPr>
            <w:r>
              <w:rPr>
                <w:rFonts w:hint="eastAsia" w:ascii="仿宋_GB2312" w:hAnsi="仿宋_GB2312" w:eastAsia="仿宋_GB2312" w:cs="仿宋_GB2312"/>
              </w:rPr>
              <w:t>2.保障广阳区农村地区清洁取暖2017年完成改造任务2021年采暖季的省级应承担的运行补贴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气代煤改造运行补贴宅数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≤35623宅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工作目标完成率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建设工作目标完成数量占总任务的比例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完成运行补贴的时间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6月30日前完成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运行补贴成本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≤285万元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廊财建[2020]145号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保障运行补贴正常发放</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保障气代煤任务采暖季的正常运行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补贴户满意数量占总调查数量的比率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2021年中央大气污染防治资金（用于农村地区清洁取暖2018年任务的2021年运行补贴退坡至50%）绩效目标表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1.用于农村地区清洁取暖2018年任务的2021年运行补贴退坡至50%</w:t>
            </w:r>
          </w:p>
          <w:p>
            <w:pPr>
              <w:pStyle w:val="14"/>
              <w:rPr>
                <w:rFonts w:hint="eastAsia" w:ascii="仿宋_GB2312" w:hAnsi="仿宋_GB2312" w:eastAsia="仿宋_GB2312" w:cs="仿宋_GB2312"/>
              </w:rPr>
            </w:pPr>
            <w:r>
              <w:rPr>
                <w:rFonts w:hint="eastAsia" w:ascii="仿宋_GB2312" w:hAnsi="仿宋_GB2312" w:eastAsia="仿宋_GB2312" w:cs="仿宋_GB2312"/>
              </w:rPr>
              <w:t>2.保障广阳区农村地区清洁取暖2018年完成改造任务2021年采暖季的省级应承担的运行补贴。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补贴宅数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气代煤改造运行补贴宅数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≤550宅</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工作目标完成率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建设工作目标完成数量占总任务的比例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完成运行补贴的时间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6月30日前完成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运行补贴成本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保障运行补贴正常发放</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保障气代煤任务采暖季的正常运行</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2016、2017、2018年改造方案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补贴户满意数量占总调查数量的比率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城镇保障性安居工程补助资金[中央]绩效目标表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1.目标内容1截止到2022年年底，完成广阳区2022年老旧小区改造项目，涉及32个小区、3215户、74栋住宅楼、建筑面积27.6万平方米。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改造小区数完成数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改造小区数完成数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32个</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2022年老旧小区改造任务表、财承报告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27.6万平方米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2022年老旧小区改造任务表、财承报告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反映工程质量合格的情况</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按项目计划及时完成</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≤718万元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提高居民生活品质</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提高居民生活品质</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提高品质</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促进经济高质量发展及城市更新和开发建设方式转型</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促进经济高质量发展及城市更新和开发建设方式转型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促进城市更新发展</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改造小区居民满意度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问卷调查（网上调查）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城镇既有管道燃气用户加装安全装置资金绩效目标表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自2021年12月起至2022年底，完成我区城镇既有住宅和单位燃气用户加装具有自动切断功能的安全装置工作。强化城镇既有管道燃气用户安全技防措施，有效遏制燃气事故发生，保障人民群众生命财产安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城镇既有住宅未安装使用燃气安全装置居民户数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≤16.73万户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根据廊坊新奥燃气有限公司初步统计，在项目结束后，经考核验收后以实际安装完成户数为准。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工作目标完成率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安装工作目标完成数量占总任务的比例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完成安装的时间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2022年12月31日前完成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完成安装安全技防装置补贴成本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≤838.23万元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强化技防措施，保障居民燃气安全</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强化城镇既有管道燃气用户安全技防措施</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保障燃气安全</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保持燃气行业安全运行</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强化技防措施，有效遏制燃气事故发生</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保障正常运行</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廊政办字[2021]63号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安装户满意度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安装户满意数量占总调查数量的比率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6.</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大气环保监测点卫生清理专项经费绩效目标表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1.目标内容1通过开展对北华航天学院东校区与西校区，河北工业大学东校区与西校区的24小时循环清扫保洁，车辆喷洒绿化地，湿扫路面，巡查校区及周边情况等工作，保证四个校区的精细化管控工作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≥73.33万平方米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清扫面积覆盖率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清扫面积覆盖率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≥98百分比</w:t>
            </w:r>
          </w:p>
          <w:p>
            <w:pPr>
              <w:pStyle w:val="14"/>
              <w:rPr>
                <w:rFonts w:hint="eastAsia" w:ascii="仿宋_GB2312" w:hAnsi="仿宋_GB2312" w:eastAsia="仿宋_GB2312" w:cs="仿宋_GB2312"/>
              </w:rPr>
            </w:pP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≤660万</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每天项目作业时间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每天项目作业时间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24小时</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校区及周边污染问题处理率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校区及周边污染问题处理率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p>
            <w:pPr>
              <w:pStyle w:val="14"/>
              <w:rPr>
                <w:rFonts w:hint="eastAsia" w:ascii="仿宋_GB2312" w:hAnsi="仿宋_GB2312" w:eastAsia="仿宋_GB2312" w:cs="仿宋_GB2312"/>
              </w:rPr>
            </w:pP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校区污染物处理率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校区污染物处理率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≥98百分比</w:t>
            </w:r>
          </w:p>
          <w:p>
            <w:pPr>
              <w:pStyle w:val="14"/>
              <w:rPr>
                <w:rFonts w:hint="eastAsia" w:ascii="仿宋_GB2312" w:hAnsi="仿宋_GB2312" w:eastAsia="仿宋_GB2312" w:cs="仿宋_GB2312"/>
              </w:rPr>
            </w:pP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会议纪要【2016】24号、廊广住建【2020】27号文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服务对象满意度占总调查人数比例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7.</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大气污染防治资金（用于农村地区清洁取暖任务运行补助）[中央]绩效目标表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2"/>
        <w:gridCol w:w="1500"/>
        <w:gridCol w:w="2300"/>
        <w:gridCol w:w="2880"/>
        <w:gridCol w:w="2700"/>
        <w:gridCol w:w="3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6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700"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用于农村地区清洁取暖2016年任务的2021年、2022年省级应承担的运行补贴，用于农村地区清洁取暖2017年任务的2022年省级应承担的运行补贴，用于农村地区清洁取暖2018年任务的2022年省级应承担的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6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8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7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332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2"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补贴宅数</w:t>
            </w:r>
          </w:p>
        </w:tc>
        <w:tc>
          <w:tcPr>
            <w:tcW w:w="28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气代煤改造运行补贴宅数</w:t>
            </w:r>
          </w:p>
        </w:tc>
        <w:tc>
          <w:tcPr>
            <w:tcW w:w="27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≤52388宅</w:t>
            </w:r>
          </w:p>
        </w:tc>
        <w:tc>
          <w:tcPr>
            <w:tcW w:w="3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2" w:type="dxa"/>
            <w:vMerge w:val="continue"/>
            <w:shd w:val="clear" w:color="auto" w:fill="auto"/>
            <w:vAlign w:val="center"/>
          </w:tcPr>
          <w:p>
            <w:pPr>
              <w:rPr>
                <w:rFonts w:hint="eastAsia" w:ascii="仿宋_GB2312" w:hAnsi="仿宋_GB2312" w:eastAsia="仿宋_GB2312" w:cs="仿宋_GB2312"/>
              </w:rPr>
            </w:pP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补贴完成度</w:t>
            </w:r>
          </w:p>
        </w:tc>
        <w:tc>
          <w:tcPr>
            <w:tcW w:w="28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反映补贴完成的程度</w:t>
            </w:r>
          </w:p>
        </w:tc>
        <w:tc>
          <w:tcPr>
            <w:tcW w:w="27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应补尽补</w:t>
            </w:r>
          </w:p>
        </w:tc>
        <w:tc>
          <w:tcPr>
            <w:tcW w:w="3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2" w:type="dxa"/>
            <w:vMerge w:val="continue"/>
            <w:shd w:val="clear" w:color="auto" w:fill="auto"/>
            <w:vAlign w:val="center"/>
          </w:tcPr>
          <w:p>
            <w:pPr>
              <w:rPr>
                <w:rFonts w:hint="eastAsia" w:ascii="仿宋_GB2312" w:hAnsi="仿宋_GB2312" w:eastAsia="仿宋_GB2312" w:cs="仿宋_GB2312"/>
              </w:rPr>
            </w:pP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w:t>
            </w:r>
          </w:p>
        </w:tc>
        <w:tc>
          <w:tcPr>
            <w:tcW w:w="28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完成运行补贴的时间</w:t>
            </w:r>
          </w:p>
        </w:tc>
        <w:tc>
          <w:tcPr>
            <w:tcW w:w="27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取暖季结束后三个月完成</w:t>
            </w:r>
          </w:p>
        </w:tc>
        <w:tc>
          <w:tcPr>
            <w:tcW w:w="3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冀代煤办【2021】35号《关于加强和规范农村气代煤电代煤运行补贴发放工作的通知》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2" w:type="dxa"/>
            <w:vMerge w:val="continue"/>
            <w:shd w:val="clear" w:color="auto" w:fill="auto"/>
            <w:vAlign w:val="center"/>
          </w:tcPr>
          <w:p>
            <w:pPr>
              <w:rPr>
                <w:rFonts w:hint="eastAsia" w:ascii="仿宋_GB2312" w:hAnsi="仿宋_GB2312" w:eastAsia="仿宋_GB2312" w:cs="仿宋_GB2312"/>
              </w:rPr>
            </w:pP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补贴成本</w:t>
            </w:r>
          </w:p>
        </w:tc>
        <w:tc>
          <w:tcPr>
            <w:tcW w:w="28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运行补贴成本</w:t>
            </w:r>
          </w:p>
        </w:tc>
        <w:tc>
          <w:tcPr>
            <w:tcW w:w="27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≤516.3万元</w:t>
            </w:r>
          </w:p>
        </w:tc>
        <w:tc>
          <w:tcPr>
            <w:tcW w:w="3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廊财建[2021]106号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2"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28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保障运行补贴正常发放</w:t>
            </w:r>
          </w:p>
        </w:tc>
        <w:tc>
          <w:tcPr>
            <w:tcW w:w="27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保障补贴正常发放</w:t>
            </w:r>
          </w:p>
        </w:tc>
        <w:tc>
          <w:tcPr>
            <w:tcW w:w="3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2"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2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28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27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大气环境质量改善</w:t>
            </w:r>
          </w:p>
        </w:tc>
        <w:tc>
          <w:tcPr>
            <w:tcW w:w="3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2" w:type="dxa"/>
            <w:vMerge w:val="continue"/>
            <w:shd w:val="clear" w:color="auto" w:fill="auto"/>
            <w:vAlign w:val="center"/>
          </w:tcPr>
          <w:p>
            <w:pPr>
              <w:rPr>
                <w:rFonts w:hint="eastAsia" w:ascii="仿宋_GB2312" w:hAnsi="仿宋_GB2312" w:eastAsia="仿宋_GB2312" w:cs="仿宋_GB2312"/>
              </w:rPr>
            </w:pP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2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保持我市气代煤电代煤补助政策的连续性</w:t>
            </w:r>
          </w:p>
        </w:tc>
        <w:tc>
          <w:tcPr>
            <w:tcW w:w="28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保持我市气代煤电代煤补助政策的连续性</w:t>
            </w:r>
          </w:p>
        </w:tc>
        <w:tc>
          <w:tcPr>
            <w:tcW w:w="27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保持连续性</w:t>
            </w:r>
          </w:p>
        </w:tc>
        <w:tc>
          <w:tcPr>
            <w:tcW w:w="3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2016、2017年改造方案（按改造确户数发放补贴）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补贴户满意度</w:t>
            </w:r>
          </w:p>
        </w:tc>
        <w:tc>
          <w:tcPr>
            <w:tcW w:w="28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补贴户满意数量占总调查数量的比率</w:t>
            </w:r>
          </w:p>
        </w:tc>
        <w:tc>
          <w:tcPr>
            <w:tcW w:w="27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33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8.</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工商分流及援疆干部人员经费绩效目标表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1"/>
        <w:gridCol w:w="1021"/>
        <w:gridCol w:w="1439"/>
        <w:gridCol w:w="1833"/>
        <w:gridCol w:w="1227"/>
        <w:gridCol w:w="7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0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761"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1.目标内容1保证工商分流人员及援疆干部工资等各项福利待遇正常发放，各项保险及公积金正常缴纳。</w:t>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0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02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43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83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27"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724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0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3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8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2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36人</w:t>
            </w:r>
          </w:p>
        </w:tc>
        <w:tc>
          <w:tcPr>
            <w:tcW w:w="72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1" w:type="dxa"/>
            <w:vMerge w:val="continue"/>
            <w:shd w:val="clear" w:color="auto" w:fill="auto"/>
            <w:vAlign w:val="center"/>
          </w:tcPr>
          <w:p>
            <w:pPr>
              <w:rPr>
                <w:rFonts w:hint="eastAsia" w:ascii="仿宋_GB2312" w:hAnsi="仿宋_GB2312" w:eastAsia="仿宋_GB2312" w:cs="仿宋_GB2312"/>
              </w:rPr>
            </w:pPr>
          </w:p>
        </w:tc>
        <w:tc>
          <w:tcPr>
            <w:tcW w:w="10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3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工资（待遇）发放准确性</w:t>
            </w:r>
          </w:p>
        </w:tc>
        <w:tc>
          <w:tcPr>
            <w:tcW w:w="18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反映工资（待遇）发放准确性的情况</w:t>
            </w:r>
          </w:p>
        </w:tc>
        <w:tc>
          <w:tcPr>
            <w:tcW w:w="12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72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1" w:type="dxa"/>
            <w:vMerge w:val="continue"/>
            <w:shd w:val="clear" w:color="auto" w:fill="auto"/>
            <w:vAlign w:val="center"/>
          </w:tcPr>
          <w:p>
            <w:pPr>
              <w:rPr>
                <w:rFonts w:hint="eastAsia" w:ascii="仿宋_GB2312" w:hAnsi="仿宋_GB2312" w:eastAsia="仿宋_GB2312" w:cs="仿宋_GB2312"/>
              </w:rPr>
            </w:pPr>
          </w:p>
        </w:tc>
        <w:tc>
          <w:tcPr>
            <w:tcW w:w="10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3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社保（公积金）缴纳准确性</w:t>
            </w:r>
          </w:p>
        </w:tc>
        <w:tc>
          <w:tcPr>
            <w:tcW w:w="18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反映社保（公积金）缴纳准确性的情况</w:t>
            </w:r>
          </w:p>
        </w:tc>
        <w:tc>
          <w:tcPr>
            <w:tcW w:w="12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72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1" w:type="dxa"/>
            <w:vMerge w:val="continue"/>
            <w:shd w:val="clear" w:color="auto" w:fill="auto"/>
            <w:vAlign w:val="center"/>
          </w:tcPr>
          <w:p>
            <w:pPr>
              <w:rPr>
                <w:rFonts w:hint="eastAsia" w:ascii="仿宋_GB2312" w:hAnsi="仿宋_GB2312" w:eastAsia="仿宋_GB2312" w:cs="仿宋_GB2312"/>
              </w:rPr>
            </w:pPr>
          </w:p>
        </w:tc>
        <w:tc>
          <w:tcPr>
            <w:tcW w:w="10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3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工资（待遇）发放及时性</w:t>
            </w:r>
          </w:p>
        </w:tc>
        <w:tc>
          <w:tcPr>
            <w:tcW w:w="18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反映工资（待遇）发放及时性的情况</w:t>
            </w:r>
          </w:p>
        </w:tc>
        <w:tc>
          <w:tcPr>
            <w:tcW w:w="12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72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1" w:type="dxa"/>
            <w:vMerge w:val="continue"/>
            <w:shd w:val="clear" w:color="auto" w:fill="auto"/>
            <w:vAlign w:val="center"/>
          </w:tcPr>
          <w:p>
            <w:pPr>
              <w:rPr>
                <w:rFonts w:hint="eastAsia" w:ascii="仿宋_GB2312" w:hAnsi="仿宋_GB2312" w:eastAsia="仿宋_GB2312" w:cs="仿宋_GB2312"/>
              </w:rPr>
            </w:pPr>
          </w:p>
        </w:tc>
        <w:tc>
          <w:tcPr>
            <w:tcW w:w="10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3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社保（公积金）缴纳及时性</w:t>
            </w:r>
          </w:p>
        </w:tc>
        <w:tc>
          <w:tcPr>
            <w:tcW w:w="18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反映社保（公积金）缴纳及时性的情况</w:t>
            </w:r>
          </w:p>
        </w:tc>
        <w:tc>
          <w:tcPr>
            <w:tcW w:w="12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及时缴纳</w:t>
            </w:r>
          </w:p>
        </w:tc>
        <w:tc>
          <w:tcPr>
            <w:tcW w:w="72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1" w:type="dxa"/>
            <w:vMerge w:val="continue"/>
            <w:shd w:val="clear" w:color="auto" w:fill="auto"/>
            <w:vAlign w:val="center"/>
          </w:tcPr>
          <w:p>
            <w:pPr>
              <w:rPr>
                <w:rFonts w:hint="eastAsia" w:ascii="仿宋_GB2312" w:hAnsi="仿宋_GB2312" w:eastAsia="仿宋_GB2312" w:cs="仿宋_GB2312"/>
              </w:rPr>
            </w:pPr>
          </w:p>
        </w:tc>
        <w:tc>
          <w:tcPr>
            <w:tcW w:w="10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3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按规定执行工资（待遇）、社保（公积金）标准</w:t>
            </w:r>
          </w:p>
        </w:tc>
        <w:tc>
          <w:tcPr>
            <w:tcW w:w="18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按规定执行工资（待遇）、社保（公积金）标准</w:t>
            </w:r>
          </w:p>
        </w:tc>
        <w:tc>
          <w:tcPr>
            <w:tcW w:w="12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按规定执行</w:t>
            </w:r>
          </w:p>
        </w:tc>
        <w:tc>
          <w:tcPr>
            <w:tcW w:w="72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0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3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提高人员归属感，维护职工队伍稳定</w:t>
            </w:r>
          </w:p>
        </w:tc>
        <w:tc>
          <w:tcPr>
            <w:tcW w:w="18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提高人员归属感，维护职工队伍稳定</w:t>
            </w:r>
          </w:p>
        </w:tc>
        <w:tc>
          <w:tcPr>
            <w:tcW w:w="12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提高归属感，维护稳定</w:t>
            </w:r>
          </w:p>
        </w:tc>
        <w:tc>
          <w:tcPr>
            <w:tcW w:w="72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《廊坊市广阳区市场管办脱钩分流人员安置方案》、《廊广建【2018】88号关于落实工商分流人员2018年各项福利待遇的请示》《廊组通字【2013】90号关于做好第七批援疆干部人才选派工作的通知》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2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39"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分流及援疆人员满意度</w:t>
            </w:r>
          </w:p>
        </w:tc>
        <w:tc>
          <w:tcPr>
            <w:tcW w:w="183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满意人数占总调查人数的比率 </w:t>
            </w:r>
          </w:p>
        </w:tc>
        <w:tc>
          <w:tcPr>
            <w:tcW w:w="1227"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72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9.</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华兴石油矿区市政职能运行维护专项经费绩效目标表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41"/>
        <w:gridCol w:w="1300"/>
        <w:gridCol w:w="1840"/>
        <w:gridCol w:w="2340"/>
        <w:gridCol w:w="1580"/>
        <w:gridCol w:w="56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4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721"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1.目标内容1保证广阳区全年万庄矿区12条辖区街道及3个公园的保洁和绿化工作、3个雨水提升站，6个排污站的维护，3个矿区的垃圾清运、基础设施维护项目全部完，确保矿区居民及驻矿区单位的正常生活。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4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4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34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5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66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清扫养护主要道路</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清扫养护主要道路</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12条</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绿化养护面积</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绿化养护面积</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19632.9平米</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市政管网检修及维护长度</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市政管网检修及维护长度</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20384.7米</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路灯信号灯维护数量</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路灯信号灯维护数量</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832个 </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雨污提升站维护数量</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雨污提升站维护数量</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9座</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continue"/>
            <w:shd w:val="clear" w:color="auto" w:fill="auto"/>
            <w:vAlign w:val="center"/>
          </w:tcPr>
          <w:p>
            <w:pPr>
              <w:rPr>
                <w:rFonts w:hint="eastAsia" w:ascii="仿宋_GB2312" w:hAnsi="仿宋_GB2312" w:eastAsia="仿宋_GB2312" w:cs="仿宋_GB2312"/>
              </w:rPr>
            </w:pP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≤1000万</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continue"/>
            <w:shd w:val="clear" w:color="auto" w:fill="auto"/>
            <w:vAlign w:val="center"/>
          </w:tcPr>
          <w:p>
            <w:pPr>
              <w:rPr>
                <w:rFonts w:hint="eastAsia" w:ascii="仿宋_GB2312" w:hAnsi="仿宋_GB2312" w:eastAsia="仿宋_GB2312" w:cs="仿宋_GB2312"/>
              </w:rPr>
            </w:pP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垃圾处理率</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垃圾清理任务按时完成情况占总任务比例</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≥98百分比</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continue"/>
            <w:shd w:val="clear" w:color="auto" w:fill="auto"/>
            <w:vAlign w:val="center"/>
          </w:tcPr>
          <w:p>
            <w:pPr>
              <w:rPr>
                <w:rFonts w:hint="eastAsia" w:ascii="仿宋_GB2312" w:hAnsi="仿宋_GB2312" w:eastAsia="仿宋_GB2312" w:cs="仿宋_GB2312"/>
              </w:rPr>
            </w:pP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项目完成率</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整体项目完成的百分比</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矿区居民生活便利及舒适度</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矿区居民生活便利及舒适度</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有所提升</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vMerge w:val="continue"/>
            <w:shd w:val="clear" w:color="auto" w:fill="auto"/>
            <w:vAlign w:val="center"/>
          </w:tcPr>
          <w:p>
            <w:pPr>
              <w:rPr>
                <w:rFonts w:hint="eastAsia" w:ascii="仿宋_GB2312" w:hAnsi="仿宋_GB2312" w:eastAsia="仿宋_GB2312" w:cs="仿宋_GB2312"/>
              </w:rPr>
            </w:pP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矿区居住环境</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矿区居住环境整体情况</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得到改善</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4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矿区居民满意度</w:t>
            </w:r>
          </w:p>
        </w:tc>
        <w:tc>
          <w:tcPr>
            <w:tcW w:w="23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矿区居民满意度</w:t>
            </w:r>
          </w:p>
        </w:tc>
        <w:tc>
          <w:tcPr>
            <w:tcW w:w="15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566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广阳区政府(2019）70号会议纪要，廊广住建【2020】41号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10.</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建设员人员经费绩效目标表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1.目标内容1解决农村住房安全、隐患排查、监测工作，确保房屋安全，保障城建档案工作的正常运行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补贴人员数量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建设员补贴数量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11名</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补贴发放精准性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人员经费补贴发放精准性</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发放建设员人员经费及时性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考察建设员人员经费发放的及时性</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人员经费补贴成本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考察建设员人员经费补贴成本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《关于提高村级组织运转经费保障水平的意见》的通知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提高城建工作办公效率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考察提高城建工作办公效率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提高办公效率 </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受益人群满意度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考察受益人群满意度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11.</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老旧小区改造奖励资金[省级]绩效目标表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1.目标内容1截止到2022年年底，完成广阳区2022年老旧小区改造项目，涉及32个小区、3215户、74栋住宅楼、建筑面积27.6万平方米。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改造小区数完成数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改造小区完成数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32个</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2022年老旧小区改造任务表、财承报告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27.6万平方米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2022年老旧小区改造任务表、财承报告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反映工程质量合格的情况</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按项目计划及时完成</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及时完成</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≤136万元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提高居民生活品质</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提高居民生活品质</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提高品质</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促进城市更新和开发建设方式转型发展</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促进城市更新和开发建设方式转型发展</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促进城市更新发展</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改造小区居民满意度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反映改造小区居民满意的程度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问卷调查（网上调查）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12.</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老旧小区物业管理服务扶持资金绩效目标表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1.目标内容1：通过管理不低于193.7万平方米的老旧小区，及时管理小区的各项事务，并保证社区街道满意度，达到改善居民居住环境、提高社会稳定性和居民满意度的目标。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管理老旧小区面积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≥193.7万平方米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管理老旧小区合格率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管理及时性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管理及时性</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及时管理</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改善居民居住环境</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改善居民居住环境</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持续改善</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提高社会稳定性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提高社会稳定性</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提高稳定性</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居民满意度占总调查人数的比例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13.</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农村燃气协管员人员经费绩效目标表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1"/>
        <w:gridCol w:w="1500"/>
        <w:gridCol w:w="1620"/>
        <w:gridCol w:w="2380"/>
        <w:gridCol w:w="1900"/>
        <w:gridCol w:w="5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2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541"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1.目标内容12022年保障广阳区“气代煤”工程农村燃气安全协管员工资按月正常发放，维护协管员队伍稳定，确保“气代煤”工程改造后安全运行，保障村街居民用气安全，提高居民生活水平。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2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62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3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9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14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6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3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发放协管员工资人数</w:t>
            </w:r>
          </w:p>
        </w:tc>
        <w:tc>
          <w:tcPr>
            <w:tcW w:w="1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≤145人</w:t>
            </w:r>
          </w:p>
        </w:tc>
        <w:tc>
          <w:tcPr>
            <w:tcW w:w="51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《廊坊市广阳区“气代煤”工程燃气安全运营协管员管理办法》（试行）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1" w:type="dxa"/>
            <w:vMerge w:val="continue"/>
            <w:shd w:val="clear" w:color="auto" w:fill="auto"/>
            <w:vAlign w:val="center"/>
          </w:tcPr>
          <w:p>
            <w:pPr>
              <w:rPr>
                <w:rFonts w:hint="eastAsia" w:ascii="仿宋_GB2312" w:hAnsi="仿宋_GB2312" w:eastAsia="仿宋_GB2312" w:cs="仿宋_GB2312"/>
              </w:rPr>
            </w:pP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6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w:t>
            </w:r>
          </w:p>
        </w:tc>
        <w:tc>
          <w:tcPr>
            <w:tcW w:w="23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及时拨付协管员工资</w:t>
            </w:r>
          </w:p>
        </w:tc>
        <w:tc>
          <w:tcPr>
            <w:tcW w:w="1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及时拨付</w:t>
            </w:r>
          </w:p>
        </w:tc>
        <w:tc>
          <w:tcPr>
            <w:tcW w:w="51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1" w:type="dxa"/>
            <w:vMerge w:val="continue"/>
            <w:shd w:val="clear" w:color="auto" w:fill="auto"/>
            <w:vAlign w:val="center"/>
          </w:tcPr>
          <w:p>
            <w:pPr>
              <w:rPr>
                <w:rFonts w:hint="eastAsia" w:ascii="仿宋_GB2312" w:hAnsi="仿宋_GB2312" w:eastAsia="仿宋_GB2312" w:cs="仿宋_GB2312"/>
              </w:rPr>
            </w:pP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补贴发放覆盖率</w:t>
            </w:r>
          </w:p>
        </w:tc>
        <w:tc>
          <w:tcPr>
            <w:tcW w:w="23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实发人数工资/应发人数工资</w:t>
            </w:r>
          </w:p>
        </w:tc>
        <w:tc>
          <w:tcPr>
            <w:tcW w:w="1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100百分之</w:t>
            </w:r>
          </w:p>
        </w:tc>
        <w:tc>
          <w:tcPr>
            <w:tcW w:w="51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《廊坊市广阳区“气代煤”工程燃气安全运营协管员管理办法》（试行）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1" w:type="dxa"/>
            <w:vMerge w:val="continue"/>
            <w:shd w:val="clear" w:color="auto" w:fill="auto"/>
            <w:vAlign w:val="center"/>
          </w:tcPr>
          <w:p>
            <w:pPr>
              <w:rPr>
                <w:rFonts w:hint="eastAsia" w:ascii="仿宋_GB2312" w:hAnsi="仿宋_GB2312" w:eastAsia="仿宋_GB2312" w:cs="仿宋_GB2312"/>
              </w:rPr>
            </w:pP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6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工资标准</w:t>
            </w:r>
          </w:p>
        </w:tc>
        <w:tc>
          <w:tcPr>
            <w:tcW w:w="23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每月发放工资标准</w:t>
            </w:r>
          </w:p>
        </w:tc>
        <w:tc>
          <w:tcPr>
            <w:tcW w:w="1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1000元/人</w:t>
            </w:r>
          </w:p>
        </w:tc>
        <w:tc>
          <w:tcPr>
            <w:tcW w:w="51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《关于拨付广阳区农村燃气安全协管员补助费用的请示及批复》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w:t>
            </w:r>
          </w:p>
        </w:tc>
        <w:tc>
          <w:tcPr>
            <w:tcW w:w="23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气代煤村街居民用气安全</w:t>
            </w:r>
          </w:p>
        </w:tc>
        <w:tc>
          <w:tcPr>
            <w:tcW w:w="1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用气安全</w:t>
            </w:r>
          </w:p>
        </w:tc>
        <w:tc>
          <w:tcPr>
            <w:tcW w:w="51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《农村“气代煤”安全运营十条强化措施》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1"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6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w:t>
            </w:r>
          </w:p>
        </w:tc>
        <w:tc>
          <w:tcPr>
            <w:tcW w:w="23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维护人员队伍稳定，保持气代煤工程改造后的安全运行</w:t>
            </w:r>
          </w:p>
        </w:tc>
        <w:tc>
          <w:tcPr>
            <w:tcW w:w="1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持续影响</w:t>
            </w:r>
          </w:p>
        </w:tc>
        <w:tc>
          <w:tcPr>
            <w:tcW w:w="51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《农村“气代煤”安全运营十条强化措施》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2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协管员满意度</w:t>
            </w:r>
          </w:p>
        </w:tc>
        <w:tc>
          <w:tcPr>
            <w:tcW w:w="238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满意度占调查人数的比率</w:t>
            </w:r>
          </w:p>
        </w:tc>
        <w:tc>
          <w:tcPr>
            <w:tcW w:w="19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≥85百分之</w:t>
            </w:r>
          </w:p>
        </w:tc>
        <w:tc>
          <w:tcPr>
            <w:tcW w:w="514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14.</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热力人员经费绩效目标表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1.目标内容1通过项目的开展，完成准确且及时支付公司31名职工每人每年不高于3万元的工资及福利，实现31名受益职工的稳定，达到受益职工98%的满意度。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31名</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发放准确率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工资准确发放次数占全年准确发放次数的比率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及时性</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及时支付工资及福利</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及时支付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单位成本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每人每年补贴金额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≥31名</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职工稳定</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职工稳定</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基本稳定</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1"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受益人群满意度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15.</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无物业小区道闸经费绩效目标表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1.目标内容1建设廊坊市广阳区老旧小区围合道闸及相关设施，解决老旧小区配套设施不完善、管理机制不健全等问题，解决老旧小区安全管理、居住功能、环境治理等方面问题。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解决小区数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解决小区数</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343个</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验收标准</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验收标准</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裁决书送达15日支付</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裁决书送达15日支付</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≤15日</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道闸经费</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道闸经费</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≤1050万元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老旧小区安全有效管理，加强疫情防控，创文明城市</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老旧小区安全有效管理，加强疫情防控，创文明城市</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安全有效管理</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《廊坊仲裁委员会裁决书》（2021）廊仲案字87号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反映居民满意的程度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16.</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下达2021年保障性安居工程(第三批）中央基建投资预算（拨款）绩效目标表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1.组织验收和工程决算，并做好后续管理工作。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项目总建筑面积</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26.4万平方米</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完成时限</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完成时限</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3月底前拨付</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资金金额</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资金金额</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≤141.84万元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降低老旧小区安全隐患、提高居民生活品质</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降低老旧小区安全隐患、提高居民生活品质</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提高生活品质</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项目完成对促进经济高质量发展及城市更新和开发建设方式转型的影响力</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项目完成对促进经济高质量发展及城市更新和开发建设方式转型的影响力</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持续影响</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廊财建【2021】51号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老旧小区居民满意度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老旧小区居民满意度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≥80百分比</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17.</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新增行政职能工作经费绩效目标表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01"/>
        <w:gridCol w:w="1360"/>
        <w:gridCol w:w="1460"/>
        <w:gridCol w:w="2000"/>
        <w:gridCol w:w="1440"/>
        <w:gridCol w:w="64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0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661"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1.目标内容1通过项目开展，确保全区物业管理工作、住宅专项维修资金管理工作、老旧小区改造工作及公共租赁住房保障工作正常运行，保障新增行政职能工作人员及办公场所正常运转的需要。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0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36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46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0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44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640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0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3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20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保障办公人数</w:t>
            </w:r>
          </w:p>
        </w:tc>
        <w:tc>
          <w:tcPr>
            <w:tcW w:w="14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≥30人</w:t>
            </w:r>
          </w:p>
        </w:tc>
        <w:tc>
          <w:tcPr>
            <w:tcW w:w="64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01" w:type="dxa"/>
            <w:vMerge w:val="continue"/>
            <w:shd w:val="clear" w:color="auto" w:fill="auto"/>
            <w:vAlign w:val="center"/>
          </w:tcPr>
          <w:p>
            <w:pPr>
              <w:rPr>
                <w:rFonts w:hint="eastAsia" w:ascii="仿宋_GB2312" w:hAnsi="仿宋_GB2312" w:eastAsia="仿宋_GB2312" w:cs="仿宋_GB2312"/>
              </w:rPr>
            </w:pPr>
          </w:p>
        </w:tc>
        <w:tc>
          <w:tcPr>
            <w:tcW w:w="13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运行保障率</w:t>
            </w:r>
          </w:p>
        </w:tc>
        <w:tc>
          <w:tcPr>
            <w:tcW w:w="20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各项工作保障率</w:t>
            </w:r>
          </w:p>
        </w:tc>
        <w:tc>
          <w:tcPr>
            <w:tcW w:w="14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64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01" w:type="dxa"/>
            <w:vMerge w:val="continue"/>
            <w:shd w:val="clear" w:color="auto" w:fill="auto"/>
            <w:vAlign w:val="center"/>
          </w:tcPr>
          <w:p>
            <w:pPr>
              <w:rPr>
                <w:rFonts w:hint="eastAsia" w:ascii="仿宋_GB2312" w:hAnsi="仿宋_GB2312" w:eastAsia="仿宋_GB2312" w:cs="仿宋_GB2312"/>
              </w:rPr>
            </w:pPr>
          </w:p>
        </w:tc>
        <w:tc>
          <w:tcPr>
            <w:tcW w:w="13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经费保障及时性</w:t>
            </w:r>
          </w:p>
        </w:tc>
        <w:tc>
          <w:tcPr>
            <w:tcW w:w="20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及时保障各项办公需要</w:t>
            </w:r>
          </w:p>
        </w:tc>
        <w:tc>
          <w:tcPr>
            <w:tcW w:w="14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及时保障</w:t>
            </w:r>
          </w:p>
        </w:tc>
        <w:tc>
          <w:tcPr>
            <w:tcW w:w="64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01" w:type="dxa"/>
            <w:vMerge w:val="continue"/>
            <w:shd w:val="clear" w:color="auto" w:fill="auto"/>
            <w:vAlign w:val="center"/>
          </w:tcPr>
          <w:p>
            <w:pPr>
              <w:rPr>
                <w:rFonts w:hint="eastAsia" w:ascii="仿宋_GB2312" w:hAnsi="仿宋_GB2312" w:eastAsia="仿宋_GB2312" w:cs="仿宋_GB2312"/>
              </w:rPr>
            </w:pPr>
          </w:p>
        </w:tc>
        <w:tc>
          <w:tcPr>
            <w:tcW w:w="13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人员经费保障成本</w:t>
            </w:r>
          </w:p>
        </w:tc>
        <w:tc>
          <w:tcPr>
            <w:tcW w:w="20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人员经费保障成本</w:t>
            </w:r>
          </w:p>
        </w:tc>
        <w:tc>
          <w:tcPr>
            <w:tcW w:w="14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≤150万元</w:t>
            </w:r>
          </w:p>
        </w:tc>
        <w:tc>
          <w:tcPr>
            <w:tcW w:w="64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0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3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保障办公日常需要，维持四个科室正常运转</w:t>
            </w:r>
          </w:p>
        </w:tc>
        <w:tc>
          <w:tcPr>
            <w:tcW w:w="20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保障办公日常需要，维持四个科室正常运转</w:t>
            </w:r>
          </w:p>
        </w:tc>
        <w:tc>
          <w:tcPr>
            <w:tcW w:w="14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w:t>
            </w:r>
            <w:r>
              <w:rPr>
                <w:rFonts w:hint="eastAsia" w:ascii="仿宋_GB2312" w:hAnsi="仿宋_GB2312" w:eastAsia="仿宋_GB2312" w:cs="仿宋_GB2312"/>
                <w:lang w:eastAsia="zh-CN"/>
              </w:rPr>
              <w:t>单位</w:t>
            </w:r>
            <w:r>
              <w:rPr>
                <w:rFonts w:hint="eastAsia" w:ascii="仿宋_GB2312" w:hAnsi="仿宋_GB2312" w:eastAsia="仿宋_GB2312" w:cs="仿宋_GB2312"/>
              </w:rPr>
              <w:t>正常运转</w:t>
            </w:r>
          </w:p>
        </w:tc>
        <w:tc>
          <w:tcPr>
            <w:tcW w:w="64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0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w:t>
            </w:r>
          </w:p>
          <w:p>
            <w:pPr>
              <w:pStyle w:val="14"/>
              <w:rPr>
                <w:rFonts w:hint="eastAsia" w:ascii="仿宋_GB2312" w:hAnsi="仿宋_GB2312" w:eastAsia="仿宋_GB2312" w:cs="仿宋_GB2312"/>
              </w:rPr>
            </w:pPr>
            <w:r>
              <w:rPr>
                <w:rFonts w:hint="eastAsia" w:ascii="仿宋_GB2312" w:hAnsi="仿宋_GB2312" w:eastAsia="仿宋_GB2312" w:cs="仿宋_GB2312"/>
              </w:rPr>
              <w:t>满意度</w:t>
            </w:r>
          </w:p>
        </w:tc>
        <w:tc>
          <w:tcPr>
            <w:tcW w:w="20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服务对象满意情况</w:t>
            </w:r>
          </w:p>
        </w:tc>
        <w:tc>
          <w:tcPr>
            <w:tcW w:w="144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6401"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廊广住建〔2021〕170号《区住建局关于解决拨付新增行政职能相关经费的请示》、《广阳区人民政府常务会议纪要六界第4 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18.</w:t>
      </w:r>
      <w:r>
        <w:rPr>
          <w:rFonts w:hint="eastAsia" w:ascii="仿宋_GB2312" w:hAnsi="仿宋_GB2312" w:eastAsia="仿宋_GB2312" w:cs="仿宋_GB2312"/>
          <w:color w:val="000000"/>
          <w:sz w:val="28"/>
        </w:rPr>
        <w:t xml:space="preserve"> </w:t>
      </w:r>
      <w:r>
        <w:rPr>
          <w:rFonts w:hint="eastAsia" w:ascii="仿宋_GB2312" w:hAnsi="仿宋_GB2312" w:eastAsia="仿宋_GB2312" w:cs="仿宋_GB2312"/>
          <w:sz w:val="28"/>
        </w:rPr>
        <w:t>原房管局自收自支人员经费绩效目标表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2"/>
        <w:gridCol w:w="1520"/>
        <w:gridCol w:w="1800"/>
        <w:gridCol w:w="2200"/>
        <w:gridCol w:w="1760"/>
        <w:gridCol w:w="51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440" w:type="dxa"/>
            <w:gridSpan w:val="5"/>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1.目标内容1年按时按量支付职工工资及各项福利，维护职工队伍稳定，切实保障原区房管局承担的各项工作顺利正常开展，完成区住建局各项工作任务。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62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2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8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2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76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516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5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22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发放人数</w:t>
            </w:r>
          </w:p>
        </w:tc>
        <w:tc>
          <w:tcPr>
            <w:tcW w:w="17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45人</w:t>
            </w:r>
          </w:p>
        </w:tc>
        <w:tc>
          <w:tcPr>
            <w:tcW w:w="51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vMerge w:val="continue"/>
            <w:shd w:val="clear" w:color="auto" w:fill="auto"/>
            <w:vAlign w:val="center"/>
          </w:tcPr>
          <w:p>
            <w:pPr>
              <w:rPr>
                <w:rFonts w:hint="eastAsia" w:ascii="仿宋_GB2312" w:hAnsi="仿宋_GB2312" w:eastAsia="仿宋_GB2312" w:cs="仿宋_GB2312"/>
              </w:rPr>
            </w:pPr>
          </w:p>
        </w:tc>
        <w:tc>
          <w:tcPr>
            <w:tcW w:w="15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发放及时率</w:t>
            </w:r>
          </w:p>
        </w:tc>
        <w:tc>
          <w:tcPr>
            <w:tcW w:w="22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及时次数/总次数</w:t>
            </w:r>
          </w:p>
        </w:tc>
        <w:tc>
          <w:tcPr>
            <w:tcW w:w="17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1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vMerge w:val="continue"/>
            <w:shd w:val="clear" w:color="auto" w:fill="auto"/>
            <w:vAlign w:val="center"/>
          </w:tcPr>
          <w:p>
            <w:pPr>
              <w:rPr>
                <w:rFonts w:hint="eastAsia" w:ascii="仿宋_GB2312" w:hAnsi="仿宋_GB2312" w:eastAsia="仿宋_GB2312" w:cs="仿宋_GB2312"/>
              </w:rPr>
            </w:pPr>
          </w:p>
        </w:tc>
        <w:tc>
          <w:tcPr>
            <w:tcW w:w="15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准确发放率</w:t>
            </w:r>
          </w:p>
        </w:tc>
        <w:tc>
          <w:tcPr>
            <w:tcW w:w="22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实发金额/应发金额</w:t>
            </w:r>
          </w:p>
        </w:tc>
        <w:tc>
          <w:tcPr>
            <w:tcW w:w="17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1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vMerge w:val="continue"/>
            <w:shd w:val="clear" w:color="auto" w:fill="auto"/>
            <w:vAlign w:val="center"/>
          </w:tcPr>
          <w:p>
            <w:pPr>
              <w:rPr>
                <w:rFonts w:hint="eastAsia" w:ascii="仿宋_GB2312" w:hAnsi="仿宋_GB2312" w:eastAsia="仿宋_GB2312" w:cs="仿宋_GB2312"/>
              </w:rPr>
            </w:pPr>
          </w:p>
        </w:tc>
        <w:tc>
          <w:tcPr>
            <w:tcW w:w="15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人员经费成本</w:t>
            </w:r>
          </w:p>
        </w:tc>
        <w:tc>
          <w:tcPr>
            <w:tcW w:w="22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人员经费成本</w:t>
            </w:r>
          </w:p>
        </w:tc>
        <w:tc>
          <w:tcPr>
            <w:tcW w:w="17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≤150万元</w:t>
            </w:r>
          </w:p>
        </w:tc>
        <w:tc>
          <w:tcPr>
            <w:tcW w:w="51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5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维稳</w:t>
            </w:r>
          </w:p>
        </w:tc>
        <w:tc>
          <w:tcPr>
            <w:tcW w:w="22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维护职工</w:t>
            </w:r>
          </w:p>
          <w:p>
            <w:pPr>
              <w:pStyle w:val="14"/>
              <w:rPr>
                <w:rFonts w:hint="eastAsia" w:ascii="仿宋_GB2312" w:hAnsi="仿宋_GB2312" w:eastAsia="仿宋_GB2312" w:cs="仿宋_GB2312"/>
              </w:rPr>
            </w:pPr>
            <w:r>
              <w:rPr>
                <w:rFonts w:hint="eastAsia" w:ascii="仿宋_GB2312" w:hAnsi="仿宋_GB2312" w:eastAsia="仿宋_GB2312" w:cs="仿宋_GB2312"/>
              </w:rPr>
              <w:t>队伍稳定</w:t>
            </w:r>
          </w:p>
        </w:tc>
        <w:tc>
          <w:tcPr>
            <w:tcW w:w="17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基本稳定</w:t>
            </w:r>
          </w:p>
        </w:tc>
        <w:tc>
          <w:tcPr>
            <w:tcW w:w="51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62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2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职工满意度</w:t>
            </w:r>
          </w:p>
        </w:tc>
        <w:tc>
          <w:tcPr>
            <w:tcW w:w="220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满意人数占总人数的比率 </w:t>
            </w:r>
          </w:p>
        </w:tc>
        <w:tc>
          <w:tcPr>
            <w:tcW w:w="17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5160"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廊办字[2018]68号、廊广办字[2019]42号、廊广住建[2019]123号</w:t>
            </w:r>
          </w:p>
        </w:tc>
      </w:tr>
    </w:tbl>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廊坊市</w:t>
      </w:r>
      <w:r>
        <w:rPr>
          <w:rFonts w:hint="eastAsia"/>
        </w:rPr>
        <w:t>广阳区住房和城乡建设局</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2504" w:type="pct"/>
            <w:gridSpan w:val="8"/>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政府采购金额（当年</w:t>
            </w:r>
            <w:r>
              <w:rPr>
                <w:rFonts w:hint="eastAsia"/>
                <w:lang w:eastAsia="zh-CN"/>
              </w:rPr>
              <w:t>单位</w:t>
            </w:r>
            <w:r>
              <w:t>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318"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jc w:val="center"/>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jc w:val="center"/>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c>
          <w:tcPr>
            <w:tcW w:w="318"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b w:val="0"/>
                <w:bCs/>
                <w:lang w:eastAsia="zh-CN"/>
              </w:rPr>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jc w:val="center"/>
              <w:textAlignment w:val="auto"/>
              <w:rPr>
                <w:rFonts w:hint="eastAsia" w:eastAsiaTheme="minorEastAsia"/>
                <w:b w:val="0"/>
                <w:bCs/>
                <w:lang w:eastAsia="zh-CN"/>
              </w:rPr>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b w:val="0"/>
                <w:bCs/>
                <w:lang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jc w:val="center"/>
              <w:textAlignment w:val="auto"/>
              <w:rPr>
                <w:b w:val="0"/>
                <w:bCs/>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广阳区住房和城乡建设局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142.55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广阳区住房和城乡建设局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142.55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1099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1099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33.02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97.27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0B910D-794C-4726-B60F-1600061510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AE1CE869-5C91-478F-BE2B-42C219BAE79E}"/>
  </w:font>
  <w:font w:name="仿宋_GB2312">
    <w:panose1 w:val="02010609030101010101"/>
    <w:charset w:val="86"/>
    <w:family w:val="modern"/>
    <w:pitch w:val="default"/>
    <w:sig w:usb0="00000001" w:usb1="080E0000" w:usb2="00000000" w:usb3="00000000" w:csb0="00040000" w:csb1="00000000"/>
    <w:embedRegular r:id="rId3" w:fontKey="{BE8C40A0-4E3F-4AC5-8043-002157572DDA}"/>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F063A"/>
    <w:multiLevelType w:val="multilevel"/>
    <w:tmpl w:val="258F063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71B8C"/>
    <w:rsid w:val="000C73E4"/>
    <w:rsid w:val="000F6018"/>
    <w:rsid w:val="00113A59"/>
    <w:rsid w:val="0017168E"/>
    <w:rsid w:val="00203B1C"/>
    <w:rsid w:val="0025632D"/>
    <w:rsid w:val="00290138"/>
    <w:rsid w:val="003059E0"/>
    <w:rsid w:val="003607F7"/>
    <w:rsid w:val="00371FBA"/>
    <w:rsid w:val="003B2A1F"/>
    <w:rsid w:val="003F7B12"/>
    <w:rsid w:val="00473140"/>
    <w:rsid w:val="00474142"/>
    <w:rsid w:val="004A54AA"/>
    <w:rsid w:val="00536484"/>
    <w:rsid w:val="005528C7"/>
    <w:rsid w:val="00595C09"/>
    <w:rsid w:val="005B2CB1"/>
    <w:rsid w:val="005D4819"/>
    <w:rsid w:val="005F0C7F"/>
    <w:rsid w:val="005F147A"/>
    <w:rsid w:val="006025FE"/>
    <w:rsid w:val="00630B81"/>
    <w:rsid w:val="00647E17"/>
    <w:rsid w:val="00672E76"/>
    <w:rsid w:val="006C64F9"/>
    <w:rsid w:val="00724EF0"/>
    <w:rsid w:val="0077616E"/>
    <w:rsid w:val="00784F71"/>
    <w:rsid w:val="007C71EE"/>
    <w:rsid w:val="007F16E6"/>
    <w:rsid w:val="00803B92"/>
    <w:rsid w:val="00810B5F"/>
    <w:rsid w:val="00824BF0"/>
    <w:rsid w:val="00832687"/>
    <w:rsid w:val="00845DA7"/>
    <w:rsid w:val="00846277"/>
    <w:rsid w:val="0088126F"/>
    <w:rsid w:val="00896626"/>
    <w:rsid w:val="008B427C"/>
    <w:rsid w:val="008C2E9B"/>
    <w:rsid w:val="00944233"/>
    <w:rsid w:val="00946A68"/>
    <w:rsid w:val="00962BB2"/>
    <w:rsid w:val="009F3B19"/>
    <w:rsid w:val="00A12E2A"/>
    <w:rsid w:val="00A1306C"/>
    <w:rsid w:val="00A865B6"/>
    <w:rsid w:val="00AA7B65"/>
    <w:rsid w:val="00AF7FF9"/>
    <w:rsid w:val="00B1339F"/>
    <w:rsid w:val="00B15AE3"/>
    <w:rsid w:val="00B40732"/>
    <w:rsid w:val="00B46743"/>
    <w:rsid w:val="00B80935"/>
    <w:rsid w:val="00B96B04"/>
    <w:rsid w:val="00BC267D"/>
    <w:rsid w:val="00C37519"/>
    <w:rsid w:val="00D01EB9"/>
    <w:rsid w:val="00D275CF"/>
    <w:rsid w:val="00D347CC"/>
    <w:rsid w:val="00DC248D"/>
    <w:rsid w:val="00DC24D6"/>
    <w:rsid w:val="00DC72B4"/>
    <w:rsid w:val="00DC7BC4"/>
    <w:rsid w:val="00E422FC"/>
    <w:rsid w:val="00E80BA4"/>
    <w:rsid w:val="00F32B4E"/>
    <w:rsid w:val="00F57067"/>
    <w:rsid w:val="00FC0FF0"/>
    <w:rsid w:val="091532C9"/>
    <w:rsid w:val="0AA04940"/>
    <w:rsid w:val="0CEC1180"/>
    <w:rsid w:val="34A35940"/>
    <w:rsid w:val="623812DB"/>
    <w:rsid w:val="6E246928"/>
    <w:rsid w:val="700F46B6"/>
    <w:rsid w:val="73693C55"/>
    <w:rsid w:val="7739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624070-5342-49C9-BDCD-7DD939D9219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2938</Words>
  <Characters>16751</Characters>
  <Lines>139</Lines>
  <Paragraphs>39</Paragraphs>
  <TotalTime>2</TotalTime>
  <ScaleCrop>false</ScaleCrop>
  <LinksUpToDate>false</LinksUpToDate>
  <CharactersWithSpaces>19650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2023-08-15T01:20:49Z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F79BCE6D29704BE89EEE41FE8853293E</vt:lpwstr>
  </property>
</Properties>
</file>