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3" w:firstLineChars="200"/>
        <w:jc w:val="center"/>
        <w:rPr>
          <w:rFonts w:ascii="黑体" w:hAnsi="黑体" w:eastAsia="黑体" w:cs="Times New Roman"/>
          <w:b/>
          <w:sz w:val="44"/>
          <w:szCs w:val="44"/>
        </w:rPr>
      </w:pPr>
      <w:bookmarkStart w:id="2" w:name="_GoBack"/>
      <w:r>
        <w:rPr>
          <w:rFonts w:ascii="黑体" w:hAnsi="黑体" w:eastAsia="黑体" w:cs="Times New Roman"/>
          <w:b/>
          <w:sz w:val="44"/>
          <w:szCs w:val="44"/>
        </w:rPr>
        <w:t>廊坊市</w:t>
      </w:r>
      <w:r>
        <w:rPr>
          <w:rFonts w:hint="eastAsia" w:ascii="黑体" w:hAnsi="黑体" w:eastAsia="黑体" w:cs="Times New Roman"/>
          <w:b/>
          <w:sz w:val="44"/>
          <w:szCs w:val="44"/>
        </w:rPr>
        <w:t>广阳区工商业联合会</w:t>
      </w:r>
      <w:r>
        <w:rPr>
          <w:rFonts w:ascii="黑体" w:hAnsi="黑体" w:eastAsia="黑体" w:cs="Times New Roman"/>
          <w:b/>
          <w:sz w:val="44"/>
          <w:szCs w:val="44"/>
        </w:rPr>
        <w:t>20</w:t>
      </w:r>
      <w:r>
        <w:rPr>
          <w:rFonts w:hint="eastAsia" w:ascii="黑体" w:hAnsi="黑体" w:eastAsia="黑体" w:cs="Times New Roman"/>
          <w:b/>
          <w:sz w:val="44"/>
          <w:szCs w:val="44"/>
        </w:rPr>
        <w:t>2</w:t>
      </w:r>
      <w:r>
        <w:rPr>
          <w:rFonts w:ascii="黑体" w:hAnsi="黑体" w:eastAsia="黑体" w:cs="Times New Roman"/>
          <w:b/>
          <w:sz w:val="44"/>
          <w:szCs w:val="44"/>
        </w:rPr>
        <w:t>2年</w:t>
      </w:r>
      <w:r>
        <w:rPr>
          <w:rFonts w:hint="eastAsia" w:ascii="黑体" w:hAnsi="黑体" w:eastAsia="黑体" w:cs="Times New Roman"/>
          <w:b/>
          <w:sz w:val="44"/>
          <w:szCs w:val="44"/>
          <w:lang w:eastAsia="zh-CN"/>
        </w:rPr>
        <w:t>单位</w:t>
      </w:r>
      <w:r>
        <w:rPr>
          <w:rFonts w:ascii="黑体" w:hAnsi="黑体" w:eastAsia="黑体" w:cs="Times New Roman"/>
          <w:b/>
          <w:sz w:val="44"/>
          <w:szCs w:val="44"/>
        </w:rPr>
        <w:t>预算信息公开</w:t>
      </w:r>
      <w:r>
        <w:rPr>
          <w:rFonts w:hint="eastAsia" w:ascii="黑体" w:hAnsi="黑体" w:eastAsia="黑体" w:cs="Times New Roman"/>
          <w:b/>
          <w:sz w:val="44"/>
          <w:szCs w:val="44"/>
        </w:rPr>
        <w:t>情况说明</w:t>
      </w:r>
    </w:p>
    <w:bookmarkEnd w:id="2"/>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广阳区工商业联合会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（一）、参政议政：参政议政、社会服务等事项。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组织建设：发展工商联会员，指导基层商（协）会组织建设等各项工作。职责目标：贯彻全国和省市工商联组织建设工作方针，指导全区基层商会的建设，维护会员合法权益；组织换届、培训、思想政治和基层建设工作；对非公有制经济优秀人士进行宣传。</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（三）、工商联事务管理：综合性事务管理等事项。职责目标：为做好机关档案、信息、财务、会务、保密、安全保卫、固定资产和日常工作提供保障和服务。 </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促进民营经济发展：加强对民营经济的宏观指导、综合协调，优化发展环境，激活市场主体，破解要素制约，强化公共服务，加强督导、检查和考核，提高民营经济发展质量和水平。职责目标：推动民营经济持续、健康发展。</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autoSpaceDE w:val="0"/>
              <w:autoSpaceDN w:val="0"/>
              <w:spacing w:line="540" w:lineRule="exact"/>
              <w:jc w:val="center"/>
              <w:rPr>
                <w:rFonts w:ascii="仿宋_GB2312" w:eastAsia="仿宋_GB2312"/>
                <w:sz w:val="32"/>
                <w:szCs w:val="32"/>
              </w:rPr>
            </w:pPr>
            <w:r>
              <w:rPr>
                <w:rFonts w:hint="eastAsia" w:ascii="仿宋_GB2312" w:eastAsia="仿宋_GB2312"/>
                <w:color w:val="000000"/>
                <w:sz w:val="32"/>
                <w:szCs w:val="32"/>
              </w:rPr>
              <w:t>廊坊市广阳区工商业联合会</w:t>
            </w:r>
          </w:p>
        </w:tc>
        <w:tc>
          <w:tcPr>
            <w:tcW w:w="1134" w:type="dxa"/>
            <w:shd w:val="clear" w:color="auto" w:fill="auto"/>
            <w:vAlign w:val="center"/>
          </w:tcPr>
          <w:p>
            <w:pPr>
              <w:autoSpaceDE w:val="0"/>
              <w:autoSpaceDN w:val="0"/>
              <w:spacing w:line="540" w:lineRule="exact"/>
              <w:jc w:val="center"/>
              <w:rPr>
                <w:rFonts w:ascii="仿宋_GB2312" w:eastAsia="仿宋_GB2312"/>
                <w:sz w:val="32"/>
                <w:szCs w:val="32"/>
              </w:rPr>
            </w:pPr>
            <w:r>
              <w:rPr>
                <w:rFonts w:hint="eastAsia" w:ascii="仿宋_GB2312" w:eastAsia="仿宋_GB2312"/>
                <w:color w:val="000000"/>
                <w:sz w:val="32"/>
                <w:szCs w:val="32"/>
              </w:rPr>
              <w:t>行政单位</w:t>
            </w:r>
          </w:p>
        </w:tc>
        <w:tc>
          <w:tcPr>
            <w:tcW w:w="1276" w:type="dxa"/>
            <w:shd w:val="clear" w:color="auto" w:fill="auto"/>
            <w:vAlign w:val="center"/>
          </w:tcPr>
          <w:p>
            <w:pPr>
              <w:spacing w:line="540" w:lineRule="exact"/>
              <w:jc w:val="center"/>
              <w:rPr>
                <w:rFonts w:ascii="仿宋_GB2312" w:eastAsia="仿宋_GB2312"/>
                <w:sz w:val="32"/>
                <w:szCs w:val="32"/>
              </w:rPr>
            </w:pPr>
            <w:r>
              <w:rPr>
                <w:rFonts w:hint="eastAsia" w:ascii="仿宋_GB2312" w:eastAsia="仿宋_GB2312"/>
                <w:sz w:val="32"/>
                <w:szCs w:val="32"/>
              </w:rPr>
              <w:t>正</w:t>
            </w:r>
            <w:r>
              <w:rPr>
                <w:rFonts w:ascii="仿宋_GB2312" w:eastAsia="仿宋_GB2312"/>
                <w:sz w:val="32"/>
                <w:szCs w:val="32"/>
              </w:rPr>
              <w:t>科</w:t>
            </w:r>
            <w:r>
              <w:rPr>
                <w:rFonts w:hint="eastAsia" w:ascii="仿宋_GB2312" w:eastAsia="仿宋_GB2312"/>
                <w:sz w:val="32"/>
                <w:szCs w:val="32"/>
              </w:rPr>
              <w:t>级</w:t>
            </w:r>
          </w:p>
        </w:tc>
        <w:tc>
          <w:tcPr>
            <w:tcW w:w="2902" w:type="dxa"/>
            <w:shd w:val="clear" w:color="auto" w:fill="auto"/>
            <w:vAlign w:val="center"/>
          </w:tcPr>
          <w:p>
            <w:pPr>
              <w:autoSpaceDE w:val="0"/>
              <w:autoSpaceDN w:val="0"/>
              <w:spacing w:line="540" w:lineRule="exact"/>
              <w:jc w:val="center"/>
              <w:rPr>
                <w:rFonts w:ascii="仿宋_GB2312" w:eastAsia="仿宋_GB2312"/>
                <w:sz w:val="32"/>
                <w:szCs w:val="32"/>
              </w:rPr>
            </w:pPr>
            <w:r>
              <w:rPr>
                <w:rFonts w:hint="eastAsia" w:ascii="仿宋_GB2312" w:eastAsia="仿宋_GB2312"/>
                <w:color w:val="000000"/>
                <w:sz w:val="32"/>
                <w:szCs w:val="32"/>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广阳区工商业联合会</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2年预算收入100.03万元，其中：一般公共预算收入100.03万元，基金预算收入0万元，财政专户核拨收入0万元，其他来源收入0万元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广阳区工商联2</w:t>
      </w:r>
      <w:r>
        <w:rPr>
          <w:rFonts w:ascii="Times New Roman" w:hAnsi="Times New Roman" w:eastAsia="仿宋_GB2312" w:cs="Times New Roman"/>
          <w:sz w:val="32"/>
          <w:szCs w:val="32"/>
        </w:rPr>
        <w:t>022年度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2年支出预算100.03万元，其中基本支出100.03万元，包括人员类项目经费85.98万元和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4.05万元；运转类其他及特定目标类项目支出0万元；上缴上级支出0万元；其他支出0万元。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2年预算收支安排100.03万元，较20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2.7万元</w:t>
      </w:r>
      <w:r>
        <w:rPr>
          <w:rFonts w:hint="eastAsia" w:ascii="Times New Roman" w:hAnsi="Times New Roman" w:eastAsia="仿宋_GB2312" w:cs="Times New Roman"/>
          <w:sz w:val="32"/>
          <w:szCs w:val="32"/>
        </w:rPr>
        <w:t>，主要原因为人员类项目经费减少，厉行节约，缩减开支</w:t>
      </w:r>
      <w:r>
        <w:rPr>
          <w:rFonts w:ascii="Times New Roman" w:hAnsi="Times New Roman" w:eastAsia="仿宋_GB2312" w:cs="Times New Roman"/>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机关运行经费共计安排14.05万元，主要用于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w:t>
      </w:r>
      <w:r>
        <w:rPr>
          <w:rFonts w:hint="eastAsia" w:ascii="Times New Roman" w:hAnsi="Times New Roman" w:eastAsia="仿宋_GB2312" w:cs="Times New Roman"/>
          <w:sz w:val="32"/>
          <w:szCs w:val="32"/>
        </w:rPr>
        <w:t>公务用车维修等</w:t>
      </w:r>
      <w:r>
        <w:rPr>
          <w:rFonts w:ascii="Times New Roman" w:hAnsi="Times New Roman" w:eastAsia="仿宋_GB2312" w:cs="Times New Roman"/>
          <w:sz w:val="32"/>
          <w:szCs w:val="32"/>
        </w:rPr>
        <w:t>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会</w:t>
      </w:r>
      <w:r>
        <w:rPr>
          <w:rFonts w:ascii="Times New Roman" w:hAnsi="Times New Roman" w:eastAsia="仿宋_GB2312" w:cs="Times New Roman"/>
          <w:sz w:val="32"/>
          <w:szCs w:val="32"/>
        </w:rPr>
        <w:t>财政拨款“三公”经费预算安排2.19万元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万元；公务用车购置及运维费2.19万元（其中：公务用车购置费为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万元，公务用车运维费2.19万元)；公务接待费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相比持平</w:t>
      </w:r>
      <w:r>
        <w:rPr>
          <w:rFonts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lang w:val="en-US" w:eastAsia="zh-CN"/>
        </w:rPr>
        <w:t>1</w:t>
      </w:r>
      <w:r>
        <w:rPr>
          <w:rFonts w:hint="eastAsia" w:ascii="仿宋_GB2312" w:eastAsia="仿宋_GB2312" w:cs="Times New Roman"/>
          <w:sz w:val="32"/>
          <w:szCs w:val="32"/>
        </w:rPr>
        <w:t>、组织开展调研，向区政协提交大会发言和集体提案，反映社情民意，与区政府对口单位紧密联系。开展各种相关业务活动及会议。积极搭建服务平台，举办招商会、银企对接会、及法律维权、科技进民企活动。加强与国内外知名企业、海外工商社团的合作交流，组织会员企业参加与农村面貌改造提升行动、社会扶贫和公益事业。</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lang w:val="en-US" w:eastAsia="zh-CN"/>
        </w:rPr>
        <w:t>2</w:t>
      </w:r>
      <w:r>
        <w:rPr>
          <w:rFonts w:hint="eastAsia" w:ascii="仿宋_GB2312" w:eastAsia="仿宋_GB2312" w:cs="Times New Roman"/>
          <w:sz w:val="32"/>
          <w:szCs w:val="32"/>
        </w:rPr>
        <w:t>、贯彻全国和省市工商联组织建设工作方针，指导全区基层商会的建设，维护会员合法权益；组织换届、培训、思想政治和基层建设工作；对非公有制经济优秀人士进行宣传。</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lang w:val="en-US" w:eastAsia="zh-CN"/>
        </w:rPr>
        <w:t>3</w:t>
      </w:r>
      <w:r>
        <w:rPr>
          <w:rFonts w:hint="eastAsia" w:ascii="仿宋_GB2312" w:eastAsia="仿宋_GB2312" w:cs="Times New Roman"/>
          <w:sz w:val="32"/>
          <w:szCs w:val="32"/>
        </w:rPr>
        <w:t>、做好机关档案、信息、财务、会务、保密、安全保卫、固定资产和日常工作提供保障和服务。</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lang w:val="en-US" w:eastAsia="zh-CN"/>
        </w:rPr>
        <w:t>4</w:t>
      </w:r>
      <w:r>
        <w:rPr>
          <w:rFonts w:hint="eastAsia" w:ascii="仿宋_GB2312" w:eastAsia="仿宋_GB2312" w:cs="Times New Roman"/>
          <w:sz w:val="32"/>
          <w:szCs w:val="32"/>
        </w:rPr>
        <w:t>、推动民营经济持续、健康发展。</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1、参政议政。</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绩效目标：组织开展调研，向区政协提交大会发言和集体提案，反映社情民意，与区政府对口单位紧密联系。</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绩效指标：年度内报送社情民意数量不低于</w:t>
      </w:r>
      <w:r>
        <w:rPr>
          <w:rFonts w:ascii="仿宋_GB2312" w:eastAsia="仿宋_GB2312" w:cs="Times New Roman"/>
          <w:sz w:val="32"/>
          <w:szCs w:val="32"/>
        </w:rPr>
        <w:t>3</w:t>
      </w:r>
      <w:r>
        <w:rPr>
          <w:rFonts w:hint="eastAsia" w:ascii="仿宋_GB2312" w:eastAsia="仿宋_GB2312" w:cs="Times New Roman"/>
          <w:sz w:val="32"/>
          <w:szCs w:val="32"/>
        </w:rPr>
        <w:t>次。</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2、贯彻方针政策，加强组织建设。</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绩效目标：贯彻全国和省市工商联组织建设工作方针，维护会员合法权益；组织换届、培训、思想政治工作；对非公有制经济优秀人士进行宣传。</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绩效指标：按要求召开执常委会议，组织相关培训会议。</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3、增强社会服务工作。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助力“京津冀”三地民营企业经济协同发展及三地工商联协同化，引导会员积极承担社会责任，热心公益事业，投身光彩事业，加强与海外社团沟通交流，发挥工商联在政府管理和服务非公有制经济中的助手作用，助力河北经济发展。</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绩效指标：定期不定期召开银企对接等会议不低于2次，进行法律维权等活动不低于2次。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left"/>
        <w:textAlignment w:val="auto"/>
        <w:rPr>
          <w:rFonts w:ascii="仿宋_GB2312" w:eastAsia="仿宋_GB2312" w:cs="Times New Roman"/>
          <w:sz w:val="32"/>
          <w:szCs w:val="32"/>
        </w:rPr>
      </w:pPr>
      <w:r>
        <w:rPr>
          <w:rFonts w:hint="eastAsia" w:ascii="仿宋_GB2312" w:eastAsia="仿宋_GB2312" w:cs="Times New Roman"/>
          <w:sz w:val="32"/>
          <w:szCs w:val="32"/>
        </w:rPr>
        <w:t>1、加强组织领导。将事前评估、目标管理、运行监控、绩效评价、结果应用等各项改革措施，有效融入预算管理的全过程环节，建立健全统战领域预算绩效管理的路径和制度体系。成立由主要领导同志任组长的预算绩效工作领导小组，建立统筹协调、分工协作、密切配合、合力推进的工作机制。围绕年度总体绩效目标和分类绩效目标，细化工作方案，明确责任主体、实施进度要求，确保如期完成。</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left"/>
        <w:textAlignment w:val="auto"/>
        <w:rPr>
          <w:rFonts w:ascii="仿宋_GB2312" w:eastAsia="仿宋_GB2312" w:cs="Times New Roman"/>
          <w:sz w:val="32"/>
          <w:szCs w:val="32"/>
        </w:rPr>
      </w:pPr>
      <w:r>
        <w:rPr>
          <w:rFonts w:hint="eastAsia" w:ascii="仿宋_GB2312" w:eastAsia="仿宋_GB2312" w:cs="Times New Roman"/>
          <w:sz w:val="32"/>
          <w:szCs w:val="32"/>
        </w:rPr>
        <w:t>2、强化预算编制。按照</w:t>
      </w:r>
      <w:r>
        <w:rPr>
          <w:rFonts w:hint="eastAsia" w:ascii="仿宋_GB2312" w:eastAsia="仿宋_GB2312" w:cs="Times New Roman"/>
          <w:sz w:val="32"/>
          <w:szCs w:val="32"/>
          <w:lang w:eastAsia="zh-CN"/>
        </w:rPr>
        <w:t>单位</w:t>
      </w:r>
      <w:r>
        <w:rPr>
          <w:rFonts w:hint="eastAsia" w:ascii="仿宋_GB2312" w:eastAsia="仿宋_GB2312" w:cs="Times New Roman"/>
          <w:sz w:val="32"/>
          <w:szCs w:val="32"/>
        </w:rPr>
        <w:t>预算的要求，认真编制预算方案。做到有预算安排、有支出标准、有制度依据，维护预算的严肃性和权威性。严格按《</w:t>
      </w:r>
      <w:r>
        <w:rPr>
          <w:rFonts w:hint="eastAsia" w:ascii="仿宋_GB2312" w:eastAsia="仿宋_GB2312" w:cs="Times New Roman"/>
          <w:sz w:val="32"/>
          <w:szCs w:val="32"/>
          <w:lang w:eastAsia="zh-CN"/>
        </w:rPr>
        <w:t>中华人民共和国</w:t>
      </w:r>
      <w:r>
        <w:rPr>
          <w:rFonts w:hint="eastAsia" w:ascii="仿宋_GB2312" w:eastAsia="仿宋_GB2312" w:cs="Times New Roman"/>
          <w:sz w:val="32"/>
          <w:szCs w:val="32"/>
        </w:rPr>
        <w:t>预算法》的规定，进一步做细、做实、做准预算，为预算执行打下良好基础，提高预算到位率，切实把预算细化到</w:t>
      </w:r>
      <w:r>
        <w:rPr>
          <w:rFonts w:hint="eastAsia" w:ascii="仿宋_GB2312" w:eastAsia="仿宋_GB2312" w:cs="Times New Roman"/>
          <w:sz w:val="32"/>
          <w:szCs w:val="32"/>
          <w:lang w:eastAsia="zh-CN"/>
        </w:rPr>
        <w:t>单位</w:t>
      </w:r>
      <w:r>
        <w:rPr>
          <w:rFonts w:hint="eastAsia" w:ascii="仿宋_GB2312" w:eastAsia="仿宋_GB2312" w:cs="Times New Roman"/>
          <w:sz w:val="32"/>
          <w:szCs w:val="32"/>
        </w:rPr>
        <w:t>，细化到基层单位，细化到具体项目。</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left"/>
        <w:textAlignment w:val="auto"/>
        <w:rPr>
          <w:rFonts w:ascii="仿宋_GB2312" w:eastAsia="仿宋_GB2312" w:cs="Times New Roman"/>
          <w:sz w:val="32"/>
          <w:szCs w:val="32"/>
        </w:rPr>
      </w:pPr>
      <w:r>
        <w:rPr>
          <w:rFonts w:hint="eastAsia" w:ascii="仿宋_GB2312" w:eastAsia="仿宋_GB2312" w:cs="Times New Roman"/>
          <w:sz w:val="32"/>
          <w:szCs w:val="32"/>
        </w:rPr>
        <w:t>3、狠抓任务落实。强化财政预算执行的刚性约束，按照“谁花钱、谁负责，谁牵总、谁主责”的原则，明确业务预算绩效管理职责。按照预算经费支出进度要求，履行政府采购程序，优化</w:t>
      </w:r>
      <w:r>
        <w:rPr>
          <w:rFonts w:hint="eastAsia" w:ascii="仿宋_GB2312" w:eastAsia="仿宋_GB2312" w:cs="Times New Roman"/>
          <w:sz w:val="32"/>
          <w:szCs w:val="32"/>
          <w:lang w:eastAsia="zh-CN"/>
        </w:rPr>
        <w:t>单位</w:t>
      </w:r>
      <w:r>
        <w:rPr>
          <w:rFonts w:hint="eastAsia" w:ascii="仿宋_GB2312" w:eastAsia="仿宋_GB2312" w:cs="Times New Roman"/>
          <w:sz w:val="32"/>
          <w:szCs w:val="32"/>
        </w:rPr>
        <w:t>预算支出结构，创新财政资金支出思路，合理改进支出方式，确保按照时间节点完成支出任务。</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left"/>
        <w:textAlignment w:val="auto"/>
        <w:rPr>
          <w:rFonts w:ascii="仿宋_GB2312" w:eastAsia="仿宋_GB2312" w:cs="Times New Roman"/>
          <w:sz w:val="32"/>
          <w:szCs w:val="32"/>
        </w:rPr>
      </w:pPr>
      <w:r>
        <w:rPr>
          <w:rFonts w:hint="eastAsia" w:ascii="仿宋_GB2312" w:eastAsia="仿宋_GB2312" w:cs="Times New Roman"/>
          <w:sz w:val="32"/>
          <w:szCs w:val="32"/>
        </w:rPr>
        <w:t>4、规范资产管理。不断加强资产管理，定期开展清查盘点，核实清理资产，盘活存量资源，合理配置部内资产，及时发现和堵塞管理中的漏洞，妥善处理和解决管理中出现的各种问题，进一步努力提高资产使用效益。</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left"/>
        <w:textAlignment w:val="auto"/>
        <w:rPr>
          <w:rFonts w:ascii="仿宋_GB2312" w:eastAsia="仿宋_GB2312" w:cs="Times New Roman"/>
          <w:sz w:val="32"/>
          <w:szCs w:val="32"/>
        </w:rPr>
      </w:pPr>
      <w:r>
        <w:rPr>
          <w:rFonts w:hint="eastAsia" w:ascii="仿宋_GB2312" w:eastAsia="仿宋_GB2312" w:cs="Times New Roman"/>
          <w:sz w:val="32"/>
          <w:szCs w:val="32"/>
        </w:rPr>
        <w:t>5、加强内部监督。建立健全内部控制为核心、实现不同岗位的内部牵制制度，充分发挥内控体系在明确权责方面的重要作用。进一步完善内控监督制度，有效行使内控体系的监督评价职责，促进内控体系的不断完善，规范权力运行，提高单位管理服务水平。加强预算资金事前、事中、事后的全方位监管，注重资金支出绩效，最大限度的发挥财政资金效益。对预算执行绩效情况进行跟踪监控，及时掌握项目实施进展、资金拨付和有关绩效指标完成情况，确保绩效目标实现。</w:t>
      </w:r>
    </w:p>
    <w:p>
      <w:pPr>
        <w:keepNext w:val="0"/>
        <w:keepLines w:val="0"/>
        <w:pageBreakBefore w:val="0"/>
        <w:widowControl w:val="0"/>
        <w:kinsoku/>
        <w:wordWrap/>
        <w:overflowPunct w:val="0"/>
        <w:topLinePunct w:val="0"/>
        <w:autoSpaceDE/>
        <w:autoSpaceDN/>
        <w:bidi w:val="0"/>
        <w:adjustRightInd w:val="0"/>
        <w:snapToGrid w:val="0"/>
        <w:spacing w:line="580" w:lineRule="exact"/>
        <w:ind w:firstLine="640" w:firstLineChars="200"/>
        <w:jc w:val="left"/>
        <w:textAlignment w:val="auto"/>
        <w:rPr>
          <w:rFonts w:ascii="仿宋_GB2312" w:eastAsia="仿宋_GB2312" w:cs="Times New Roman"/>
          <w:sz w:val="32"/>
          <w:szCs w:val="32"/>
        </w:rPr>
      </w:pPr>
      <w:r>
        <w:rPr>
          <w:rFonts w:hint="eastAsia" w:ascii="仿宋_GB2312" w:eastAsia="仿宋_GB2312" w:cs="Times New Roman"/>
          <w:sz w:val="32"/>
          <w:szCs w:val="32"/>
        </w:rPr>
        <w:t>6、强化宣传引导。组织开展业务培训，使机关全体干部牢固树立绩效理念，熟悉管理流程，掌握工作方法，提升管理能力。探索工作经验，及时总结统战系统预算绩效管理成效，营造良好的舆论氛围。积极采取购买服务等方式，提升预算绩效管理科学水平。</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791"/>
        <w:gridCol w:w="1242"/>
        <w:gridCol w:w="1492"/>
        <w:gridCol w:w="1112"/>
        <w:gridCol w:w="5903"/>
        <w:gridCol w:w="765"/>
        <w:gridCol w:w="673"/>
        <w:gridCol w:w="1239"/>
        <w:gridCol w:w="1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26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41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503"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7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9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903"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53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267" w:type="pct"/>
            <w:vMerge w:val="continue"/>
            <w:tcBorders>
              <w:tl2br w:val="nil"/>
              <w:tr2bl w:val="nil"/>
            </w:tcBorders>
            <w:vAlign w:val="center"/>
          </w:tcPr>
          <w:p/>
        </w:tc>
        <w:tc>
          <w:tcPr>
            <w:tcW w:w="419" w:type="pct"/>
            <w:vMerge w:val="continue"/>
            <w:tcBorders>
              <w:tl2br w:val="nil"/>
              <w:tr2bl w:val="nil"/>
            </w:tcBorders>
            <w:vAlign w:val="center"/>
          </w:tcPr>
          <w:p/>
        </w:tc>
        <w:tc>
          <w:tcPr>
            <w:tcW w:w="503" w:type="pct"/>
            <w:vMerge w:val="continue"/>
            <w:tcBorders>
              <w:tl2br w:val="nil"/>
              <w:tr2bl w:val="nil"/>
            </w:tcBorders>
            <w:vAlign w:val="center"/>
          </w:tcPr>
          <w:p/>
        </w:tc>
        <w:tc>
          <w:tcPr>
            <w:tcW w:w="375" w:type="pct"/>
            <w:vMerge w:val="continue"/>
            <w:tcBorders>
              <w:tl2br w:val="nil"/>
              <w:tr2bl w:val="nil"/>
            </w:tcBorders>
            <w:vAlign w:val="center"/>
          </w:tcPr>
          <w:p/>
        </w:tc>
        <w:tc>
          <w:tcPr>
            <w:tcW w:w="1991" w:type="pct"/>
            <w:vMerge w:val="continue"/>
            <w:tcBorders>
              <w:tl2br w:val="nil"/>
              <w:tr2bl w:val="nil"/>
            </w:tcBorders>
            <w:vAlign w:val="center"/>
          </w:tcPr>
          <w:p/>
        </w:tc>
        <w:tc>
          <w:tcPr>
            <w:tcW w:w="258"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27"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416"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538"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267" w:type="pct"/>
            <w:vMerge w:val="restart"/>
            <w:tcBorders>
              <w:tl2br w:val="nil"/>
              <w:tr2bl w:val="nil"/>
            </w:tcBorders>
            <w:vAlign w:val="center"/>
          </w:tcPr>
          <w:p>
            <w:pPr>
              <w:widowControl/>
              <w:adjustRightInd w:val="0"/>
              <w:snapToGrid w:val="0"/>
              <w:jc w:val="center"/>
              <w:rPr>
                <w:rFonts w:ascii="方正书宋_GBK" w:eastAsia="方正书宋_GBK"/>
                <w:b/>
                <w:bCs/>
              </w:rPr>
            </w:pPr>
            <w:r>
              <w:rPr>
                <w:rFonts w:hint="eastAsia" w:ascii="方正书宋_GBK" w:eastAsia="方正书宋_GBK"/>
                <w:b/>
                <w:bCs/>
                <w:lang w:eastAsia="zh-CN"/>
              </w:rPr>
              <w:t>单位</w:t>
            </w:r>
            <w:r>
              <w:rPr>
                <w:rFonts w:ascii="方正书宋_GBK" w:eastAsia="方正书宋_GBK"/>
                <w:b/>
                <w:bCs/>
              </w:rPr>
              <w:t>产出</w:t>
            </w:r>
          </w:p>
        </w:tc>
        <w:tc>
          <w:tcPr>
            <w:tcW w:w="419" w:type="pct"/>
            <w:tcBorders>
              <w:tl2br w:val="nil"/>
              <w:tr2bl w:val="nil"/>
            </w:tcBorders>
            <w:vAlign w:val="center"/>
          </w:tcPr>
          <w:p>
            <w:pPr>
              <w:widowControl/>
              <w:adjustRightInd w:val="0"/>
              <w:snapToGrid w:val="0"/>
              <w:jc w:val="center"/>
              <w:rPr>
                <w:rFonts w:ascii="方正书宋_GBK" w:eastAsia="方正书宋_GBK"/>
                <w:b/>
                <w:bCs/>
              </w:rPr>
            </w:pPr>
            <w:r>
              <w:rPr>
                <w:rFonts w:ascii="方正书宋_GBK" w:eastAsia="方正书宋_GBK"/>
                <w:b/>
                <w:bCs/>
              </w:rPr>
              <w:t>数量</w:t>
            </w:r>
          </w:p>
        </w:tc>
        <w:tc>
          <w:tcPr>
            <w:tcW w:w="50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召开执常委会议</w:t>
            </w:r>
          </w:p>
        </w:tc>
        <w:tc>
          <w:tcPr>
            <w:tcW w:w="375" w:type="pct"/>
            <w:tcBorders>
              <w:tl2br w:val="nil"/>
              <w:tr2bl w:val="nil"/>
            </w:tcBorders>
            <w:vAlign w:val="center"/>
          </w:tcPr>
          <w:p>
            <w:pPr>
              <w:widowControl/>
              <w:adjustRightInd w:val="0"/>
              <w:snapToGrid w:val="0"/>
              <w:spacing w:line="320" w:lineRule="exact"/>
              <w:rPr>
                <w:rFonts w:hint="eastAsia" w:ascii="仿宋_GB2312" w:hAnsi="仿宋_GB2312" w:eastAsia="仿宋_GB2312" w:cs="仿宋_GB2312"/>
              </w:rPr>
            </w:pPr>
            <w:r>
              <w:rPr>
                <w:rFonts w:hint="eastAsia" w:ascii="仿宋_GB2312" w:hAnsi="仿宋_GB2312" w:eastAsia="仿宋_GB2312" w:cs="仿宋_GB2312"/>
              </w:rPr>
              <w:t>20分</w:t>
            </w:r>
          </w:p>
        </w:tc>
        <w:tc>
          <w:tcPr>
            <w:tcW w:w="199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按照要求召开执常委会</w:t>
            </w:r>
            <w:r>
              <w:rPr>
                <w:rFonts w:hint="eastAsia" w:ascii="仿宋_GB2312" w:hAnsi="仿宋_GB2312" w:eastAsia="仿宋_GB2312" w:cs="仿宋_GB2312"/>
                <w:lang w:eastAsia="zh-CN"/>
              </w:rPr>
              <w:t>会</w:t>
            </w:r>
            <w:r>
              <w:rPr>
                <w:rFonts w:hint="eastAsia" w:ascii="仿宋_GB2312" w:hAnsi="仿宋_GB2312" w:eastAsia="仿宋_GB2312" w:cs="仿宋_GB2312"/>
              </w:rPr>
              <w:t>议</w:t>
            </w:r>
          </w:p>
        </w:tc>
        <w:tc>
          <w:tcPr>
            <w:tcW w:w="258"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召开</w:t>
            </w:r>
          </w:p>
        </w:tc>
        <w:tc>
          <w:tcPr>
            <w:tcW w:w="22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召开</w:t>
            </w:r>
          </w:p>
        </w:tc>
        <w:tc>
          <w:tcPr>
            <w:tcW w:w="41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召开</w:t>
            </w:r>
          </w:p>
        </w:tc>
        <w:tc>
          <w:tcPr>
            <w:tcW w:w="53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67" w:type="pct"/>
            <w:vMerge w:val="continue"/>
            <w:tcBorders>
              <w:tl2br w:val="nil"/>
              <w:tr2bl w:val="nil"/>
            </w:tcBorders>
            <w:vAlign w:val="center"/>
          </w:tcPr>
          <w:p>
            <w:pPr>
              <w:rPr>
                <w:b/>
                <w:bCs/>
              </w:rPr>
            </w:pPr>
          </w:p>
        </w:tc>
        <w:tc>
          <w:tcPr>
            <w:tcW w:w="419" w:type="pct"/>
            <w:tcBorders>
              <w:tl2br w:val="nil"/>
              <w:tr2bl w:val="nil"/>
            </w:tcBorders>
            <w:vAlign w:val="center"/>
          </w:tcPr>
          <w:p>
            <w:pPr>
              <w:widowControl/>
              <w:adjustRightInd w:val="0"/>
              <w:snapToGrid w:val="0"/>
              <w:jc w:val="center"/>
              <w:rPr>
                <w:rFonts w:ascii="方正书宋_GBK" w:eastAsia="方正书宋_GBK"/>
                <w:b/>
                <w:bCs/>
              </w:rPr>
            </w:pPr>
            <w:r>
              <w:rPr>
                <w:rFonts w:ascii="方正书宋_GBK" w:eastAsia="方正书宋_GBK"/>
                <w:b/>
                <w:bCs/>
              </w:rPr>
              <w:t>质量</w:t>
            </w:r>
          </w:p>
        </w:tc>
        <w:tc>
          <w:tcPr>
            <w:tcW w:w="50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反映社情民意数</w:t>
            </w:r>
          </w:p>
        </w:tc>
        <w:tc>
          <w:tcPr>
            <w:tcW w:w="37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w:t>
            </w:r>
          </w:p>
        </w:tc>
        <w:tc>
          <w:tcPr>
            <w:tcW w:w="199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反映向区委区政府报送社情民意数量</w:t>
            </w:r>
          </w:p>
        </w:tc>
        <w:tc>
          <w:tcPr>
            <w:tcW w:w="258"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2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3</w:t>
            </w:r>
          </w:p>
        </w:tc>
        <w:tc>
          <w:tcPr>
            <w:tcW w:w="41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次</w:t>
            </w:r>
          </w:p>
        </w:tc>
        <w:tc>
          <w:tcPr>
            <w:tcW w:w="53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267" w:type="pct"/>
            <w:vMerge w:val="continue"/>
            <w:tcBorders>
              <w:tl2br w:val="nil"/>
              <w:tr2bl w:val="nil"/>
            </w:tcBorders>
            <w:vAlign w:val="center"/>
          </w:tcPr>
          <w:p>
            <w:pPr>
              <w:rPr>
                <w:b/>
                <w:bCs/>
              </w:rPr>
            </w:pPr>
          </w:p>
        </w:tc>
        <w:tc>
          <w:tcPr>
            <w:tcW w:w="419" w:type="pct"/>
            <w:tcBorders>
              <w:tl2br w:val="nil"/>
              <w:tr2bl w:val="nil"/>
            </w:tcBorders>
            <w:vAlign w:val="center"/>
          </w:tcPr>
          <w:p>
            <w:pPr>
              <w:widowControl/>
              <w:adjustRightInd w:val="0"/>
              <w:snapToGrid w:val="0"/>
              <w:jc w:val="center"/>
              <w:rPr>
                <w:rFonts w:ascii="方正书宋_GBK" w:eastAsia="方正书宋_GBK"/>
                <w:b/>
                <w:bCs/>
              </w:rPr>
            </w:pPr>
            <w:r>
              <w:rPr>
                <w:rFonts w:ascii="方正书宋_GBK" w:eastAsia="方正书宋_GBK"/>
                <w:b/>
                <w:bCs/>
              </w:rPr>
              <w:t>时效</w:t>
            </w:r>
          </w:p>
        </w:tc>
        <w:tc>
          <w:tcPr>
            <w:tcW w:w="50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资金发放完成时间</w:t>
            </w:r>
          </w:p>
        </w:tc>
        <w:tc>
          <w:tcPr>
            <w:tcW w:w="37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w:t>
            </w:r>
          </w:p>
        </w:tc>
        <w:tc>
          <w:tcPr>
            <w:tcW w:w="199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规定时间内完成各项资金发放</w:t>
            </w:r>
          </w:p>
        </w:tc>
        <w:tc>
          <w:tcPr>
            <w:tcW w:w="258"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22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12</w:t>
            </w:r>
          </w:p>
        </w:tc>
        <w:tc>
          <w:tcPr>
            <w:tcW w:w="41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月</w:t>
            </w:r>
          </w:p>
        </w:tc>
        <w:tc>
          <w:tcPr>
            <w:tcW w:w="53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67" w:type="pct"/>
            <w:vMerge w:val="continue"/>
            <w:tcBorders>
              <w:tl2br w:val="nil"/>
              <w:tr2bl w:val="nil"/>
            </w:tcBorders>
            <w:vAlign w:val="center"/>
          </w:tcPr>
          <w:p>
            <w:pPr>
              <w:rPr>
                <w:b/>
                <w:bCs/>
              </w:rPr>
            </w:pPr>
          </w:p>
        </w:tc>
        <w:tc>
          <w:tcPr>
            <w:tcW w:w="419" w:type="pct"/>
            <w:tcBorders>
              <w:tl2br w:val="nil"/>
              <w:tr2bl w:val="nil"/>
            </w:tcBorders>
            <w:vAlign w:val="center"/>
          </w:tcPr>
          <w:p>
            <w:pPr>
              <w:widowControl/>
              <w:adjustRightInd w:val="0"/>
              <w:snapToGrid w:val="0"/>
              <w:jc w:val="center"/>
              <w:rPr>
                <w:rFonts w:ascii="方正书宋_GBK" w:eastAsia="方正书宋_GBK"/>
                <w:b/>
                <w:bCs/>
              </w:rPr>
            </w:pPr>
            <w:r>
              <w:rPr>
                <w:rFonts w:ascii="方正书宋_GBK" w:eastAsia="方正书宋_GBK"/>
                <w:b/>
                <w:bCs/>
              </w:rPr>
              <w:t>成本</w:t>
            </w:r>
          </w:p>
        </w:tc>
        <w:tc>
          <w:tcPr>
            <w:tcW w:w="50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控制成本</w:t>
            </w:r>
          </w:p>
        </w:tc>
        <w:tc>
          <w:tcPr>
            <w:tcW w:w="37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w:t>
            </w:r>
          </w:p>
        </w:tc>
        <w:tc>
          <w:tcPr>
            <w:tcW w:w="199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按照年初预算安排控制各项工作成本</w:t>
            </w:r>
          </w:p>
        </w:tc>
        <w:tc>
          <w:tcPr>
            <w:tcW w:w="258"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22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41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53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按照年初各项工作预算安排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67" w:type="pct"/>
            <w:vMerge w:val="restart"/>
            <w:tcBorders>
              <w:tl2br w:val="nil"/>
              <w:tr2bl w:val="nil"/>
            </w:tcBorders>
            <w:vAlign w:val="center"/>
          </w:tcPr>
          <w:p>
            <w:pPr>
              <w:adjustRightInd w:val="0"/>
              <w:snapToGrid w:val="0"/>
              <w:jc w:val="center"/>
              <w:rPr>
                <w:rFonts w:ascii="方正书宋_GBK" w:eastAsia="方正书宋_GBK"/>
                <w:b/>
                <w:bCs/>
              </w:rPr>
            </w:pPr>
            <w:r>
              <w:rPr>
                <w:rFonts w:hint="eastAsia" w:ascii="方正书宋_GBK" w:eastAsia="方正书宋_GBK"/>
                <w:b/>
                <w:bCs/>
                <w:lang w:eastAsia="zh-CN"/>
              </w:rPr>
              <w:t>单位</w:t>
            </w:r>
            <w:r>
              <w:rPr>
                <w:rFonts w:hint="eastAsia" w:ascii="方正书宋_GBK" w:eastAsia="方正书宋_GBK"/>
                <w:b/>
                <w:bCs/>
              </w:rPr>
              <w:t>效果</w:t>
            </w:r>
          </w:p>
        </w:tc>
        <w:tc>
          <w:tcPr>
            <w:tcW w:w="419" w:type="pct"/>
            <w:tcBorders>
              <w:tl2br w:val="nil"/>
              <w:tr2bl w:val="nil"/>
            </w:tcBorders>
            <w:vAlign w:val="center"/>
          </w:tcPr>
          <w:p>
            <w:pPr>
              <w:widowControl/>
              <w:adjustRightInd w:val="0"/>
              <w:snapToGrid w:val="0"/>
              <w:jc w:val="center"/>
              <w:rPr>
                <w:rFonts w:ascii="方正书宋_GBK" w:eastAsia="方正书宋_GBK"/>
                <w:b/>
                <w:bCs/>
              </w:rPr>
            </w:pPr>
            <w:r>
              <w:rPr>
                <w:rFonts w:ascii="方正书宋_GBK" w:eastAsia="方正书宋_GBK"/>
                <w:b/>
                <w:bCs/>
              </w:rPr>
              <w:t>社会</w:t>
            </w:r>
          </w:p>
          <w:p>
            <w:pPr>
              <w:widowControl/>
              <w:adjustRightInd w:val="0"/>
              <w:snapToGrid w:val="0"/>
              <w:jc w:val="center"/>
              <w:rPr>
                <w:rFonts w:ascii="方正书宋_GBK" w:eastAsia="方正书宋_GBK"/>
                <w:b/>
                <w:bCs/>
              </w:rPr>
            </w:pPr>
            <w:r>
              <w:rPr>
                <w:rFonts w:ascii="方正书宋_GBK" w:eastAsia="方正书宋_GBK"/>
                <w:b/>
                <w:bCs/>
              </w:rPr>
              <w:t>效益</w:t>
            </w:r>
          </w:p>
        </w:tc>
        <w:tc>
          <w:tcPr>
            <w:tcW w:w="503"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组织建设水平</w:t>
            </w:r>
          </w:p>
        </w:tc>
        <w:tc>
          <w:tcPr>
            <w:tcW w:w="375"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w:t>
            </w:r>
          </w:p>
        </w:tc>
        <w:tc>
          <w:tcPr>
            <w:tcW w:w="199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稳步提升工商联组织建设水平</w:t>
            </w:r>
          </w:p>
        </w:tc>
        <w:tc>
          <w:tcPr>
            <w:tcW w:w="258"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22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41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稳步有序提升</w:t>
            </w:r>
          </w:p>
        </w:tc>
        <w:tc>
          <w:tcPr>
            <w:tcW w:w="53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267" w:type="pct"/>
            <w:vMerge w:val="continue"/>
            <w:tcBorders>
              <w:tl2br w:val="nil"/>
              <w:tr2bl w:val="nil"/>
            </w:tcBorders>
            <w:vAlign w:val="center"/>
          </w:tcPr>
          <w:p>
            <w:pPr>
              <w:rPr>
                <w:b/>
                <w:bCs/>
              </w:rPr>
            </w:pPr>
          </w:p>
        </w:tc>
        <w:tc>
          <w:tcPr>
            <w:tcW w:w="419" w:type="pct"/>
            <w:tcBorders>
              <w:tl2br w:val="nil"/>
              <w:tr2bl w:val="nil"/>
            </w:tcBorders>
            <w:vAlign w:val="center"/>
          </w:tcPr>
          <w:p>
            <w:pPr>
              <w:adjustRightInd w:val="0"/>
              <w:snapToGrid w:val="0"/>
              <w:jc w:val="center"/>
              <w:rPr>
                <w:rFonts w:ascii="方正书宋_GBK" w:eastAsia="方正书宋_GBK"/>
                <w:b/>
                <w:bCs/>
              </w:rPr>
            </w:pPr>
            <w:r>
              <w:rPr>
                <w:rFonts w:hint="eastAsia" w:ascii="方正书宋_GBK" w:eastAsia="方正书宋_GBK"/>
                <w:b/>
                <w:bCs/>
              </w:rPr>
              <w:t>可持续影响</w:t>
            </w:r>
          </w:p>
        </w:tc>
        <w:tc>
          <w:tcPr>
            <w:tcW w:w="503"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长期使用性</w:t>
            </w:r>
          </w:p>
        </w:tc>
        <w:tc>
          <w:tcPr>
            <w:tcW w:w="375"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10分</w:t>
            </w:r>
          </w:p>
        </w:tc>
        <w:tc>
          <w:tcPr>
            <w:tcW w:w="1991"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能够长期较好地开展工商联工作，更好的服务人民群众的需求。</w:t>
            </w:r>
          </w:p>
        </w:tc>
        <w:tc>
          <w:tcPr>
            <w:tcW w:w="258"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227"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41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长期较好的开展工商联工作</w:t>
            </w:r>
          </w:p>
        </w:tc>
        <w:tc>
          <w:tcPr>
            <w:tcW w:w="53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按照工作计划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267" w:type="pct"/>
            <w:vMerge w:val="continue"/>
            <w:tcBorders>
              <w:tl2br w:val="nil"/>
              <w:tr2bl w:val="nil"/>
            </w:tcBorders>
            <w:vAlign w:val="center"/>
          </w:tcPr>
          <w:p>
            <w:pPr>
              <w:rPr>
                <w:b/>
                <w:bCs/>
              </w:rPr>
            </w:pPr>
          </w:p>
        </w:tc>
        <w:tc>
          <w:tcPr>
            <w:tcW w:w="419" w:type="pct"/>
            <w:tcBorders>
              <w:tl2br w:val="nil"/>
              <w:tr2bl w:val="nil"/>
            </w:tcBorders>
            <w:vAlign w:val="center"/>
          </w:tcPr>
          <w:p>
            <w:pPr>
              <w:widowControl/>
              <w:adjustRightInd w:val="0"/>
              <w:snapToGrid w:val="0"/>
              <w:jc w:val="center"/>
              <w:rPr>
                <w:rFonts w:ascii="方正书宋_GBK" w:eastAsia="方正书宋_GBK"/>
                <w:b/>
                <w:bCs/>
              </w:rPr>
            </w:pPr>
            <w:r>
              <w:rPr>
                <w:rFonts w:hint="eastAsia" w:ascii="方正书宋_GBK" w:eastAsia="方正书宋_GBK"/>
                <w:b/>
                <w:bCs/>
              </w:rPr>
              <w:t>满意度</w:t>
            </w:r>
          </w:p>
        </w:tc>
        <w:tc>
          <w:tcPr>
            <w:tcW w:w="503"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活动参与满意度</w:t>
            </w:r>
          </w:p>
        </w:tc>
        <w:tc>
          <w:tcPr>
            <w:tcW w:w="375"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20分</w:t>
            </w:r>
          </w:p>
        </w:tc>
        <w:tc>
          <w:tcPr>
            <w:tcW w:w="1991"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反映民营企业家对活动的满意程度</w:t>
            </w:r>
          </w:p>
        </w:tc>
        <w:tc>
          <w:tcPr>
            <w:tcW w:w="25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227"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90</w:t>
            </w:r>
          </w:p>
        </w:tc>
        <w:tc>
          <w:tcPr>
            <w:tcW w:w="416"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w:t>
            </w:r>
          </w:p>
        </w:tc>
        <w:tc>
          <w:tcPr>
            <w:tcW w:w="53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按照工作计划</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584"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无</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安排政府采购预算0万元。具体内容见下表。</w:t>
      </w:r>
    </w:p>
    <w:bookmarkEnd w:id="0"/>
    <w:p>
      <w:pPr>
        <w:spacing w:line="584" w:lineRule="exact"/>
        <w:jc w:val="left"/>
        <w:outlineLvl w:val="0"/>
        <w:rPr>
          <w:rFonts w:ascii="Times New Roman" w:hAnsi="Times New Roman" w:eastAsia="仿宋_GB2312" w:cs="Times New Roman"/>
        </w:rPr>
      </w:pPr>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jc w:val="center"/>
              <w:outlineLvl w:val="1"/>
              <w:rPr>
                <w:rFonts w:ascii="Times New Roman" w:hAnsi="Times New Roman" w:eastAsia="仿宋_GB2312" w:cs="Times New Roman"/>
                <w:b/>
                <w:sz w:val="32"/>
                <w:szCs w:val="24"/>
              </w:rPr>
            </w:pPr>
            <w:bookmarkStart w:id="1" w:name="_Toc64920910"/>
            <w:r>
              <w:rPr>
                <w:rFonts w:hint="eastAsia" w:ascii="Times New Roman" w:hAnsi="Times New Roman" w:eastAsia="仿宋_GB2312" w:cs="Times New Roman"/>
                <w:b/>
                <w:sz w:val="32"/>
                <w:szCs w:val="24"/>
                <w:lang w:eastAsia="zh-CN"/>
              </w:rPr>
              <w:t>单位</w:t>
            </w:r>
            <w:r>
              <w:rPr>
                <w:rFonts w:hint="eastAsia" w:ascii="Times New Roman" w:hAnsi="Times New Roman" w:eastAsia="仿宋_GB2312" w:cs="Times New Roman"/>
                <w:b/>
                <w:sz w:val="32"/>
                <w:szCs w:val="24"/>
              </w:rPr>
              <w:t>政府采</w:t>
            </w:r>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18"/>
              <w:gridCol w:w="1531"/>
              <w:gridCol w:w="1531"/>
              <w:gridCol w:w="709"/>
              <w:gridCol w:w="907"/>
              <w:gridCol w:w="907"/>
              <w:gridCol w:w="68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sz w:val="24"/>
                    </w:rPr>
                    <w:t>***</w:t>
                  </w:r>
                  <w:r>
                    <w:rPr>
                      <w:rFonts w:ascii="方正小标宋_GBK" w:eastAsia="方正小标宋_GBK" w:cs="Times New Roman"/>
                      <w:sz w:val="24"/>
                    </w:rPr>
                    <w:t>廊坊市</w:t>
                  </w:r>
                  <w:r>
                    <w:rPr>
                      <w:rFonts w:hint="eastAsia" w:ascii="方正小标宋_GBK" w:eastAsia="方正小标宋_GBK"/>
                      <w:sz w:val="24"/>
                    </w:rPr>
                    <w:t>***</w:t>
                  </w:r>
                </w:p>
              </w:tc>
              <w:tc>
                <w:tcPr>
                  <w:tcW w:w="6804" w:type="dxa"/>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w:t>
                  </w:r>
                  <w:r>
                    <w:rPr>
                      <w:rFonts w:hint="eastAsia" w:ascii="方正书宋_GBK" w:eastAsia="方正书宋_GBK" w:cs="Times New Roman"/>
                      <w:b/>
                      <w:lang w:eastAsia="zh-CN"/>
                    </w:rPr>
                    <w:t>单位</w:t>
                  </w:r>
                  <w:r>
                    <w:rPr>
                      <w:rFonts w:ascii="方正书宋_GBK" w:eastAsia="方正书宋_GBK" w:cs="Times New Roman"/>
                      <w:b/>
                    </w:rPr>
                    <w:t>预算安排资金）</w:t>
                  </w:r>
                </w:p>
              </w:tc>
            </w:tr>
          </w:tbl>
          <w:p>
            <w:pPr>
              <w:spacing w:line="300" w:lineRule="exact"/>
              <w:jc w:val="center"/>
              <w:rPr>
                <w:rFonts w:ascii="方正书宋_GBK" w:eastAsia="方正书宋_GBK" w:cs="Times New Roman"/>
                <w:b/>
              </w:rPr>
            </w:pPr>
            <w:r>
              <w:rPr>
                <w:rFonts w:hint="eastAsia" w:ascii="Times New Roman" w:hAnsi="Times New Roman" w:eastAsia="仿宋_GB2312" w:cs="Times New Roman"/>
                <w:b/>
                <w:sz w:val="32"/>
                <w:szCs w:val="24"/>
              </w:rPr>
              <w:t>购预算</w:t>
            </w:r>
            <w:bookmarkEnd w:id="1"/>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restart"/>
            <w:shd w:val="clear" w:color="auto" w:fill="auto"/>
            <w:vAlign w:val="center"/>
          </w:tcPr>
          <w:p/>
        </w:tc>
        <w:tc>
          <w:tcPr>
            <w:tcW w:w="1531" w:type="dxa"/>
            <w:vMerge w:val="restart"/>
            <w:shd w:val="clear" w:color="auto" w:fill="auto"/>
            <w:vAlign w:val="center"/>
          </w:tcPr>
          <w:p/>
        </w:tc>
        <w:tc>
          <w:tcPr>
            <w:tcW w:w="709" w:type="dxa"/>
            <w:vMerge w:val="restart"/>
            <w:shd w:val="clear" w:color="auto" w:fill="auto"/>
            <w:vAlign w:val="center"/>
          </w:tcPr>
          <w:p/>
        </w:tc>
        <w:tc>
          <w:tcPr>
            <w:tcW w:w="907" w:type="dxa"/>
            <w:vMerge w:val="restart"/>
            <w:shd w:val="clear" w:color="auto" w:fill="auto"/>
            <w:vAlign w:val="center"/>
          </w:tcPr>
          <w:p/>
        </w:tc>
        <w:tc>
          <w:tcPr>
            <w:tcW w:w="907" w:type="dxa"/>
            <w:vMerge w:val="restart"/>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广阳区工商联</w:t>
      </w:r>
      <w:r>
        <w:rPr>
          <w:rFonts w:ascii="Times New Roman" w:hAnsi="Times New Roman" w:eastAsia="仿宋_GB2312" w:cs="Times New Roman"/>
          <w:sz w:val="32"/>
          <w:szCs w:val="32"/>
        </w:rPr>
        <w:t>上年末固定资产金额为22.64万元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广阳区工商联</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广阳区工商联</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22.64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17.90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4.70</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3</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41504"/>
    <w:rsid w:val="00050973"/>
    <w:rsid w:val="000C40AC"/>
    <w:rsid w:val="000F3D8A"/>
    <w:rsid w:val="00140316"/>
    <w:rsid w:val="00140A07"/>
    <w:rsid w:val="00160D44"/>
    <w:rsid w:val="00186290"/>
    <w:rsid w:val="001940C1"/>
    <w:rsid w:val="00194C05"/>
    <w:rsid w:val="00232E0F"/>
    <w:rsid w:val="00252975"/>
    <w:rsid w:val="002C3828"/>
    <w:rsid w:val="002C65ED"/>
    <w:rsid w:val="002D6924"/>
    <w:rsid w:val="002F3B0B"/>
    <w:rsid w:val="002F45C3"/>
    <w:rsid w:val="00301F9F"/>
    <w:rsid w:val="0033174B"/>
    <w:rsid w:val="00346FE1"/>
    <w:rsid w:val="00356683"/>
    <w:rsid w:val="00361214"/>
    <w:rsid w:val="00362C5B"/>
    <w:rsid w:val="00370018"/>
    <w:rsid w:val="003B3535"/>
    <w:rsid w:val="003B377A"/>
    <w:rsid w:val="003D126B"/>
    <w:rsid w:val="004202AB"/>
    <w:rsid w:val="00430A3C"/>
    <w:rsid w:val="00435ED8"/>
    <w:rsid w:val="004A54AA"/>
    <w:rsid w:val="004A5E47"/>
    <w:rsid w:val="004D39FB"/>
    <w:rsid w:val="004D4900"/>
    <w:rsid w:val="0052528A"/>
    <w:rsid w:val="00556BBE"/>
    <w:rsid w:val="00593F61"/>
    <w:rsid w:val="005972ED"/>
    <w:rsid w:val="005E7568"/>
    <w:rsid w:val="0066475B"/>
    <w:rsid w:val="006B321E"/>
    <w:rsid w:val="006E05FC"/>
    <w:rsid w:val="007725DF"/>
    <w:rsid w:val="00786238"/>
    <w:rsid w:val="00787866"/>
    <w:rsid w:val="007B77C9"/>
    <w:rsid w:val="007C18FA"/>
    <w:rsid w:val="007D6BDE"/>
    <w:rsid w:val="007F5823"/>
    <w:rsid w:val="00807A76"/>
    <w:rsid w:val="00822C47"/>
    <w:rsid w:val="0084378B"/>
    <w:rsid w:val="0086316B"/>
    <w:rsid w:val="008F0EB4"/>
    <w:rsid w:val="00902A7A"/>
    <w:rsid w:val="009077DB"/>
    <w:rsid w:val="00996A68"/>
    <w:rsid w:val="00A02518"/>
    <w:rsid w:val="00A218C6"/>
    <w:rsid w:val="00A76011"/>
    <w:rsid w:val="00AD569F"/>
    <w:rsid w:val="00AD7028"/>
    <w:rsid w:val="00AE4EC1"/>
    <w:rsid w:val="00B17B32"/>
    <w:rsid w:val="00B7137B"/>
    <w:rsid w:val="00B77B96"/>
    <w:rsid w:val="00B80935"/>
    <w:rsid w:val="00BD0C41"/>
    <w:rsid w:val="00C45E9F"/>
    <w:rsid w:val="00CA5B90"/>
    <w:rsid w:val="00CE766A"/>
    <w:rsid w:val="00D168A3"/>
    <w:rsid w:val="00D347CC"/>
    <w:rsid w:val="00D52535"/>
    <w:rsid w:val="00D67A30"/>
    <w:rsid w:val="00D73919"/>
    <w:rsid w:val="00E15DD2"/>
    <w:rsid w:val="00E24668"/>
    <w:rsid w:val="00E27CE3"/>
    <w:rsid w:val="00E55FF0"/>
    <w:rsid w:val="00E633E2"/>
    <w:rsid w:val="00E82F7B"/>
    <w:rsid w:val="00EF239F"/>
    <w:rsid w:val="00F0620D"/>
    <w:rsid w:val="00F10B34"/>
    <w:rsid w:val="00FD27F5"/>
    <w:rsid w:val="00FD2EEF"/>
    <w:rsid w:val="00FE4FFF"/>
    <w:rsid w:val="03D2498C"/>
    <w:rsid w:val="13DF397F"/>
    <w:rsid w:val="458F2175"/>
    <w:rsid w:val="47816C72"/>
    <w:rsid w:val="48250434"/>
    <w:rsid w:val="4CE948C4"/>
    <w:rsid w:val="4CF85A84"/>
    <w:rsid w:val="76605E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661</Words>
  <Characters>3774</Characters>
  <Lines>31</Lines>
  <Paragraphs>8</Paragraphs>
  <TotalTime>0</TotalTime>
  <ScaleCrop>false</ScaleCrop>
  <LinksUpToDate>false</LinksUpToDate>
  <CharactersWithSpaces>4427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2021-03-25T03:41:00Z</dcterms:created>
  <dc:creator>guest</dc:creator>
  <cp:lastModifiedBy>111</cp:lastModifiedBy>
  <cp:lastPrinted>2018-01-30T06:12:00Z</cp:lastPrinted>
  <dcterms:modified xsi:type="dcterms:W3CDTF">2024-07-18T07:10:41Z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3253D5DBD3E8485099795B860D3B28D8</vt:lpwstr>
  </property>
</Properties>
</file>