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第十八小学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第十八小学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bookmarkStart w:id="7" w:name="_GoBack"/>
      <w:bookmarkEnd w:id="7"/>
    </w:p>
    <w:p>
      <w:pPr>
        <w:spacing w:line="579"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做好安全防范，保证学生的人</w:t>
      </w:r>
      <w:r>
        <w:rPr>
          <w:rFonts w:hint="eastAsia" w:ascii="仿宋_GB2312" w:eastAsia="仿宋_GB2312"/>
          <w:color w:val="000000"/>
          <w:sz w:val="32"/>
          <w:szCs w:val="32"/>
          <w:lang w:val="en-US" w:eastAsia="zh-CN"/>
        </w:rPr>
        <w:t>身</w:t>
      </w:r>
      <w:r>
        <w:rPr>
          <w:rFonts w:hint="eastAsia" w:ascii="仿宋_GB2312" w:eastAsia="仿宋_GB2312"/>
          <w:color w:val="000000"/>
          <w:sz w:val="32"/>
          <w:szCs w:val="32"/>
        </w:rPr>
        <w:t>安全。</w:t>
      </w:r>
    </w:p>
    <w:p>
      <w:pPr>
        <w:spacing w:line="579" w:lineRule="exact"/>
        <w:ind w:firstLine="660"/>
        <w:rPr>
          <w:rFonts w:ascii="Times New Roman" w:hAnsi="Times New Roman" w:eastAsia="仿宋_GB2312" w:cs="Times New Roman"/>
          <w:sz w:val="32"/>
          <w:szCs w:val="32"/>
        </w:rPr>
      </w:pPr>
    </w:p>
    <w:p>
      <w:pPr>
        <w:spacing w:line="579" w:lineRule="exact"/>
        <w:ind w:firstLine="660"/>
        <w:rPr>
          <w:rFonts w:ascii="Times New Roman" w:hAnsi="Times New Roman" w:eastAsia="仿宋_GB2312" w:cs="Times New Roman"/>
          <w:sz w:val="32"/>
          <w:szCs w:val="32"/>
        </w:rPr>
      </w:pP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6"/>
        <w:gridCol w:w="1428"/>
        <w:gridCol w:w="1067"/>
        <w:gridCol w:w="3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03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28"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067"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2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36" w:type="dxa"/>
            <w:vMerge w:val="continue"/>
            <w:shd w:val="clear" w:color="auto" w:fill="auto"/>
            <w:vAlign w:val="center"/>
          </w:tcPr>
          <w:p>
            <w:pPr>
              <w:spacing w:line="579" w:lineRule="exact"/>
            </w:pPr>
          </w:p>
        </w:tc>
        <w:tc>
          <w:tcPr>
            <w:tcW w:w="1428" w:type="dxa"/>
            <w:vMerge w:val="continue"/>
            <w:shd w:val="clear" w:color="auto" w:fill="auto"/>
            <w:vAlign w:val="center"/>
          </w:tcPr>
          <w:p>
            <w:pPr>
              <w:spacing w:line="579" w:lineRule="exact"/>
            </w:pPr>
          </w:p>
        </w:tc>
        <w:tc>
          <w:tcPr>
            <w:tcW w:w="1067" w:type="dxa"/>
            <w:vMerge w:val="continue"/>
            <w:shd w:val="clear" w:color="auto" w:fill="auto"/>
            <w:vAlign w:val="center"/>
          </w:tcPr>
          <w:p>
            <w:pPr>
              <w:spacing w:line="579" w:lineRule="exact"/>
            </w:pPr>
          </w:p>
        </w:tc>
        <w:tc>
          <w:tcPr>
            <w:tcW w:w="3224"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6"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第十八小学</w:t>
            </w:r>
          </w:p>
        </w:tc>
        <w:tc>
          <w:tcPr>
            <w:tcW w:w="1428"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067" w:type="dxa"/>
            <w:shd w:val="clear" w:color="auto" w:fill="auto"/>
            <w:vAlign w:val="center"/>
          </w:tcPr>
          <w:p>
            <w:pPr>
              <w:spacing w:line="579" w:lineRule="exact"/>
              <w:rPr>
                <w:rFonts w:ascii="Times New Roman" w:hAnsi="Times New Roman" w:eastAsia="仿宋_GB2312" w:cs="Times New Roman"/>
                <w:b/>
              </w:rPr>
            </w:pPr>
          </w:p>
        </w:tc>
        <w:tc>
          <w:tcPr>
            <w:tcW w:w="3224"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6" w:type="dxa"/>
            <w:shd w:val="clear" w:color="auto" w:fill="auto"/>
            <w:vAlign w:val="center"/>
          </w:tcPr>
          <w:p>
            <w:pPr>
              <w:spacing w:line="579" w:lineRule="exact"/>
              <w:jc w:val="left"/>
              <w:rPr>
                <w:rFonts w:ascii="Times New Roman" w:hAnsi="Times New Roman" w:eastAsia="仿宋_GB2312" w:cs="Times New Roman"/>
              </w:rPr>
            </w:pPr>
          </w:p>
        </w:tc>
        <w:tc>
          <w:tcPr>
            <w:tcW w:w="1428" w:type="dxa"/>
            <w:shd w:val="clear" w:color="auto" w:fill="auto"/>
            <w:vAlign w:val="center"/>
          </w:tcPr>
          <w:p>
            <w:pPr>
              <w:spacing w:line="579" w:lineRule="exact"/>
              <w:jc w:val="center"/>
              <w:rPr>
                <w:rFonts w:ascii="Times New Roman" w:hAnsi="Times New Roman" w:eastAsia="仿宋_GB2312" w:cs="Times New Roman"/>
              </w:rPr>
            </w:pPr>
          </w:p>
        </w:tc>
        <w:tc>
          <w:tcPr>
            <w:tcW w:w="1067" w:type="dxa"/>
            <w:shd w:val="clear" w:color="auto" w:fill="auto"/>
            <w:vAlign w:val="center"/>
          </w:tcPr>
          <w:p>
            <w:pPr>
              <w:spacing w:line="579" w:lineRule="exact"/>
              <w:jc w:val="center"/>
              <w:rPr>
                <w:rFonts w:ascii="Times New Roman" w:hAnsi="Times New Roman" w:eastAsia="仿宋_GB2312" w:cs="Times New Roman"/>
              </w:rPr>
            </w:pPr>
          </w:p>
        </w:tc>
        <w:tc>
          <w:tcPr>
            <w:tcW w:w="3224"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36" w:type="dxa"/>
            <w:shd w:val="clear" w:color="auto" w:fill="auto"/>
            <w:vAlign w:val="center"/>
          </w:tcPr>
          <w:p>
            <w:pPr>
              <w:spacing w:line="579" w:lineRule="exact"/>
              <w:jc w:val="left"/>
              <w:rPr>
                <w:rFonts w:ascii="Times New Roman" w:hAnsi="Times New Roman" w:eastAsia="仿宋_GB2312" w:cs="Times New Roman"/>
              </w:rPr>
            </w:pPr>
          </w:p>
        </w:tc>
        <w:tc>
          <w:tcPr>
            <w:tcW w:w="1428" w:type="dxa"/>
            <w:shd w:val="clear" w:color="auto" w:fill="auto"/>
            <w:vAlign w:val="center"/>
          </w:tcPr>
          <w:p>
            <w:pPr>
              <w:spacing w:line="579" w:lineRule="exact"/>
              <w:jc w:val="center"/>
              <w:rPr>
                <w:rFonts w:ascii="Times New Roman" w:hAnsi="Times New Roman" w:eastAsia="仿宋_GB2312" w:cs="Times New Roman"/>
              </w:rPr>
            </w:pPr>
          </w:p>
        </w:tc>
        <w:tc>
          <w:tcPr>
            <w:tcW w:w="1067" w:type="dxa"/>
            <w:shd w:val="clear" w:color="auto" w:fill="auto"/>
            <w:vAlign w:val="center"/>
          </w:tcPr>
          <w:p>
            <w:pPr>
              <w:spacing w:line="579" w:lineRule="exact"/>
              <w:jc w:val="center"/>
              <w:rPr>
                <w:rFonts w:ascii="Times New Roman" w:hAnsi="Times New Roman" w:eastAsia="仿宋_GB2312" w:cs="Times New Roman"/>
              </w:rPr>
            </w:pPr>
          </w:p>
        </w:tc>
        <w:tc>
          <w:tcPr>
            <w:tcW w:w="3224"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十八小</w:t>
      </w:r>
      <w:r>
        <w:rPr>
          <w:rFonts w:ascii="Times New Roman" w:hAnsi="Times New Roman" w:eastAsia="仿宋_GB2312" w:cs="Times New Roman"/>
          <w:sz w:val="32"/>
          <w:szCs w:val="32"/>
        </w:rPr>
        <w:t>学的收支包含在部门预算中。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w:t>
      </w:r>
      <w:r>
        <w:rPr>
          <w:rFonts w:ascii="Times New Roman" w:hAnsi="Times New Roman" w:eastAsia="仿宋_GB2312" w:cs="Times New Roman"/>
          <w:color w:val="000000" w:themeColor="text1"/>
          <w:sz w:val="32"/>
          <w:szCs w:val="32"/>
          <w14:textFill>
            <w14:solidFill>
              <w14:schemeClr w14:val="tx1"/>
            </w14:solidFill>
          </w14:textFill>
        </w:rPr>
        <w:t>入</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sz w:val="32"/>
          <w:szCs w:val="32"/>
        </w:rPr>
        <w:t>，其中：一般公共预算收</w:t>
      </w:r>
      <w:r>
        <w:rPr>
          <w:rFonts w:ascii="Times New Roman" w:hAnsi="Times New Roman" w:eastAsia="仿宋_GB2312" w:cs="Times New Roman"/>
          <w:color w:val="000000" w:themeColor="text1"/>
          <w:sz w:val="32"/>
          <w:szCs w:val="32"/>
          <w14:textFill>
            <w14:solidFill>
              <w14:schemeClr w14:val="tx1"/>
            </w14:solidFill>
          </w14:textFill>
        </w:rPr>
        <w:t>入</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color w:val="000000" w:themeColor="text1"/>
          <w:sz w:val="32"/>
          <w:szCs w:val="32"/>
          <w14:textFill>
            <w14:solidFill>
              <w14:schemeClr w14:val="tx1"/>
            </w14:solidFill>
          </w14:textFill>
        </w:rPr>
        <w:t>万</w:t>
      </w:r>
      <w:r>
        <w:rPr>
          <w:rFonts w:ascii="Times New Roman" w:hAnsi="Times New Roman" w:eastAsia="仿宋_GB2312" w:cs="Times New Roman"/>
          <w:sz w:val="32"/>
          <w:szCs w:val="32"/>
        </w:rPr>
        <w:t>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广阳区第十八小学2022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color w:val="000000" w:themeColor="text1"/>
          <w:sz w:val="32"/>
          <w:szCs w:val="32"/>
          <w14:textFill>
            <w14:solidFill>
              <w14:schemeClr w14:val="tx1"/>
            </w14:solidFill>
          </w14:textFill>
        </w:rPr>
        <w:t>1426.8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color w:val="000000" w:themeColor="text1"/>
          <w:sz w:val="32"/>
          <w:szCs w:val="32"/>
          <w14:textFill>
            <w14:solidFill>
              <w14:schemeClr w14:val="tx1"/>
            </w14:solidFill>
          </w14:textFill>
        </w:rPr>
        <w:t>1214.3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color w:val="000000" w:themeColor="text1"/>
          <w:sz w:val="32"/>
          <w:szCs w:val="32"/>
          <w14:textFill>
            <w14:solidFill>
              <w14:schemeClr w14:val="tx1"/>
            </w14:solidFill>
          </w14:textFill>
        </w:rPr>
        <w:t>1214.3</w:t>
      </w:r>
      <w:r>
        <w:rPr>
          <w:rFonts w:ascii="Times New Roman" w:hAnsi="Times New Roman" w:eastAsia="仿宋_GB2312" w:cs="Times New Roman"/>
          <w:sz w:val="32"/>
          <w:szCs w:val="32"/>
        </w:rPr>
        <w:t>万元，主要为生均公用经费</w:t>
      </w:r>
      <w:r>
        <w:rPr>
          <w:rFonts w:hint="eastAsia" w:ascii="Times New Roman" w:hAnsi="Times New Roman" w:eastAsia="仿宋_GB2312" w:cs="Times New Roman"/>
          <w:sz w:val="32"/>
          <w:szCs w:val="32"/>
        </w:rPr>
        <w:t>和合同制教师工资</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相比持平，无增减变化）</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eastAsia="仿宋_GB2312"/>
          <w:sz w:val="32"/>
          <w:szCs w:val="32"/>
        </w:rPr>
      </w:pPr>
      <w:r>
        <w:rPr>
          <w:rFonts w:hint="eastAsia"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spacing w:line="579" w:lineRule="exact"/>
        <w:rPr>
          <w:rFonts w:eastAsia="仿宋_GB2312"/>
          <w:sz w:val="32"/>
          <w:szCs w:val="32"/>
        </w:rPr>
      </w:pPr>
      <w:r>
        <w:rPr>
          <w:rFonts w:hint="eastAsia"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spacing w:line="579" w:lineRule="exact"/>
        <w:rPr>
          <w:rFonts w:eastAsia="仿宋_GB2312"/>
          <w:sz w:val="32"/>
          <w:szCs w:val="32"/>
        </w:rPr>
      </w:pPr>
      <w:r>
        <w:rPr>
          <w:rFonts w:hint="eastAsia" w:eastAsia="仿宋_GB2312"/>
          <w:sz w:val="32"/>
          <w:szCs w:val="32"/>
        </w:rPr>
        <w:t xml:space="preserve">1、发展城市义务教育  </w:t>
      </w:r>
    </w:p>
    <w:p>
      <w:pPr>
        <w:pStyle w:val="19"/>
        <w:spacing w:line="579" w:lineRule="exact"/>
        <w:rPr>
          <w:rFonts w:eastAsia="仿宋_GB2312"/>
          <w:sz w:val="32"/>
          <w:szCs w:val="32"/>
        </w:rPr>
      </w:pPr>
      <w:r>
        <w:rPr>
          <w:rFonts w:hint="eastAsia" w:eastAsia="仿宋_GB2312"/>
          <w:sz w:val="32"/>
          <w:szCs w:val="32"/>
        </w:rPr>
        <w:t>免除城市区中小学生学杂费，提高公用经费保障水平，为贫困中小学生免费提供教科书。</w:t>
      </w:r>
    </w:p>
    <w:p>
      <w:pPr>
        <w:pStyle w:val="19"/>
        <w:spacing w:line="579" w:lineRule="exact"/>
        <w:rPr>
          <w:rFonts w:eastAsia="仿宋_GB2312"/>
          <w:sz w:val="32"/>
          <w:szCs w:val="32"/>
        </w:rPr>
      </w:pPr>
      <w:r>
        <w:rPr>
          <w:rFonts w:hint="eastAsia" w:eastAsia="仿宋_GB2312"/>
          <w:sz w:val="32"/>
          <w:szCs w:val="32"/>
        </w:rPr>
        <w:t>对接收进城务工农民工子女的学校进行补助。</w:t>
      </w:r>
    </w:p>
    <w:p>
      <w:pPr>
        <w:pStyle w:val="19"/>
        <w:spacing w:line="579" w:lineRule="exact"/>
        <w:rPr>
          <w:rFonts w:eastAsia="仿宋_GB2312"/>
          <w:sz w:val="32"/>
          <w:szCs w:val="32"/>
        </w:rPr>
      </w:pPr>
      <w:r>
        <w:rPr>
          <w:rFonts w:hint="eastAsia" w:eastAsia="仿宋_GB2312"/>
          <w:sz w:val="32"/>
          <w:szCs w:val="32"/>
        </w:rPr>
        <w:t>改善城区中小学办学条件。</w:t>
      </w:r>
    </w:p>
    <w:p>
      <w:pPr>
        <w:pStyle w:val="19"/>
        <w:spacing w:line="579" w:lineRule="exact"/>
        <w:rPr>
          <w:rFonts w:eastAsia="仿宋_GB2312"/>
          <w:sz w:val="32"/>
          <w:szCs w:val="32"/>
        </w:rPr>
      </w:pPr>
      <w:r>
        <w:rPr>
          <w:rFonts w:hint="eastAsia" w:eastAsia="仿宋_GB2312"/>
          <w:sz w:val="32"/>
          <w:szCs w:val="32"/>
        </w:rPr>
        <w:t>保障中小学公用经费水平逐年提高，解决大班额问题及入学难问题，保障小学入学率。</w:t>
      </w:r>
    </w:p>
    <w:p>
      <w:pPr>
        <w:pStyle w:val="19"/>
        <w:spacing w:line="579" w:lineRule="exact"/>
        <w:rPr>
          <w:rFonts w:eastAsia="仿宋_GB2312"/>
          <w:sz w:val="32"/>
          <w:szCs w:val="32"/>
        </w:rPr>
      </w:pPr>
      <w:r>
        <w:rPr>
          <w:rFonts w:hint="eastAsia" w:eastAsia="仿宋_GB2312"/>
          <w:sz w:val="32"/>
          <w:szCs w:val="32"/>
        </w:rPr>
        <w:t>2、改善学校办学条件</w:t>
      </w:r>
    </w:p>
    <w:p>
      <w:pPr>
        <w:pStyle w:val="19"/>
        <w:spacing w:line="579" w:lineRule="exact"/>
        <w:rPr>
          <w:rFonts w:eastAsia="仿宋_GB2312"/>
          <w:sz w:val="32"/>
          <w:szCs w:val="32"/>
        </w:rPr>
      </w:pPr>
      <w:r>
        <w:rPr>
          <w:rFonts w:hint="eastAsia" w:eastAsia="仿宋_GB2312"/>
          <w:sz w:val="32"/>
          <w:szCs w:val="32"/>
        </w:rPr>
        <w:t>保障义务教育阶段学校基本教学条件，改善学校生活设施，保障后勤社会化服务，解决学校大班额问题。</w:t>
      </w:r>
    </w:p>
    <w:p>
      <w:pPr>
        <w:pStyle w:val="19"/>
        <w:spacing w:line="579" w:lineRule="exact"/>
        <w:rPr>
          <w:rFonts w:eastAsia="仿宋_GB2312"/>
          <w:sz w:val="32"/>
          <w:szCs w:val="32"/>
        </w:rPr>
      </w:pPr>
      <w:r>
        <w:rPr>
          <w:rFonts w:hint="eastAsia" w:eastAsia="仿宋_GB2312"/>
          <w:sz w:val="32"/>
          <w:szCs w:val="32"/>
        </w:rPr>
        <w:t>开展学生社会实践活动，建立学生实践教育基地，推进学校教育信息化。</w:t>
      </w:r>
    </w:p>
    <w:p>
      <w:pPr>
        <w:pStyle w:val="19"/>
        <w:spacing w:line="579" w:lineRule="exact"/>
        <w:ind w:firstLine="640" w:firstLineChars="200"/>
        <w:rPr>
          <w:rFonts w:eastAsia="仿宋_GB2312"/>
          <w:sz w:val="32"/>
          <w:szCs w:val="32"/>
        </w:rPr>
      </w:pPr>
      <w:r>
        <w:rPr>
          <w:rFonts w:hint="eastAsia"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eastAsia="仿宋_GB2312"/>
          <w:sz w:val="32"/>
          <w:szCs w:val="32"/>
        </w:rPr>
      </w:pPr>
      <w:r>
        <w:rPr>
          <w:rFonts w:hint="eastAsia" w:eastAsia="仿宋_GB2312"/>
          <w:sz w:val="32"/>
          <w:szCs w:val="32"/>
        </w:rPr>
        <w:t>3、提升特殊教育保障水平</w:t>
      </w:r>
    </w:p>
    <w:p>
      <w:pPr>
        <w:pStyle w:val="19"/>
        <w:spacing w:line="579" w:lineRule="exact"/>
        <w:rPr>
          <w:rFonts w:eastAsia="仿宋_GB2312"/>
          <w:sz w:val="32"/>
          <w:szCs w:val="32"/>
        </w:rPr>
      </w:pPr>
      <w:r>
        <w:rPr>
          <w:rFonts w:hint="eastAsia" w:eastAsia="仿宋_GB2312"/>
          <w:sz w:val="32"/>
          <w:szCs w:val="32"/>
        </w:rPr>
        <w:t>保证教学设备设施配备齐全，保障学生校园安全，支持贫困学生和爱心家园学生完成学业。</w:t>
      </w:r>
    </w:p>
    <w:p>
      <w:pPr>
        <w:pStyle w:val="19"/>
        <w:spacing w:line="579" w:lineRule="exact"/>
        <w:rPr>
          <w:rFonts w:eastAsia="仿宋_GB2312"/>
          <w:sz w:val="32"/>
          <w:szCs w:val="32"/>
        </w:rPr>
      </w:pPr>
      <w:r>
        <w:rPr>
          <w:rFonts w:hint="eastAsia" w:eastAsia="仿宋_GB2312"/>
          <w:sz w:val="32"/>
          <w:szCs w:val="32"/>
        </w:rPr>
        <w:t>改善办学条件，配置基础教育资源</w:t>
      </w:r>
    </w:p>
    <w:p>
      <w:pPr>
        <w:pStyle w:val="19"/>
        <w:spacing w:line="579" w:lineRule="exact"/>
        <w:rPr>
          <w:rFonts w:eastAsia="仿宋_GB2312"/>
          <w:sz w:val="32"/>
          <w:szCs w:val="32"/>
        </w:rPr>
      </w:pPr>
      <w:r>
        <w:rPr>
          <w:rFonts w:hint="eastAsia" w:eastAsia="仿宋_GB2312"/>
          <w:sz w:val="32"/>
          <w:szCs w:val="32"/>
        </w:rPr>
        <w:t>4、开展教师教研及学生德育活动</w:t>
      </w:r>
    </w:p>
    <w:p>
      <w:pPr>
        <w:pStyle w:val="19"/>
        <w:spacing w:line="579" w:lineRule="exact"/>
        <w:rPr>
          <w:rFonts w:eastAsia="仿宋_GB2312"/>
          <w:sz w:val="32"/>
          <w:szCs w:val="32"/>
        </w:rPr>
      </w:pPr>
      <w:r>
        <w:rPr>
          <w:rFonts w:hint="eastAsia" w:eastAsia="仿宋_GB2312"/>
          <w:sz w:val="32"/>
          <w:szCs w:val="32"/>
        </w:rPr>
        <w:t>开展各类课题研究、校本研究，加强教师培训和教学交流，加强德育培训与研究，举办各类教育教学活动。</w:t>
      </w:r>
    </w:p>
    <w:p>
      <w:pPr>
        <w:pStyle w:val="19"/>
        <w:spacing w:line="579" w:lineRule="exact"/>
        <w:rPr>
          <w:rFonts w:eastAsia="仿宋_GB2312"/>
          <w:sz w:val="32"/>
          <w:szCs w:val="32"/>
        </w:rPr>
      </w:pPr>
      <w:r>
        <w:rPr>
          <w:rFonts w:hint="eastAsia" w:eastAsia="仿宋_GB2312"/>
          <w:sz w:val="32"/>
          <w:szCs w:val="32"/>
        </w:rPr>
        <w:t>提高教师教学水平，调动教师积极性，培养专家型教师人才，提高学生的综合素质。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eastAsia="仿宋_GB2312"/>
          <w:sz w:val="32"/>
          <w:szCs w:val="32"/>
        </w:rPr>
      </w:pPr>
      <w:r>
        <w:rPr>
          <w:rFonts w:hint="eastAsia"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spacing w:line="579" w:lineRule="exact"/>
        <w:rPr>
          <w:rFonts w:eastAsia="仿宋_GB2312"/>
          <w:sz w:val="32"/>
          <w:szCs w:val="32"/>
        </w:rPr>
      </w:pPr>
      <w:r>
        <w:rPr>
          <w:rFonts w:hint="eastAsia" w:eastAsia="仿宋_GB2312"/>
          <w:sz w:val="32"/>
          <w:szCs w:val="32"/>
        </w:rPr>
        <w:t>1、提高义务教育水平，免除城市区中小学生学杂费，提供免费教科书，解决大班额问题及入学难问题。对贫困中小学生进行补助。</w:t>
      </w:r>
    </w:p>
    <w:p>
      <w:pPr>
        <w:pStyle w:val="20"/>
        <w:spacing w:line="579" w:lineRule="exact"/>
        <w:rPr>
          <w:rFonts w:eastAsia="仿宋_GB2312"/>
          <w:sz w:val="32"/>
          <w:szCs w:val="32"/>
        </w:rPr>
      </w:pPr>
      <w:r>
        <w:rPr>
          <w:rFonts w:hint="eastAsia"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eastAsia="仿宋_GB2312"/>
          <w:sz w:val="32"/>
          <w:szCs w:val="32"/>
        </w:rPr>
      </w:pPr>
      <w:r>
        <w:rPr>
          <w:rFonts w:hint="eastAsia"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eastAsia="仿宋_GB2312"/>
          <w:sz w:val="32"/>
          <w:szCs w:val="32"/>
        </w:rPr>
      </w:pPr>
      <w:r>
        <w:rPr>
          <w:rFonts w:hint="eastAsia"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eastAsia="仿宋_GB2312"/>
          <w:sz w:val="32"/>
          <w:szCs w:val="32"/>
        </w:rPr>
      </w:pPr>
      <w:r>
        <w:rPr>
          <w:rFonts w:hint="eastAsia"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eastAsia="仿宋_GB2312"/>
          <w:sz w:val="32"/>
          <w:szCs w:val="32"/>
        </w:rPr>
      </w:pPr>
      <w:r>
        <w:rPr>
          <w:rFonts w:hint="eastAsia"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rPr>
          <w:rFonts w:eastAsia="仿宋_GB2312"/>
          <w:sz w:val="32"/>
          <w:szCs w:val="32"/>
        </w:rPr>
      </w:pPr>
      <w:r>
        <w:rPr>
          <w:rFonts w:hint="eastAsia" w:eastAsia="仿宋_GB2312"/>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eastAsia="仿宋_GB2312"/>
          <w:sz w:val="32"/>
          <w:szCs w:val="32"/>
        </w:rPr>
      </w:pPr>
      <w:r>
        <w:rPr>
          <w:rFonts w:hint="eastAsia" w:eastAsia="仿宋_GB2312"/>
          <w:sz w:val="32"/>
          <w:szCs w:val="32"/>
        </w:rPr>
        <w:t>1、成立学校监督小组，监督学校工作，强化工作落实。</w:t>
      </w:r>
    </w:p>
    <w:p>
      <w:pPr>
        <w:pStyle w:val="21"/>
        <w:spacing w:line="579" w:lineRule="exact"/>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spacing w:line="579" w:lineRule="exact"/>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spacing w:line="579" w:lineRule="exact"/>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pStyle w:val="21"/>
        <w:spacing w:line="579" w:lineRule="exact"/>
        <w:rPr>
          <w:rFonts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664" w:type="dxa"/>
        <w:tblInd w:w="93" w:type="dxa"/>
        <w:tblLayout w:type="fixed"/>
        <w:tblCellMar>
          <w:top w:w="0" w:type="dxa"/>
          <w:left w:w="108" w:type="dxa"/>
          <w:bottom w:w="0" w:type="dxa"/>
          <w:right w:w="108" w:type="dxa"/>
        </w:tblCellMar>
      </w:tblPr>
      <w:tblGrid>
        <w:gridCol w:w="844"/>
        <w:gridCol w:w="916"/>
        <w:gridCol w:w="1428"/>
        <w:gridCol w:w="1355"/>
        <w:gridCol w:w="2494"/>
        <w:gridCol w:w="741"/>
        <w:gridCol w:w="922"/>
        <w:gridCol w:w="1373"/>
        <w:gridCol w:w="1591"/>
      </w:tblGrid>
      <w:tr>
        <w:tblPrEx>
          <w:tblCellMar>
            <w:top w:w="0" w:type="dxa"/>
            <w:left w:w="108" w:type="dxa"/>
            <w:bottom w:w="0" w:type="dxa"/>
            <w:right w:w="108" w:type="dxa"/>
          </w:tblCellMar>
        </w:tblPrEx>
        <w:trPr>
          <w:trHeight w:val="36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一级指标</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二级指标</w:t>
            </w:r>
          </w:p>
        </w:tc>
        <w:tc>
          <w:tcPr>
            <w:tcW w:w="1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三级指标</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绩效指标描述</w:t>
            </w:r>
          </w:p>
        </w:tc>
        <w:tc>
          <w:tcPr>
            <w:tcW w:w="2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评（扣）分标准</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指标值确定依据</w:t>
            </w:r>
          </w:p>
        </w:tc>
      </w:tr>
      <w:tr>
        <w:tblPrEx>
          <w:tblCellMar>
            <w:top w:w="0" w:type="dxa"/>
            <w:left w:w="108" w:type="dxa"/>
            <w:bottom w:w="0" w:type="dxa"/>
            <w:right w:w="108" w:type="dxa"/>
          </w:tblCellMar>
        </w:tblPrEx>
        <w:trPr>
          <w:trHeight w:val="585"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2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符号</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值</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单位（文字描述）</w:t>
            </w: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r>
      <w:tr>
        <w:tblPrEx>
          <w:tblCellMar>
            <w:top w:w="0" w:type="dxa"/>
            <w:left w:w="108" w:type="dxa"/>
            <w:bottom w:w="0" w:type="dxa"/>
            <w:right w:w="108" w:type="dxa"/>
          </w:tblCellMar>
        </w:tblPrEx>
        <w:trPr>
          <w:trHeight w:val="33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产出指标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20分毕业生合格率100%得满分，否则不得分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岗位职责</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10分不低于95%得满分，否则不得分5每减少1%扣1分，扣完为止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质量指标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20分合格率100%得满分，否则不得分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质量评价标准</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时效指标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10分及时完成得满分，否则不得分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及时</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年初工作计划</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成本指标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教育经费使用控制率</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支出的公用经费总额与预算安排的比率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教育经费决算数不大于调整预算数</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效益指标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社会效益指标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义务教育高质量发展</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推动义务教育从数量扩张向质量提高转变</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10分学生、家长、社会对学校整体满意度达到95%得满分，每降低1%扣1分，扣完为止。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部门职责</w:t>
            </w:r>
          </w:p>
        </w:tc>
      </w:tr>
      <w:tr>
        <w:tblPrEx>
          <w:tblCellMar>
            <w:top w:w="0" w:type="dxa"/>
            <w:left w:w="108" w:type="dxa"/>
            <w:bottom w:w="0" w:type="dxa"/>
            <w:right w:w="108" w:type="dxa"/>
          </w:tblCellMar>
        </w:tblPrEx>
        <w:trPr>
          <w:trHeight w:val="330"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满意度指标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10分在校师生的满意度达到95%得满分，每降低1%扣1分，扣完为止。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r>
        <w:tblPrEx>
          <w:tblCellMar>
            <w:top w:w="0" w:type="dxa"/>
            <w:left w:w="108" w:type="dxa"/>
            <w:bottom w:w="0" w:type="dxa"/>
            <w:right w:w="108" w:type="dxa"/>
          </w:tblCellMar>
        </w:tblPrEx>
        <w:trPr>
          <w:trHeight w:val="330"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579" w:lineRule="exact"/>
              <w:jc w:val="left"/>
              <w:rPr>
                <w:rFonts w:cs="Calibri"/>
                <w:color w:val="000000"/>
                <w:sz w:val="22"/>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135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2494"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10分家长的满意度达到95%得满分，每降低1%扣1分，扣完为止</w:t>
            </w:r>
          </w:p>
        </w:tc>
        <w:tc>
          <w:tcPr>
            <w:tcW w:w="74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92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73"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97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79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1.按照义务教育生均公用经费标准申请财政预算资金，通过合理、合规使用资金达到保证学校正常运转，改善办学条件，促进义务教育发展。</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2.改善学校办学条件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3.提高学生素质</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257"/>
        <w:gridCol w:w="1500"/>
        <w:gridCol w:w="3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25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0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36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2966人</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735元/人</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5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50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36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1.廊坊市第十八小学对2022年在校学生2966人，按照义务教育生均公用经费标准申请财政预算资金，通过合理、合规使用资金达到保证学校正常运转。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2966人</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735元/生/ 年</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冀财教【2021】62号文件</w:t>
            </w:r>
          </w:p>
          <w:p>
            <w:pPr>
              <w:pStyle w:val="14"/>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571"/>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7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54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 111人工资福利</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111人</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≤30.38万元</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5.特殊教育资金[中央]绩效目标表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61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1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1.目方便特殊学生学习生活，提升整体教学质量</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特殊教育资金使用合格</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特殊教育资金合格率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特殊教育资金管理办法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4人</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依据在校生实际情况统计表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项目成本</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6000元/生/年</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廊财教[2021]69号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保证项目及时完工</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保证项目及时完工</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12月底</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保证项目的持续使用</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保证项目的持续使用</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持续</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提高特殊学生的安全性</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提高特殊学生的安全性</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特殊义务教育学生和家长满意度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特殊义务教育学生和家长满意度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79" w:lineRule="exact"/>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spacing w:line="579" w:lineRule="exact"/>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spacing w:line="579" w:lineRule="exact"/>
        <w:outlineLvl w:val="1"/>
        <w:rPr>
          <w:rFonts w:ascii="方正小标宋_GBK" w:eastAsia="方正小标宋_GBK" w:cs="Times New Roman"/>
          <w:sz w:val="32"/>
        </w:rPr>
      </w:pPr>
      <w:r>
        <w:rPr>
          <w:rFonts w:hint="eastAsia"/>
        </w:rPr>
        <w:t>廊坊市第十八小学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广阳区第十八小学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22"/>
        </w:rPr>
        <w:t>280.8243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22"/>
        </w:rPr>
        <w:t>****</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（学生桌椅</w:t>
      </w:r>
      <w:r>
        <w:rPr>
          <w:rFonts w:ascii="Times New Roman" w:hAnsi="Times New Roman" w:eastAsia="仿宋_GB2312" w:cs="Times New Roman"/>
          <w:sz w:val="32"/>
          <w:szCs w:val="32"/>
        </w:rPr>
        <w:t>、办公家具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广阳区第十八小学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261</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280.8243</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291068-29A2-4948-8D17-5FD5C9467A03}"/>
  </w:font>
  <w:font w:name="Courier New">
    <w:panose1 w:val="02070309020205020404"/>
    <w:charset w:val="01"/>
    <w:family w:val="modern"/>
    <w:pitch w:val="default"/>
    <w:sig w:usb0="E0002EFF" w:usb1="C0007843" w:usb2="00000009" w:usb3="00000000" w:csb0="400001FF" w:csb1="FFFF0000"/>
    <w:embedRegular r:id="rId2" w:fontKey="{5DA6D98E-B00B-4869-8248-ECC085200DE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E2E935F-27D3-4348-9973-9C6512DA2C7F}"/>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4" w:fontKey="{32128D92-FE7F-4D9D-A701-7F078270F811}"/>
  </w:font>
  <w:font w:name="仿宋_GB2312">
    <w:panose1 w:val="02010609030101010101"/>
    <w:charset w:val="86"/>
    <w:family w:val="modern"/>
    <w:pitch w:val="default"/>
    <w:sig w:usb0="00000001" w:usb1="080E0000" w:usb2="00000000" w:usb3="00000000" w:csb0="00040000" w:csb1="00000000"/>
    <w:embedRegular r:id="rId5" w:fontKey="{A3C133B0-6A74-4945-BCEB-24CAFDAA7982}"/>
  </w:font>
  <w:font w:name="方正小标宋简体">
    <w:panose1 w:val="03000509000000000000"/>
    <w:charset w:val="86"/>
    <w:family w:val="script"/>
    <w:pitch w:val="default"/>
    <w:sig w:usb0="00000001" w:usb1="080E0000" w:usb2="00000000" w:usb3="00000000" w:csb0="00040000" w:csb1="00000000"/>
    <w:embedRegular r:id="rId6" w:fontKey="{5CACDE3C-84A9-4116-B925-8B0CD2779032}"/>
  </w:font>
  <w:font w:name="楷体_GB2312">
    <w:panose1 w:val="02010609030101010101"/>
    <w:charset w:val="86"/>
    <w:family w:val="modern"/>
    <w:pitch w:val="default"/>
    <w:sig w:usb0="00000001" w:usb1="080E0000" w:usb2="00000000" w:usb3="00000000" w:csb0="00040000" w:csb1="00000000"/>
    <w:embedRegular r:id="rId7" w:fontKey="{D85389D2-BD2E-42AF-8887-9B679410227E}"/>
  </w:font>
  <w:font w:name="方正小标宋_GBK">
    <w:altName w:val="微软雅黑"/>
    <w:panose1 w:val="00000000000000000000"/>
    <w:charset w:val="86"/>
    <w:family w:val="script"/>
    <w:pitch w:val="default"/>
    <w:sig w:usb0="00000000" w:usb1="00000000" w:usb2="00000010" w:usb3="00000000" w:csb0="00040000" w:csb1="00000000"/>
    <w:embedRegular r:id="rId8" w:fontKey="{6EF5EA2A-AB9D-4345-85E2-FC3127112A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0522"/>
    <w:rsid w:val="000F6018"/>
    <w:rsid w:val="0025632D"/>
    <w:rsid w:val="003059E0"/>
    <w:rsid w:val="004A54AA"/>
    <w:rsid w:val="004C2E6A"/>
    <w:rsid w:val="00702968"/>
    <w:rsid w:val="00944233"/>
    <w:rsid w:val="00B40732"/>
    <w:rsid w:val="00B80935"/>
    <w:rsid w:val="00CA0754"/>
    <w:rsid w:val="00D347CC"/>
    <w:rsid w:val="00DC72B4"/>
    <w:rsid w:val="0CEC1180"/>
    <w:rsid w:val="1DB717CD"/>
    <w:rsid w:val="2C7C7474"/>
    <w:rsid w:val="32F53A8B"/>
    <w:rsid w:val="39B53655"/>
    <w:rsid w:val="62876303"/>
    <w:rsid w:val="63C52F25"/>
    <w:rsid w:val="71300A7E"/>
    <w:rsid w:val="73693C55"/>
    <w:rsid w:val="77974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1376</Words>
  <Characters>7847</Characters>
  <Lines>65</Lines>
  <Paragraphs>18</Paragraphs>
  <TotalTime>18</TotalTime>
  <ScaleCrop>false</ScaleCrop>
  <LinksUpToDate>false</LinksUpToDate>
  <CharactersWithSpaces>9205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2023-08-08T08:19:20Z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9304183C15FC44B19E7164D6016C0862_13</vt:lpwstr>
  </property>
</Properties>
</file>