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bookmarkStart w:id="12" w:name="_GoBack"/>
      <w:bookmarkEnd w:id="12"/>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广阳区九州镇白家务办事处</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jc w:val="left"/>
        <w:rPr>
          <w:rFonts w:cs="Times New Roman" w:asciiTheme="majorEastAsia" w:hAnsiTheme="majorEastAsia" w:eastAsiaTheme="majorEastAsia"/>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广阳区九州镇白家务办事处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6" w:lineRule="exact"/>
        <w:rPr>
          <w:rFonts w:ascii="仿宋_GB2312"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）、执行本级人民代表大会的决议和上级国家行政机关的决定和命令，发布决定和命令</w:t>
      </w:r>
      <w:r>
        <w:rPr>
          <w:rFonts w:ascii="仿宋_GB2312" w:hAnsi="仿宋" w:eastAsia="仿宋_GB2312"/>
          <w:sz w:val="32"/>
          <w:szCs w:val="32"/>
        </w:rPr>
        <w:t>;</w:t>
      </w:r>
      <w:r>
        <w:rPr>
          <w:rFonts w:ascii="仿宋_GB2312" w:hAnsi="仿宋" w:eastAsia="仿宋_GB2312"/>
          <w:sz w:val="32"/>
          <w:szCs w:val="32"/>
        </w:rPr>
        <w:br w:type="textWrapping"/>
      </w: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）、执行本行政区域内的经济和社会发展计划、预算，管理本行政区域内的经济、教育、科学、文化、卫生、体育事业和财政、民政、公安、司法行政、计划生育等行政工作</w:t>
      </w:r>
      <w:r>
        <w:rPr>
          <w:rFonts w:ascii="仿宋_GB2312" w:hAnsi="仿宋" w:eastAsia="仿宋_GB2312"/>
          <w:sz w:val="32"/>
          <w:szCs w:val="32"/>
        </w:rPr>
        <w:t>;</w:t>
      </w:r>
      <w:r>
        <w:rPr>
          <w:rFonts w:ascii="仿宋_GB2312" w:hAnsi="仿宋" w:eastAsia="仿宋_GB2312"/>
          <w:sz w:val="32"/>
          <w:szCs w:val="32"/>
        </w:rPr>
        <w:br w:type="textWrapping"/>
      </w: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）、保护社会主义的全民所有的财产和劳动群众集体所有的财产，保护公民私人所有的合法财产，维护社会秩序，保障公民的人身权利、民主权利和其他权利</w:t>
      </w:r>
      <w:r>
        <w:rPr>
          <w:rFonts w:ascii="仿宋_GB2312" w:hAnsi="仿宋" w:eastAsia="仿宋_GB2312"/>
          <w:sz w:val="32"/>
          <w:szCs w:val="32"/>
        </w:rPr>
        <w:t>;</w:t>
      </w:r>
      <w:r>
        <w:rPr>
          <w:rFonts w:ascii="仿宋_GB2312" w:hAnsi="仿宋" w:eastAsia="仿宋_GB2312"/>
          <w:sz w:val="32"/>
          <w:szCs w:val="32"/>
        </w:rPr>
        <w:br w:type="textWrapping"/>
      </w: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）、保护各种经济组织的合法权益</w:t>
      </w:r>
      <w:r>
        <w:rPr>
          <w:rFonts w:ascii="仿宋_GB2312" w:hAnsi="仿宋" w:eastAsia="仿宋_GB2312"/>
          <w:sz w:val="32"/>
          <w:szCs w:val="32"/>
        </w:rPr>
        <w:t>;</w:t>
      </w:r>
      <w:r>
        <w:rPr>
          <w:rFonts w:ascii="仿宋_GB2312" w:hAnsi="仿宋" w:eastAsia="仿宋_GB2312"/>
          <w:sz w:val="32"/>
          <w:szCs w:val="32"/>
        </w:rPr>
        <w:br w:type="textWrapping"/>
      </w:r>
      <w:r>
        <w:rPr>
          <w:rFonts w:hint="eastAsia" w:ascii="仿宋_GB2312" w:hAnsi="仿宋" w:eastAsia="仿宋_GB2312"/>
          <w:sz w:val="32"/>
          <w:szCs w:val="32"/>
        </w:rPr>
        <w:t>（</w:t>
      </w:r>
      <w:r>
        <w:rPr>
          <w:rFonts w:ascii="仿宋_GB2312" w:hAnsi="仿宋" w:eastAsia="仿宋_GB2312"/>
          <w:sz w:val="32"/>
          <w:szCs w:val="32"/>
        </w:rPr>
        <w:t>5</w:t>
      </w:r>
      <w:r>
        <w:rPr>
          <w:rFonts w:hint="eastAsia" w:ascii="仿宋_GB2312" w:hAnsi="仿宋" w:eastAsia="仿宋_GB2312"/>
          <w:sz w:val="32"/>
          <w:szCs w:val="32"/>
        </w:rPr>
        <w:t>）、保障少数民族的权利和尊重少数民族的风俗习惯</w:t>
      </w:r>
      <w:r>
        <w:rPr>
          <w:rFonts w:ascii="Arial" w:hAnsi="Arial"/>
          <w:color w:val="222222"/>
          <w:sz w:val="28"/>
          <w:szCs w:val="28"/>
          <w:shd w:val="clear" w:color="auto" w:fill="FFFFFF"/>
        </w:rPr>
        <w:t>;</w:t>
      </w:r>
      <w:r>
        <w:rPr>
          <w:rFonts w:ascii="Arial" w:hAnsi="Arial"/>
          <w:color w:val="222222"/>
          <w:sz w:val="28"/>
          <w:szCs w:val="28"/>
        </w:rPr>
        <w:br w:type="textWrapping"/>
      </w:r>
      <w:r>
        <w:rPr>
          <w:rFonts w:hint="eastAsia" w:ascii="仿宋_GB2312" w:hAnsi="仿宋" w:eastAsia="仿宋_GB2312"/>
          <w:sz w:val="32"/>
          <w:szCs w:val="32"/>
        </w:rPr>
        <w:t>（</w:t>
      </w:r>
      <w:r>
        <w:rPr>
          <w:rFonts w:ascii="仿宋_GB2312" w:hAnsi="仿宋" w:eastAsia="仿宋_GB2312"/>
          <w:sz w:val="32"/>
          <w:szCs w:val="32"/>
        </w:rPr>
        <w:t>6</w:t>
      </w:r>
      <w:r>
        <w:rPr>
          <w:rFonts w:hint="eastAsia" w:ascii="仿宋_GB2312" w:hAnsi="仿宋" w:eastAsia="仿宋_GB2312"/>
          <w:sz w:val="32"/>
          <w:szCs w:val="32"/>
        </w:rPr>
        <w:t>）、办理上级区委、区政府交办的其他事项。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廊坊市广阳区九州镇白家务办事处</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广阳区九州镇白家务办事处</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3528.8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3528.8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广阳区九州镇白家务办事处2022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3528.8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2787.66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2651.4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136.26</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741.14</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村级组织运转经费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非公办教师经费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环境卫生集中整治经费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3528.8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719.22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67.08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增加652.14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村级组织运转经费</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镇</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136.26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白家务办事处</w:t>
      </w:r>
      <w:r>
        <w:rPr>
          <w:rFonts w:ascii="Times New Roman" w:hAnsi="Times New Roman" w:eastAsia="仿宋_GB2312" w:cs="Times New Roman"/>
          <w:sz w:val="32"/>
          <w:szCs w:val="32"/>
        </w:rPr>
        <w:t>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以习近平新时代中国特色社会主义思想为指导，全面</w:t>
      </w:r>
      <w:r>
        <w:rPr>
          <w:rFonts w:hint="eastAsia" w:ascii="Times New Roman" w:hAnsi="Times New Roman" w:eastAsia="仿宋_GB2312" w:cs="Times New Roman"/>
          <w:sz w:val="32"/>
          <w:szCs w:val="32"/>
          <w:lang w:eastAsia="zh-CN"/>
        </w:rPr>
        <w:t>贯彻落实党的十九届六中全会精神</w:t>
      </w:r>
      <w:r>
        <w:rPr>
          <w:rFonts w:hint="eastAsia" w:ascii="Times New Roman" w:hAnsi="Times New Roman" w:eastAsia="仿宋_GB2312" w:cs="Times New Roman"/>
          <w:sz w:val="32"/>
          <w:szCs w:val="32"/>
        </w:rPr>
        <w:t>，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加强为民服务的理念，进一步完善预算绩效管理制度体系，着力推进全过程预算绩效管理工作，着力提高预算绩效管理工作质量。</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1、持续提升政务服务与管理工作水平</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绩效指标：公文及时起草或办理，公文起草及办理的质量和效率满足《机关工作标准化流程》要求，拟办意见采纳率90%以上；会议计划100%执行，大型会议圆满完成率达到100%；政务公开及村务公开的完成率达到95%。</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2、持续提升政府电子政务管理水平</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3、提升应急管理水平</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建设运行维护好镇政府应急平台，实现各种实用功能，有效保证镇政府日常应急值守和突发事件应对处置工作；进一步加强应急宣传工作，拓宽宣教渠道、扩大受众面、增强工作实效；充分发做好指导、协调各</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 xml:space="preserve">应急工作，确保信息报送及时畅通，不出差错和问题。 </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绩效指标：保障日常应急值守和突发事件及时处理，处理率达到95%；做好应急宣传工作，宣传覆盖面积达到95%以上。</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4、持续提升综合业务事务管理水平</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绩效目标：做好辖区内散乱污、饭店油烟、工地扬尘治理管控工作，使得环境得到改善，天气优良率提升；进一步健全城乡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绩效指标：做好散乱污等治理工作，改善辖区内环境，优良天气增加；加强村级建设，更好为辖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更好的为村级服务，群众满意度达到95%及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强化预算执行。将年度工作目标任务细化分解，落实到岗、落实到人。科学制定预算使用计划，加快履行政府采购程序，督促相关科室加快项目执行，根据需要召开调度会，及时协调解决工作中存在的困难和问题。</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加强内控建设。建立健全内部控制体系，认真执行财经法规和政策要求，对重大支出、资产处置及其他重要经济事项进行有效监督，并完善内部审计，配合做好审计、财政等外部检查，确保资金使用安全有效。</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4、完善绩效管理。制定完善预算绩效管理制度，健全资金管理办法和工作保障机制，加大宣传培训力度，强化</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预算绩效管理意识，进一步提升预算绩效管理水平。按要求开展绩效运行监控，认真做好绩效评价工作，确保绩效目标如期保质实现，提高财政资金使用效益。</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3561" w:type="dxa"/>
        <w:tblInd w:w="96" w:type="dxa"/>
        <w:tblLayout w:type="autofit"/>
        <w:tblCellMar>
          <w:top w:w="0" w:type="dxa"/>
          <w:left w:w="108" w:type="dxa"/>
          <w:bottom w:w="0" w:type="dxa"/>
          <w:right w:w="108" w:type="dxa"/>
        </w:tblCellMar>
      </w:tblPr>
      <w:tblGrid>
        <w:gridCol w:w="740"/>
        <w:gridCol w:w="1061"/>
        <w:gridCol w:w="1560"/>
        <w:gridCol w:w="3220"/>
        <w:gridCol w:w="2940"/>
        <w:gridCol w:w="860"/>
        <w:gridCol w:w="760"/>
        <w:gridCol w:w="1060"/>
        <w:gridCol w:w="1360"/>
      </w:tblGrid>
      <w:tr>
        <w:tblPrEx>
          <w:tblCellMar>
            <w:top w:w="0" w:type="dxa"/>
            <w:left w:w="108" w:type="dxa"/>
            <w:bottom w:w="0" w:type="dxa"/>
            <w:right w:w="108" w:type="dxa"/>
          </w:tblCellMar>
        </w:tblPrEx>
        <w:trPr>
          <w:trHeight w:val="36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一级指标</w:t>
            </w:r>
          </w:p>
        </w:tc>
        <w:tc>
          <w:tcPr>
            <w:tcW w:w="10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二级指标</w:t>
            </w:r>
          </w:p>
        </w:tc>
        <w:tc>
          <w:tcPr>
            <w:tcW w:w="15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三级指标</w:t>
            </w:r>
          </w:p>
        </w:tc>
        <w:tc>
          <w:tcPr>
            <w:tcW w:w="3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绩效指标描述</w:t>
            </w:r>
          </w:p>
        </w:tc>
        <w:tc>
          <w:tcPr>
            <w:tcW w:w="2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评（扣）分标准</w:t>
            </w:r>
          </w:p>
        </w:tc>
        <w:tc>
          <w:tcPr>
            <w:tcW w:w="26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指标值</w:t>
            </w:r>
          </w:p>
        </w:tc>
        <w:tc>
          <w:tcPr>
            <w:tcW w:w="13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指标值确定依据</w:t>
            </w:r>
          </w:p>
        </w:tc>
      </w:tr>
      <w:tr>
        <w:tblPrEx>
          <w:tblCellMar>
            <w:top w:w="0" w:type="dxa"/>
            <w:left w:w="108" w:type="dxa"/>
            <w:bottom w:w="0" w:type="dxa"/>
            <w:right w:w="108" w:type="dxa"/>
          </w:tblCellMar>
        </w:tblPrEx>
        <w:trPr>
          <w:trHeight w:val="585"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2"/>
              </w:rPr>
            </w:pPr>
          </w:p>
        </w:tc>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2"/>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2"/>
              </w:rPr>
            </w:pPr>
          </w:p>
        </w:tc>
        <w:tc>
          <w:tcPr>
            <w:tcW w:w="3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2"/>
              </w:rPr>
            </w:pPr>
          </w:p>
        </w:tc>
        <w:tc>
          <w:tcPr>
            <w:tcW w:w="2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2"/>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符号</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值</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color w:val="000000"/>
                <w:kern w:val="0"/>
                <w:sz w:val="22"/>
              </w:rPr>
            </w:pPr>
            <w:r>
              <w:rPr>
                <w:rFonts w:hint="eastAsia" w:ascii="宋体" w:hAnsi="宋体" w:cs="宋体"/>
                <w:b/>
                <w:color w:val="000000"/>
                <w:kern w:val="0"/>
                <w:sz w:val="22"/>
              </w:rPr>
              <w:t>单位（文字描述）</w:t>
            </w:r>
          </w:p>
        </w:tc>
        <w:tc>
          <w:tcPr>
            <w:tcW w:w="13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3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lang w:eastAsia="zh-CN"/>
              </w:rPr>
              <w:t>单位</w:t>
            </w:r>
            <w:r>
              <w:rPr>
                <w:rFonts w:hint="eastAsia" w:ascii="仿宋_GB2312" w:hAnsi="仿宋_GB2312" w:eastAsia="仿宋_GB2312" w:cs="仿宋_GB2312"/>
                <w:color w:val="000000"/>
                <w:w w:val="80"/>
                <w:kern w:val="0"/>
                <w:sz w:val="21"/>
                <w:szCs w:val="21"/>
              </w:rPr>
              <w:t xml:space="preserve">     产出</w:t>
            </w:r>
          </w:p>
        </w:tc>
        <w:tc>
          <w:tcPr>
            <w:tcW w:w="10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w w:val="80"/>
                <w:kern w:val="0"/>
                <w:sz w:val="21"/>
                <w:szCs w:val="21"/>
              </w:rPr>
            </w:pPr>
            <w:r>
              <w:rPr>
                <w:rFonts w:hint="eastAsia" w:ascii="仿宋_GB2312" w:hAnsi="仿宋_GB2312" w:eastAsia="仿宋_GB2312" w:cs="仿宋_GB2312"/>
                <w:w w:val="80"/>
                <w:kern w:val="0"/>
                <w:sz w:val="21"/>
                <w:szCs w:val="21"/>
              </w:rPr>
              <w:t>数量</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辖区内村街数</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辖区内村街数</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分值15分，每少10%扣1分</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39</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个</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按政策要求</w:t>
            </w:r>
          </w:p>
        </w:tc>
      </w:tr>
      <w:tr>
        <w:tblPrEx>
          <w:tblCellMar>
            <w:top w:w="0" w:type="dxa"/>
            <w:left w:w="108" w:type="dxa"/>
            <w:bottom w:w="0" w:type="dxa"/>
            <w:right w:w="108" w:type="dxa"/>
          </w:tblCellMar>
        </w:tblPrEx>
        <w:trPr>
          <w:trHeight w:val="330" w:hRule="atLeast"/>
        </w:trPr>
        <w:tc>
          <w:tcPr>
            <w:tcW w:w="7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p>
        </w:tc>
        <w:tc>
          <w:tcPr>
            <w:tcW w:w="10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w w:val="80"/>
                <w:kern w:val="0"/>
                <w:sz w:val="21"/>
                <w:szCs w:val="21"/>
              </w:rPr>
            </w:pPr>
            <w:r>
              <w:rPr>
                <w:rFonts w:hint="eastAsia" w:ascii="仿宋_GB2312" w:hAnsi="仿宋_GB2312" w:eastAsia="仿宋_GB2312" w:cs="仿宋_GB2312"/>
                <w:w w:val="80"/>
                <w:kern w:val="0"/>
                <w:sz w:val="21"/>
                <w:szCs w:val="21"/>
              </w:rPr>
              <w:t>质量</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工资补贴发放准确率</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准确发放工资补贴人数占享受补贴人数的比例</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分值15分，每少10%扣1分</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100</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按政策要求</w:t>
            </w:r>
          </w:p>
        </w:tc>
      </w:tr>
      <w:tr>
        <w:tblPrEx>
          <w:tblCellMar>
            <w:top w:w="0" w:type="dxa"/>
            <w:left w:w="108" w:type="dxa"/>
            <w:bottom w:w="0" w:type="dxa"/>
            <w:right w:w="108" w:type="dxa"/>
          </w:tblCellMar>
        </w:tblPrEx>
        <w:trPr>
          <w:trHeight w:val="330" w:hRule="atLeast"/>
        </w:trPr>
        <w:tc>
          <w:tcPr>
            <w:tcW w:w="7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p>
        </w:tc>
        <w:tc>
          <w:tcPr>
            <w:tcW w:w="10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w w:val="80"/>
                <w:kern w:val="0"/>
                <w:sz w:val="21"/>
                <w:szCs w:val="21"/>
              </w:rPr>
            </w:pPr>
            <w:r>
              <w:rPr>
                <w:rFonts w:hint="eastAsia" w:ascii="仿宋_GB2312" w:hAnsi="仿宋_GB2312" w:eastAsia="仿宋_GB2312" w:cs="仿宋_GB2312"/>
                <w:w w:val="80"/>
                <w:kern w:val="0"/>
                <w:sz w:val="21"/>
                <w:szCs w:val="21"/>
              </w:rPr>
              <w:t>时效</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工资补贴发放及时率</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反映补贴发放及时情况</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分值15分，每少10%扣1分</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95</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按政策要求</w:t>
            </w:r>
          </w:p>
        </w:tc>
      </w:tr>
      <w:tr>
        <w:tblPrEx>
          <w:tblCellMar>
            <w:top w:w="0" w:type="dxa"/>
            <w:left w:w="108" w:type="dxa"/>
            <w:bottom w:w="0" w:type="dxa"/>
            <w:right w:w="108" w:type="dxa"/>
          </w:tblCellMar>
        </w:tblPrEx>
        <w:trPr>
          <w:trHeight w:val="330" w:hRule="atLeast"/>
        </w:trPr>
        <w:tc>
          <w:tcPr>
            <w:tcW w:w="74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p>
        </w:tc>
        <w:tc>
          <w:tcPr>
            <w:tcW w:w="10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w w:val="80"/>
                <w:kern w:val="0"/>
                <w:sz w:val="21"/>
                <w:szCs w:val="21"/>
              </w:rPr>
            </w:pPr>
            <w:r>
              <w:rPr>
                <w:rFonts w:hint="eastAsia" w:ascii="仿宋_GB2312" w:hAnsi="仿宋_GB2312" w:eastAsia="仿宋_GB2312" w:cs="仿宋_GB2312"/>
                <w:w w:val="80"/>
                <w:kern w:val="0"/>
                <w:sz w:val="21"/>
                <w:szCs w:val="21"/>
              </w:rPr>
              <w:t>成本</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人均资金成本</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人均资金成本</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分值15分，每少10%扣1分</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文字描述</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　</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按实际标准</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按政策要求</w:t>
            </w:r>
          </w:p>
        </w:tc>
      </w:tr>
      <w:tr>
        <w:tblPrEx>
          <w:tblCellMar>
            <w:top w:w="0" w:type="dxa"/>
            <w:left w:w="108" w:type="dxa"/>
            <w:bottom w:w="0" w:type="dxa"/>
            <w:right w:w="108" w:type="dxa"/>
          </w:tblCellMar>
        </w:tblPrEx>
        <w:trPr>
          <w:trHeight w:val="924"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lang w:eastAsia="zh-CN"/>
              </w:rPr>
              <w:t>单位</w:t>
            </w:r>
            <w:r>
              <w:rPr>
                <w:rFonts w:hint="eastAsia" w:ascii="仿宋_GB2312" w:hAnsi="仿宋_GB2312" w:eastAsia="仿宋_GB2312" w:cs="仿宋_GB2312"/>
                <w:color w:val="000000"/>
                <w:w w:val="80"/>
                <w:kern w:val="0"/>
                <w:sz w:val="21"/>
                <w:szCs w:val="21"/>
              </w:rPr>
              <w:t xml:space="preserve">   效果</w:t>
            </w:r>
          </w:p>
        </w:tc>
        <w:tc>
          <w:tcPr>
            <w:tcW w:w="10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w w:val="80"/>
                <w:kern w:val="0"/>
                <w:sz w:val="21"/>
                <w:szCs w:val="21"/>
              </w:rPr>
            </w:pPr>
            <w:r>
              <w:rPr>
                <w:rFonts w:hint="eastAsia" w:ascii="仿宋_GB2312" w:hAnsi="仿宋_GB2312" w:eastAsia="仿宋_GB2312" w:cs="仿宋_GB2312"/>
                <w:w w:val="80"/>
                <w:kern w:val="0"/>
                <w:sz w:val="21"/>
                <w:szCs w:val="21"/>
              </w:rPr>
              <w:t>社会效益</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确保人员稳定，实现进一步提升</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反映人员稳定提升情况</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20分 基本实现目标80%-100%，部分实现目标60%-80%，实现目标较低不得分</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文字描述</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　</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进一步提升</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年度考核</w:t>
            </w:r>
          </w:p>
        </w:tc>
      </w:tr>
      <w:tr>
        <w:tblPrEx>
          <w:tblCellMar>
            <w:top w:w="0" w:type="dxa"/>
            <w:left w:w="108" w:type="dxa"/>
            <w:bottom w:w="0" w:type="dxa"/>
            <w:right w:w="108" w:type="dxa"/>
          </w:tblCellMar>
        </w:tblPrEx>
        <w:trPr>
          <w:trHeight w:val="750" w:hRule="atLeast"/>
        </w:trPr>
        <w:tc>
          <w:tcPr>
            <w:tcW w:w="74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p>
        </w:tc>
        <w:tc>
          <w:tcPr>
            <w:tcW w:w="106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w w:val="80"/>
                <w:kern w:val="0"/>
                <w:sz w:val="21"/>
                <w:szCs w:val="21"/>
              </w:rPr>
            </w:pPr>
            <w:r>
              <w:rPr>
                <w:rFonts w:hint="eastAsia" w:ascii="仿宋_GB2312" w:hAnsi="仿宋_GB2312" w:eastAsia="仿宋_GB2312" w:cs="仿宋_GB2312"/>
                <w:w w:val="80"/>
                <w:kern w:val="0"/>
                <w:sz w:val="21"/>
                <w:szCs w:val="21"/>
              </w:rPr>
              <w:t>服务对象满意度</w:t>
            </w:r>
          </w:p>
        </w:tc>
        <w:tc>
          <w:tcPr>
            <w:tcW w:w="15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群众满意度</w:t>
            </w:r>
          </w:p>
        </w:tc>
        <w:tc>
          <w:tcPr>
            <w:tcW w:w="3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接受服务的群众满意度调查达到完全满意或满意的占全部调查对象的比例</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分值20分，每少10%扣2分</w:t>
            </w:r>
          </w:p>
        </w:tc>
        <w:tc>
          <w:tcPr>
            <w:tcW w:w="8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90</w:t>
            </w:r>
          </w:p>
        </w:tc>
        <w:tc>
          <w:tcPr>
            <w:tcW w:w="10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w:t>
            </w:r>
          </w:p>
        </w:tc>
        <w:tc>
          <w:tcPr>
            <w:tcW w:w="136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w w:val="80"/>
                <w:kern w:val="0"/>
                <w:sz w:val="21"/>
                <w:szCs w:val="21"/>
              </w:rPr>
            </w:pPr>
            <w:r>
              <w:rPr>
                <w:rFonts w:hint="eastAsia" w:ascii="仿宋_GB2312" w:hAnsi="仿宋_GB2312" w:eastAsia="仿宋_GB2312" w:cs="仿宋_GB2312"/>
                <w:color w:val="000000"/>
                <w:w w:val="80"/>
                <w:kern w:val="0"/>
                <w:sz w:val="21"/>
                <w:szCs w:val="21"/>
              </w:rPr>
              <w:t>调查指标</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color w:val="000000"/>
          <w:sz w:val="28"/>
        </w:rPr>
      </w:pPr>
      <w:r>
        <w:rPr>
          <w:rFonts w:hint="eastAsia" w:ascii="仿宋_GB2312" w:hAnsi="仿宋_GB2312" w:eastAsia="仿宋_GB2312" w:cs="仿宋_GB2312"/>
          <w:sz w:val="28"/>
        </w:rPr>
        <w:t>1.</w:t>
      </w:r>
      <w:r>
        <w:rPr>
          <w:rFonts w:hint="eastAsia" w:ascii="仿宋_GB2312" w:hAnsi="仿宋_GB2312" w:eastAsia="仿宋_GB2312" w:cs="仿宋_GB2312"/>
          <w:color w:val="000000"/>
          <w:sz w:val="28"/>
        </w:rPr>
        <w:t xml:space="preserve"> 机关事务管理经费绩效目标表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2"/>
        <w:gridCol w:w="118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1876" w:type="dxa"/>
            <w:vAlign w:val="center"/>
          </w:tcPr>
          <w:p>
            <w:pPr>
              <w:pStyle w:val="14"/>
              <w:rPr>
                <w:rFonts w:hint="eastAsia" w:ascii="仿宋_GB2312" w:hAnsi="仿宋_GB2312" w:eastAsia="仿宋_GB2312" w:cs="仿宋_GB2312"/>
                <w:lang w:eastAsia="zh-CN"/>
              </w:rPr>
            </w:pPr>
            <w:r>
              <w:rPr>
                <w:rFonts w:hint="eastAsia" w:ascii="仿宋_GB2312" w:hAnsi="仿宋_GB2312" w:eastAsia="仿宋_GB2312" w:cs="仿宋_GB2312"/>
              </w:rPr>
              <w:t>1.维持机关正常运转</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line="2" w:lineRule="exact"/>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88"/>
        <w:gridCol w:w="2409"/>
        <w:gridCol w:w="1985"/>
        <w:gridCol w:w="3402"/>
        <w:gridCol w:w="2252"/>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8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40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9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340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25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4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保障机关数</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保障机关数</w:t>
            </w:r>
          </w:p>
        </w:tc>
        <w:tc>
          <w:tcPr>
            <w:tcW w:w="2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1个</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vMerge w:val="continue"/>
            <w:vAlign w:val="center"/>
          </w:tcPr>
          <w:p>
            <w:pPr>
              <w:rPr>
                <w:rFonts w:hint="eastAsia" w:ascii="仿宋_GB2312" w:hAnsi="仿宋_GB2312" w:eastAsia="仿宋_GB2312" w:cs="仿宋_GB2312"/>
              </w:rPr>
            </w:pPr>
          </w:p>
        </w:tc>
        <w:tc>
          <w:tcPr>
            <w:tcW w:w="24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2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vMerge w:val="continue"/>
            <w:vAlign w:val="center"/>
          </w:tcPr>
          <w:p>
            <w:pPr>
              <w:rPr>
                <w:rFonts w:hint="eastAsia" w:ascii="仿宋_GB2312" w:hAnsi="仿宋_GB2312" w:eastAsia="仿宋_GB2312" w:cs="仿宋_GB2312"/>
              </w:rPr>
            </w:pPr>
          </w:p>
        </w:tc>
        <w:tc>
          <w:tcPr>
            <w:tcW w:w="24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2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规定时间</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vMerge w:val="continue"/>
            <w:vAlign w:val="center"/>
          </w:tcPr>
          <w:p>
            <w:pPr>
              <w:rPr>
                <w:rFonts w:hint="eastAsia" w:ascii="仿宋_GB2312" w:hAnsi="仿宋_GB2312" w:eastAsia="仿宋_GB2312" w:cs="仿宋_GB2312"/>
              </w:rPr>
            </w:pPr>
          </w:p>
        </w:tc>
        <w:tc>
          <w:tcPr>
            <w:tcW w:w="24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2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≤60万元/年</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8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4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2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9" w:hRule="atLeast"/>
          <w:jc w:val="center"/>
        </w:trPr>
        <w:tc>
          <w:tcPr>
            <w:tcW w:w="218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40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2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w:t>
            </w:r>
          </w:p>
        </w:tc>
      </w:tr>
    </w:tbl>
    <w:p>
      <w:pPr>
        <w:autoSpaceDE w:val="0"/>
        <w:autoSpaceDN w:val="0"/>
        <w:adjustRightInd w:val="0"/>
        <w:spacing w:line="584" w:lineRule="exact"/>
        <w:jc w:val="left"/>
        <w:rPr>
          <w:rFonts w:hint="eastAsia" w:ascii="仿宋_GB2312" w:hAnsi="仿宋_GB2312" w:eastAsia="仿宋_GB2312" w:cs="仿宋_GB2312"/>
          <w:sz w:val="44"/>
          <w:szCs w:val="44"/>
        </w:rPr>
      </w:pPr>
    </w:p>
    <w:p>
      <w:pPr>
        <w:autoSpaceDE w:val="0"/>
        <w:autoSpaceDN w:val="0"/>
        <w:adjustRightInd w:val="0"/>
        <w:spacing w:line="584" w:lineRule="exact"/>
        <w:jc w:val="left"/>
        <w:rPr>
          <w:rFonts w:hint="eastAsia" w:ascii="仿宋_GB2312" w:hAnsi="仿宋_GB2312" w:eastAsia="仿宋_GB2312" w:cs="仿宋_GB2312"/>
          <w:sz w:val="44"/>
          <w:szCs w:val="44"/>
        </w:rPr>
      </w:pPr>
    </w:p>
    <w:p>
      <w:pPr>
        <w:autoSpaceDE w:val="0"/>
        <w:autoSpaceDN w:val="0"/>
        <w:adjustRightInd w:val="0"/>
        <w:spacing w:line="584" w:lineRule="exact"/>
        <w:jc w:val="left"/>
        <w:rPr>
          <w:rFonts w:hint="eastAsia" w:ascii="仿宋_GB2312" w:hAnsi="仿宋_GB2312" w:eastAsia="仿宋_GB2312" w:cs="仿宋_GB2312"/>
          <w:sz w:val="44"/>
          <w:szCs w:val="44"/>
        </w:rPr>
      </w:pPr>
    </w:p>
    <w:p>
      <w:pPr>
        <w:autoSpaceDE w:val="0"/>
        <w:autoSpaceDN w:val="0"/>
        <w:adjustRightInd w:val="0"/>
        <w:spacing w:line="584" w:lineRule="exact"/>
        <w:jc w:val="left"/>
        <w:rPr>
          <w:rFonts w:hint="eastAsia" w:ascii="仿宋_GB2312" w:hAnsi="仿宋_GB2312" w:eastAsia="仿宋_GB2312" w:cs="仿宋_GB2312"/>
          <w:sz w:val="44"/>
          <w:szCs w:val="44"/>
        </w:rPr>
      </w:pPr>
    </w:p>
    <w:p>
      <w:pPr>
        <w:autoSpaceDE w:val="0"/>
        <w:autoSpaceDN w:val="0"/>
        <w:adjustRightInd w:val="0"/>
        <w:spacing w:line="584" w:lineRule="exact"/>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bookmarkStart w:id="0" w:name="_Toc_4_4_0000000005"/>
      <w:r>
        <w:rPr>
          <w:rFonts w:hint="eastAsia" w:ascii="仿宋_GB2312" w:hAnsi="仿宋_GB2312" w:eastAsia="仿宋_GB2312" w:cs="仿宋_GB2312"/>
          <w:sz w:val="28"/>
        </w:rPr>
        <w:t>2.村党组织活动经费[区级]绩效目标表</w:t>
      </w:r>
      <w:bookmarkEnd w:id="0"/>
    </w:p>
    <w:p>
      <w:pPr>
        <w:spacing w:line="2" w:lineRule="exact"/>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1"/>
        <w:gridCol w:w="1843"/>
        <w:gridCol w:w="1701"/>
        <w:gridCol w:w="3827"/>
        <w:gridCol w:w="1701"/>
        <w:gridCol w:w="2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1979" w:type="dxa"/>
            <w:gridSpan w:val="5"/>
            <w:vAlign w:val="center"/>
          </w:tcPr>
          <w:p>
            <w:pPr>
              <w:pStyle w:val="12"/>
              <w:jc w:val="left"/>
              <w:rPr>
                <w:rFonts w:hint="eastAsia" w:ascii="仿宋_GB2312" w:hAnsi="仿宋_GB2312" w:eastAsia="仿宋_GB2312" w:cs="仿宋_GB2312"/>
              </w:rPr>
            </w:pPr>
            <w:r>
              <w:rPr>
                <w:rFonts w:hint="eastAsia" w:ascii="仿宋_GB2312" w:hAnsi="仿宋_GB2312" w:eastAsia="仿宋_GB2312" w:cs="仿宋_GB2312"/>
              </w:rPr>
              <w:t>按时拨付经费，保障村街党组织活动正常开展。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7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38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7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90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jc w:val="center"/>
        </w:trPr>
        <w:tc>
          <w:tcPr>
            <w:tcW w:w="1991"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村街数量</w:t>
            </w:r>
          </w:p>
        </w:tc>
        <w:tc>
          <w:tcPr>
            <w:tcW w:w="3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需要经费予以保障的村街数</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4村</w:t>
            </w:r>
          </w:p>
        </w:tc>
        <w:tc>
          <w:tcPr>
            <w:tcW w:w="290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pPr>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3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反映各党组织工作保障情况</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90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pPr>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3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反映及时保障各党组织经费需要情况</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90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Merge w:val="continue"/>
            <w:vAlign w:val="center"/>
          </w:tcPr>
          <w:p>
            <w:pPr>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3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反映村级党组织经费单位成本</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＝1万元/年/村</w:t>
            </w:r>
          </w:p>
        </w:tc>
        <w:tc>
          <w:tcPr>
            <w:tcW w:w="290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提升基层党建整体工作水平</w:t>
            </w:r>
          </w:p>
        </w:tc>
        <w:tc>
          <w:tcPr>
            <w:tcW w:w="3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反应提升基层党建整体工作水平</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进一步提升</w:t>
            </w:r>
          </w:p>
        </w:tc>
        <w:tc>
          <w:tcPr>
            <w:tcW w:w="290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辖区村街党员满意度</w:t>
            </w:r>
          </w:p>
        </w:tc>
        <w:tc>
          <w:tcPr>
            <w:tcW w:w="38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调查中对村街党组织发挥作用满意和较满意党员数占调查总人数的比率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90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outlineLvl w:val="3"/>
        <w:rPr>
          <w:rFonts w:hint="eastAsia" w:ascii="仿宋_GB2312" w:hAnsi="仿宋_GB2312" w:eastAsia="仿宋_GB2312" w:cs="仿宋_GB2312"/>
          <w:color w:val="000000"/>
          <w:sz w:val="28"/>
        </w:rPr>
      </w:pPr>
      <w:bookmarkStart w:id="1" w:name="_Toc_4_4_0000000006"/>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3.村干部基本报酬[区级]绩效目标表</w:t>
      </w:r>
      <w:bookmarkEnd w:id="1"/>
    </w:p>
    <w:p>
      <w:pPr>
        <w:spacing w:line="2" w:lineRule="exact"/>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2"/>
        <w:gridCol w:w="1843"/>
        <w:gridCol w:w="1701"/>
        <w:gridCol w:w="4252"/>
        <w:gridCol w:w="1843"/>
        <w:gridCol w:w="2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7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1960" w:type="dxa"/>
            <w:gridSpan w:val="5"/>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通过村干部基本报酬的发放，达到提高村干部工作积极性。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4" w:hRule="atLeast"/>
          <w:tblHeader/>
          <w:jc w:val="center"/>
        </w:trPr>
        <w:tc>
          <w:tcPr>
            <w:tcW w:w="197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7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425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32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2"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补贴发放人数</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享受此项待遇人员数</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≥188人</w:t>
            </w:r>
          </w:p>
        </w:tc>
        <w:tc>
          <w:tcPr>
            <w:tcW w:w="23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2" w:type="dxa"/>
            <w:vMerge w:val="continue"/>
            <w:vAlign w:val="center"/>
          </w:tcPr>
          <w:p>
            <w:pPr>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补贴发放覆盖率</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反映已补助人数占应补助人数的比例</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3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2" w:type="dxa"/>
            <w:vMerge w:val="continue"/>
            <w:vAlign w:val="center"/>
          </w:tcPr>
          <w:p>
            <w:pPr>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补贴发放及时率</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反映补贴发放及时情况</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3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2" w:type="dxa"/>
            <w:vMerge w:val="continue"/>
            <w:vAlign w:val="center"/>
          </w:tcPr>
          <w:p>
            <w:pPr>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一人兼补贴标准</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4410.75元/人/月</w:t>
            </w:r>
          </w:p>
        </w:tc>
        <w:tc>
          <w:tcPr>
            <w:tcW w:w="23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2" w:type="dxa"/>
            <w:vMerge w:val="continue"/>
            <w:vAlign w:val="center"/>
          </w:tcPr>
          <w:p>
            <w:pPr>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顾问补贴标准</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2940.5元/人/月</w:t>
            </w:r>
          </w:p>
        </w:tc>
        <w:tc>
          <w:tcPr>
            <w:tcW w:w="23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2" w:type="dxa"/>
            <w:vMerge w:val="continue"/>
            <w:vAlign w:val="center"/>
          </w:tcPr>
          <w:p>
            <w:pPr>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村主任补贴标准</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2205.37元/人/月</w:t>
            </w:r>
          </w:p>
        </w:tc>
        <w:tc>
          <w:tcPr>
            <w:tcW w:w="23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2" w:type="dxa"/>
            <w:vMerge w:val="continue"/>
            <w:vAlign w:val="center"/>
          </w:tcPr>
          <w:p>
            <w:pPr>
              <w:rPr>
                <w:rFonts w:hint="eastAsia" w:ascii="仿宋_GB2312" w:hAnsi="仿宋_GB2312" w:eastAsia="仿宋_GB2312" w:cs="仿宋_GB2312"/>
              </w:rPr>
            </w:pP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其他两委补贴标准</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1470.25元/人/月</w:t>
            </w:r>
          </w:p>
        </w:tc>
        <w:tc>
          <w:tcPr>
            <w:tcW w:w="23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6" w:hRule="atLeast"/>
          <w:jc w:val="center"/>
        </w:trPr>
        <w:tc>
          <w:tcPr>
            <w:tcW w:w="197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701" w:type="dxa"/>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村街“两委”班子履职合格率</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两委班子履职合格村街数与村街总数的比率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3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843"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1701"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辖区村街村干部满意度</w:t>
            </w:r>
          </w:p>
        </w:tc>
        <w:tc>
          <w:tcPr>
            <w:tcW w:w="4252"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调查中对村务工作满意和较满意村干部数占调查总人数的比率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32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bookmarkStart w:id="2" w:name="_Toc_4_4_0000000007"/>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4.村级组织办公经费[区级]绩效目标表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9"/>
        <w:gridCol w:w="2127"/>
        <w:gridCol w:w="1842"/>
        <w:gridCol w:w="4253"/>
        <w:gridCol w:w="1701"/>
        <w:gridCol w:w="23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0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2264" w:type="dxa"/>
            <w:gridSpan w:val="5"/>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按时拨付经费，保障村街办公活动正常开展。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70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1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84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425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7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34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8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村街数量</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需要经费予以保障的村街数</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4村</w:t>
            </w:r>
          </w:p>
        </w:tc>
        <w:tc>
          <w:tcPr>
            <w:tcW w:w="2341"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Merge w:val="continue"/>
            <w:vAlign w:val="center"/>
          </w:tcPr>
          <w:p>
            <w:pPr>
              <w:rPr>
                <w:rFonts w:hint="eastAsia" w:ascii="仿宋_GB2312" w:hAnsi="仿宋_GB2312" w:eastAsia="仿宋_GB2312" w:cs="仿宋_GB2312"/>
              </w:rPr>
            </w:pP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8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反映各项日常工作保障情况</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341"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Merge w:val="continue"/>
            <w:vAlign w:val="center"/>
          </w:tcPr>
          <w:p>
            <w:pPr>
              <w:rPr>
                <w:rFonts w:hint="eastAsia" w:ascii="仿宋_GB2312" w:hAnsi="仿宋_GB2312" w:eastAsia="仿宋_GB2312" w:cs="仿宋_GB2312"/>
              </w:rPr>
            </w:pP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8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反映及时保障各项日常办公需要情况</w:t>
            </w:r>
          </w:p>
        </w:tc>
        <w:tc>
          <w:tcPr>
            <w:tcW w:w="1701"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2341"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9" w:type="dxa"/>
            <w:vMerge w:val="continue"/>
            <w:vAlign w:val="center"/>
          </w:tcPr>
          <w:p>
            <w:pPr>
              <w:rPr>
                <w:rFonts w:hint="eastAsia" w:ascii="仿宋_GB2312" w:hAnsi="仿宋_GB2312" w:eastAsia="仿宋_GB2312" w:cs="仿宋_GB2312"/>
              </w:rPr>
            </w:pP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反映村级组织办公经费单位成本</w:t>
            </w:r>
          </w:p>
        </w:tc>
        <w:tc>
          <w:tcPr>
            <w:tcW w:w="1701"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＝2万元/年/村</w:t>
            </w:r>
          </w:p>
        </w:tc>
        <w:tc>
          <w:tcPr>
            <w:tcW w:w="2341"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70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保障村级组织各项工作正常运转</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反映村街正常运转情况</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进一步提高</w:t>
            </w:r>
          </w:p>
        </w:tc>
        <w:tc>
          <w:tcPr>
            <w:tcW w:w="23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1" w:hRule="atLeast"/>
          <w:jc w:val="center"/>
        </w:trPr>
        <w:tc>
          <w:tcPr>
            <w:tcW w:w="170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42" w:type="dxa"/>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辖区村街村民满意度</w:t>
            </w:r>
          </w:p>
        </w:tc>
        <w:tc>
          <w:tcPr>
            <w:tcW w:w="4253" w:type="dxa"/>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调查中对村街办公活动满意和较满意村民数占调查总人数的比率</w:t>
            </w:r>
          </w:p>
        </w:tc>
        <w:tc>
          <w:tcPr>
            <w:tcW w:w="1701" w:type="dxa"/>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≥90%</w:t>
            </w:r>
          </w:p>
        </w:tc>
        <w:tc>
          <w:tcPr>
            <w:tcW w:w="2341" w:type="dxa"/>
            <w:vAlign w:val="center"/>
          </w:tcPr>
          <w:p>
            <w:pPr>
              <w:pStyle w:val="14"/>
              <w:rPr>
                <w:rFonts w:hint="eastAsia" w:ascii="仿宋_GB2312" w:hAnsi="仿宋_GB2312" w:eastAsia="仿宋_GB2312" w:cs="仿宋_GB2312"/>
                <w:szCs w:val="21"/>
              </w:rPr>
            </w:pPr>
            <w:r>
              <w:rPr>
                <w:rFonts w:hint="eastAsia" w:ascii="仿宋_GB2312" w:hAnsi="仿宋_GB2312" w:eastAsia="仿宋_GB2312" w:cs="仿宋_GB2312"/>
                <w:szCs w:val="21"/>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bookmarkStart w:id="3" w:name="_Toc_4_4_0000000008"/>
      <w:r>
        <w:rPr>
          <w:rFonts w:hint="eastAsia" w:ascii="仿宋_GB2312" w:hAnsi="仿宋_GB2312" w:eastAsia="仿宋_GB2312" w:cs="仿宋_GB2312"/>
          <w:sz w:val="28"/>
        </w:rPr>
        <w:t>5.村级组织运转经费 [市级]绩效目标表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4"/>
        <w:gridCol w:w="1985"/>
        <w:gridCol w:w="1984"/>
        <w:gridCol w:w="4253"/>
        <w:gridCol w:w="1843"/>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2333" w:type="dxa"/>
            <w:gridSpan w:val="5"/>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通过村干部基本报酬的发放，实现党和政府对基层干部的关心及重视，村干部工作积极性增加，更好的为村级组织及群众服务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9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98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425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26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补贴发放人数</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享受此项待遇人员数</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≥188人</w:t>
            </w:r>
          </w:p>
        </w:tc>
        <w:tc>
          <w:tcPr>
            <w:tcW w:w="22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continue"/>
            <w:vAlign w:val="center"/>
          </w:tcPr>
          <w:p>
            <w:pPr>
              <w:rPr>
                <w:rFonts w:hint="eastAsia" w:ascii="仿宋_GB2312" w:hAnsi="仿宋_GB2312" w:eastAsia="仿宋_GB2312" w:cs="仿宋_GB2312"/>
              </w:rPr>
            </w:pP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补贴发放覆盖率</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反映已补助人数占应补助人数的比例</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2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continue"/>
            <w:vAlign w:val="center"/>
          </w:tcPr>
          <w:p>
            <w:pPr>
              <w:rPr>
                <w:rFonts w:hint="eastAsia" w:ascii="仿宋_GB2312" w:hAnsi="仿宋_GB2312" w:eastAsia="仿宋_GB2312" w:cs="仿宋_GB2312"/>
              </w:rPr>
            </w:pP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补贴发放及时率</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反映补贴发放及时情况</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2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continue"/>
            <w:vAlign w:val="center"/>
          </w:tcPr>
          <w:p>
            <w:pPr>
              <w:rPr>
                <w:rFonts w:hint="eastAsia" w:ascii="仿宋_GB2312" w:hAnsi="仿宋_GB2312" w:eastAsia="仿宋_GB2312" w:cs="仿宋_GB2312"/>
              </w:rPr>
            </w:pP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一人兼补贴标准</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4410.75元/人/月</w:t>
            </w:r>
          </w:p>
        </w:tc>
        <w:tc>
          <w:tcPr>
            <w:tcW w:w="22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continue"/>
            <w:vAlign w:val="center"/>
          </w:tcPr>
          <w:p>
            <w:pPr>
              <w:rPr>
                <w:rFonts w:hint="eastAsia" w:ascii="仿宋_GB2312" w:hAnsi="仿宋_GB2312" w:eastAsia="仿宋_GB2312" w:cs="仿宋_GB2312"/>
              </w:rPr>
            </w:pP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顾问补贴标准</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2940.5元/人/月</w:t>
            </w:r>
          </w:p>
        </w:tc>
        <w:tc>
          <w:tcPr>
            <w:tcW w:w="22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continue"/>
            <w:vAlign w:val="center"/>
          </w:tcPr>
          <w:p>
            <w:pPr>
              <w:rPr>
                <w:rFonts w:hint="eastAsia" w:ascii="仿宋_GB2312" w:hAnsi="仿宋_GB2312" w:eastAsia="仿宋_GB2312" w:cs="仿宋_GB2312"/>
              </w:rPr>
            </w:pP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村主任补贴标准</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2205.37元/人/月</w:t>
            </w:r>
          </w:p>
        </w:tc>
        <w:tc>
          <w:tcPr>
            <w:tcW w:w="22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Merge w:val="continue"/>
            <w:vAlign w:val="center"/>
          </w:tcPr>
          <w:p>
            <w:pPr>
              <w:rPr>
                <w:rFonts w:hint="eastAsia" w:ascii="仿宋_GB2312" w:hAnsi="仿宋_GB2312" w:eastAsia="仿宋_GB2312" w:cs="仿宋_GB2312"/>
              </w:rPr>
            </w:pP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其他两委补贴标准</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1470.25元/人/月</w:t>
            </w:r>
          </w:p>
        </w:tc>
        <w:tc>
          <w:tcPr>
            <w:tcW w:w="22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4"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村街“两委”班子履职合格率</w:t>
            </w:r>
          </w:p>
        </w:tc>
        <w:tc>
          <w:tcPr>
            <w:tcW w:w="42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两委班子履职合格村街数与村街总数的比率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2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54"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985"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1984"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辖区村街村干部满意度</w:t>
            </w:r>
          </w:p>
        </w:tc>
        <w:tc>
          <w:tcPr>
            <w:tcW w:w="4253"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调查中对村务工作满意和较满意村干部数占调查总人数的比率</w:t>
            </w:r>
          </w:p>
        </w:tc>
        <w:tc>
          <w:tcPr>
            <w:tcW w:w="1843"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≥90%</w:t>
            </w:r>
          </w:p>
        </w:tc>
        <w:tc>
          <w:tcPr>
            <w:tcW w:w="2268"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调查问卷</w:t>
            </w:r>
          </w:p>
        </w:tc>
      </w:tr>
    </w:tbl>
    <w:p>
      <w:pPr>
        <w:ind w:firstLine="560" w:firstLineChars="200"/>
        <w:jc w:val="left"/>
        <w:outlineLvl w:val="1"/>
        <w:rPr>
          <w:rFonts w:hint="eastAsia" w:ascii="仿宋_GB2312" w:hAnsi="仿宋_GB2312" w:eastAsia="仿宋_GB2312" w:cs="仿宋_GB2312"/>
          <w:sz w:val="28"/>
        </w:rPr>
      </w:pPr>
      <w:bookmarkStart w:id="4" w:name="_Toc_4_4_0000000009"/>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6.村民小组长误工补贴[区级]绩效目标表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7"/>
        <w:gridCol w:w="1984"/>
        <w:gridCol w:w="1985"/>
        <w:gridCol w:w="4252"/>
        <w:gridCol w:w="1701"/>
        <w:gridCol w:w="24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9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2334" w:type="dxa"/>
            <w:gridSpan w:val="5"/>
            <w:vAlign w:val="center"/>
          </w:tcPr>
          <w:p>
            <w:pPr>
              <w:pStyle w:val="14"/>
              <w:rPr>
                <w:rFonts w:hint="eastAsia" w:ascii="仿宋_GB2312" w:hAnsi="仿宋_GB2312" w:eastAsia="仿宋_GB2312" w:cs="仿宋_GB2312"/>
                <w:lang w:eastAsia="zh-CN"/>
              </w:rPr>
            </w:pPr>
            <w:r>
              <w:rPr>
                <w:rFonts w:hint="eastAsia" w:ascii="仿宋_GB2312" w:hAnsi="仿宋_GB2312" w:eastAsia="仿宋_GB2312" w:cs="仿宋_GB2312"/>
              </w:rPr>
              <w:t>用于保证村街正常运转，调动小组长工作积极性，更好的为村街服务。</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9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98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9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425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7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村街数量</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需要经费予以保障的村街数</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4村</w:t>
            </w:r>
          </w:p>
        </w:tc>
        <w:tc>
          <w:tcPr>
            <w:tcW w:w="24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Merge w:val="continue"/>
            <w:vAlign w:val="center"/>
          </w:tcPr>
          <w:p>
            <w:pPr>
              <w:rPr>
                <w:rFonts w:hint="eastAsia" w:ascii="仿宋_GB2312" w:hAnsi="仿宋_GB2312" w:eastAsia="仿宋_GB2312" w:cs="仿宋_GB2312"/>
              </w:rPr>
            </w:pP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反映各村小组长工作保障情况</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Merge w:val="continue"/>
            <w:vAlign w:val="center"/>
          </w:tcPr>
          <w:p>
            <w:pPr>
              <w:rPr>
                <w:rFonts w:hint="eastAsia" w:ascii="仿宋_GB2312" w:hAnsi="仿宋_GB2312" w:eastAsia="仿宋_GB2312" w:cs="仿宋_GB2312"/>
              </w:rPr>
            </w:pP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反映及时保障各村小组长工作情况</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4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Merge w:val="continue"/>
            <w:vAlign w:val="center"/>
          </w:tcPr>
          <w:p>
            <w:pPr>
              <w:rPr>
                <w:rFonts w:hint="eastAsia" w:ascii="仿宋_GB2312" w:hAnsi="仿宋_GB2312" w:eastAsia="仿宋_GB2312" w:cs="仿宋_GB2312"/>
              </w:rPr>
            </w:pP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反映村小组长工作经费单位成本</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＝1.2万元</w:t>
            </w:r>
          </w:p>
        </w:tc>
        <w:tc>
          <w:tcPr>
            <w:tcW w:w="24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提高小组长工作积极性</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反映提高村民小组长工作积极性，发挥带头作用情况</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进一步提高</w:t>
            </w:r>
          </w:p>
        </w:tc>
        <w:tc>
          <w:tcPr>
            <w:tcW w:w="24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9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辖区村街村民小组长满意度</w:t>
            </w:r>
          </w:p>
        </w:tc>
        <w:tc>
          <w:tcPr>
            <w:tcW w:w="42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调查中对村务工作满意和较满意村民小组长数占调查总人数的比率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bookmarkStart w:id="5" w:name="_Toc_4_4_0000000010"/>
      <w:r>
        <w:rPr>
          <w:rFonts w:hint="eastAsia" w:ascii="仿宋_GB2312" w:hAnsi="仿宋_GB2312" w:eastAsia="仿宋_GB2312" w:cs="仿宋_GB2312"/>
          <w:sz w:val="28"/>
        </w:rPr>
        <w:t>7.非公办教师经费绩效目标表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2"/>
        <w:gridCol w:w="2126"/>
        <w:gridCol w:w="1843"/>
        <w:gridCol w:w="4110"/>
        <w:gridCol w:w="1560"/>
        <w:gridCol w:w="26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2279" w:type="dxa"/>
            <w:gridSpan w:val="5"/>
            <w:vAlign w:val="center"/>
          </w:tcPr>
          <w:p>
            <w:pPr>
              <w:pStyle w:val="14"/>
              <w:rPr>
                <w:rFonts w:hint="eastAsia" w:ascii="仿宋_GB2312" w:hAnsi="仿宋_GB2312" w:eastAsia="仿宋_GB2312" w:cs="仿宋_GB2312"/>
                <w:lang w:eastAsia="zh-CN"/>
              </w:rPr>
            </w:pPr>
            <w:r>
              <w:rPr>
                <w:rFonts w:hint="eastAsia" w:ascii="仿宋_GB2312" w:hAnsi="仿宋_GB2312" w:eastAsia="仿宋_GB2312" w:cs="仿宋_GB2312"/>
              </w:rPr>
              <w:t>按时按月发放民师工资，及时足额缴纳各项保险，切实维护全区非公办教师利益，促进全区教师队伍的整体稳定</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4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12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411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6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64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4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教师享受此项待遇人员数</w:t>
            </w:r>
          </w:p>
        </w:tc>
        <w:tc>
          <w:tcPr>
            <w:tcW w:w="15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15人</w:t>
            </w:r>
          </w:p>
        </w:tc>
        <w:tc>
          <w:tcPr>
            <w:tcW w:w="26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工资发放准确率</w:t>
            </w:r>
          </w:p>
        </w:tc>
        <w:tc>
          <w:tcPr>
            <w:tcW w:w="411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反映工资等发放人员范围的精确性和发放数据的准确性</w:t>
            </w:r>
          </w:p>
        </w:tc>
        <w:tc>
          <w:tcPr>
            <w:tcW w:w="156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64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个人保险申报率</w:t>
            </w:r>
          </w:p>
        </w:tc>
        <w:tc>
          <w:tcPr>
            <w:tcW w:w="411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反映保险申报情况</w:t>
            </w:r>
          </w:p>
        </w:tc>
        <w:tc>
          <w:tcPr>
            <w:tcW w:w="156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w:t>
            </w:r>
          </w:p>
        </w:tc>
        <w:tc>
          <w:tcPr>
            <w:tcW w:w="264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区政府会议纪要[2008]3号文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工资发放及时率</w:t>
            </w:r>
          </w:p>
        </w:tc>
        <w:tc>
          <w:tcPr>
            <w:tcW w:w="411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准时发放工资的次数与总发放工资次数的比率</w:t>
            </w:r>
          </w:p>
        </w:tc>
        <w:tc>
          <w:tcPr>
            <w:tcW w:w="156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≥95%</w:t>
            </w:r>
          </w:p>
        </w:tc>
        <w:tc>
          <w:tcPr>
            <w:tcW w:w="264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43" w:type="dxa"/>
            <w:vAlign w:val="center"/>
          </w:tcPr>
          <w:p>
            <w:pPr>
              <w:pStyle w:val="14"/>
              <w:rPr>
                <w:rFonts w:hint="eastAsia" w:ascii="仿宋_GB2312" w:hAnsi="仿宋_GB2312" w:eastAsia="仿宋_GB2312" w:cs="仿宋_GB2312"/>
                <w:sz w:val="13"/>
                <w:szCs w:val="13"/>
              </w:rPr>
            </w:pPr>
            <w:r>
              <w:rPr>
                <w:rFonts w:hint="eastAsia" w:ascii="仿宋_GB2312" w:hAnsi="仿宋_GB2312" w:eastAsia="仿宋_GB2312" w:cs="仿宋_GB2312"/>
                <w:sz w:val="13"/>
                <w:szCs w:val="13"/>
              </w:rPr>
              <w:t>非公办教师人员工资标准</w:t>
            </w:r>
          </w:p>
        </w:tc>
        <w:tc>
          <w:tcPr>
            <w:tcW w:w="411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非公办教师人员工资标准</w:t>
            </w:r>
          </w:p>
        </w:tc>
        <w:tc>
          <w:tcPr>
            <w:tcW w:w="156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＝2500元/人/月</w:t>
            </w:r>
          </w:p>
        </w:tc>
        <w:tc>
          <w:tcPr>
            <w:tcW w:w="264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43"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非公办教师人员保险标准</w:t>
            </w:r>
          </w:p>
        </w:tc>
        <w:tc>
          <w:tcPr>
            <w:tcW w:w="411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非公办教师人员保险标准</w:t>
            </w:r>
          </w:p>
        </w:tc>
        <w:tc>
          <w:tcPr>
            <w:tcW w:w="156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＝1400元/人/月</w:t>
            </w:r>
          </w:p>
        </w:tc>
        <w:tc>
          <w:tcPr>
            <w:tcW w:w="264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43"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促进非公办教师队伍的整体稳定，提升师资水平</w:t>
            </w:r>
          </w:p>
        </w:tc>
        <w:tc>
          <w:tcPr>
            <w:tcW w:w="411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反映促进非公办教师队伍的整体稳定提升师资水平情况</w:t>
            </w:r>
          </w:p>
        </w:tc>
        <w:tc>
          <w:tcPr>
            <w:tcW w:w="156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进一步提升</w:t>
            </w:r>
          </w:p>
        </w:tc>
        <w:tc>
          <w:tcPr>
            <w:tcW w:w="264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411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调查满意和较满意的非公办教师占调查总人数的比率</w:t>
            </w:r>
          </w:p>
        </w:tc>
        <w:tc>
          <w:tcPr>
            <w:tcW w:w="156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≥90%</w:t>
            </w:r>
          </w:p>
        </w:tc>
        <w:tc>
          <w:tcPr>
            <w:tcW w:w="2640" w:type="dxa"/>
            <w:vAlign w:val="center"/>
          </w:tcPr>
          <w:p>
            <w:pPr>
              <w:pStyle w:val="14"/>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调查问卷</w:t>
            </w:r>
          </w:p>
        </w:tc>
      </w:tr>
    </w:tbl>
    <w:p>
      <w:pPr>
        <w:ind w:firstLine="560" w:firstLineChars="200"/>
        <w:jc w:val="left"/>
        <w:outlineLvl w:val="1"/>
        <w:rPr>
          <w:rFonts w:hint="eastAsia" w:ascii="仿宋_GB2312" w:hAnsi="仿宋_GB2312" w:eastAsia="仿宋_GB2312" w:cs="仿宋_GB2312"/>
          <w:sz w:val="28"/>
        </w:rPr>
      </w:pPr>
      <w:bookmarkStart w:id="6" w:name="_Toc_4_4_0000000011"/>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8.服务群众专项经费[区级]绩效目标表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3"/>
        <w:gridCol w:w="2126"/>
        <w:gridCol w:w="1843"/>
        <w:gridCol w:w="4110"/>
        <w:gridCol w:w="1418"/>
        <w:gridCol w:w="2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2271" w:type="dxa"/>
            <w:gridSpan w:val="5"/>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按时拨付经费，保障村街办公活动正常开展。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12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411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41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77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村街数量</w:t>
            </w:r>
          </w:p>
        </w:tc>
        <w:tc>
          <w:tcPr>
            <w:tcW w:w="4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需要经费予以保障的村街数</w:t>
            </w:r>
          </w:p>
        </w:tc>
        <w:tc>
          <w:tcPr>
            <w:tcW w:w="14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≥4村</w:t>
            </w:r>
          </w:p>
        </w:tc>
        <w:tc>
          <w:tcPr>
            <w:tcW w:w="27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4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反映各项服务群众工作保障情况</w:t>
            </w:r>
          </w:p>
        </w:tc>
        <w:tc>
          <w:tcPr>
            <w:tcW w:w="14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7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4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反映及时保障各项服务群众办公需要情况</w:t>
            </w:r>
          </w:p>
        </w:tc>
        <w:tc>
          <w:tcPr>
            <w:tcW w:w="14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7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4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反映村级组织服务群众经费单位成本</w:t>
            </w:r>
          </w:p>
        </w:tc>
        <w:tc>
          <w:tcPr>
            <w:tcW w:w="14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＝10万元/年/村</w:t>
            </w:r>
          </w:p>
        </w:tc>
        <w:tc>
          <w:tcPr>
            <w:tcW w:w="27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村街正常运转</w:t>
            </w:r>
          </w:p>
        </w:tc>
        <w:tc>
          <w:tcPr>
            <w:tcW w:w="4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反映村街正常运转情况</w:t>
            </w:r>
          </w:p>
        </w:tc>
        <w:tc>
          <w:tcPr>
            <w:tcW w:w="14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进一步提高</w:t>
            </w:r>
          </w:p>
        </w:tc>
        <w:tc>
          <w:tcPr>
            <w:tcW w:w="27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辖区村街村民满意度</w:t>
            </w:r>
          </w:p>
        </w:tc>
        <w:tc>
          <w:tcPr>
            <w:tcW w:w="411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调查中对村街服务群众活动满意和较满意村民数占调查总人数的比率</w:t>
            </w:r>
          </w:p>
        </w:tc>
        <w:tc>
          <w:tcPr>
            <w:tcW w:w="141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7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9. 环境卫生集中整治经费绩效目标表</w:t>
      </w:r>
      <w:bookmarkStart w:id="7" w:name="_Toc29799657"/>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3"/>
        <w:gridCol w:w="2126"/>
        <w:gridCol w:w="1985"/>
        <w:gridCol w:w="3402"/>
        <w:gridCol w:w="1755"/>
        <w:gridCol w:w="21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7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1384" w:type="dxa"/>
            <w:gridSpan w:val="5"/>
            <w:vAlign w:val="center"/>
          </w:tcPr>
          <w:p>
            <w:pPr>
              <w:pStyle w:val="12"/>
              <w:jc w:val="left"/>
              <w:rPr>
                <w:rFonts w:hint="eastAsia" w:ascii="仿宋_GB2312" w:hAnsi="仿宋_GB2312" w:eastAsia="仿宋_GB2312" w:cs="仿宋_GB2312"/>
                <w:b w:val="0"/>
              </w:rPr>
            </w:pPr>
            <w:r>
              <w:rPr>
                <w:rFonts w:hint="eastAsia" w:ascii="仿宋_GB2312" w:hAnsi="仿宋_GB2312" w:eastAsia="仿宋_GB2312" w:cs="仿宋_GB2312"/>
                <w:b w:val="0"/>
              </w:rPr>
              <w:t>通过清理垃圾，美化、亮化道路两侧，进行大气治理、环境整治等一系列工作，实现改善我辖区的环境，美化市容市貌。创造更加美好的人居环境。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7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12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9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340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75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11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3"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清理垃圾的数量</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反映清理垃圾的数量</w:t>
            </w:r>
          </w:p>
        </w:tc>
        <w:tc>
          <w:tcPr>
            <w:tcW w:w="17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≥7513立方米</w:t>
            </w:r>
          </w:p>
        </w:tc>
        <w:tc>
          <w:tcPr>
            <w:tcW w:w="21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3"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工程验收合格率</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合格的工程数量占工程总量的比率</w:t>
            </w:r>
          </w:p>
        </w:tc>
        <w:tc>
          <w:tcPr>
            <w:tcW w:w="17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3"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项目按计划完工率</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反映项目按计划完工情况</w:t>
            </w:r>
          </w:p>
        </w:tc>
        <w:tc>
          <w:tcPr>
            <w:tcW w:w="17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3" w:type="dxa"/>
            <w:vMerge w:val="continue"/>
            <w:vAlign w:val="center"/>
          </w:tcPr>
          <w:p>
            <w:pPr>
              <w:rPr>
                <w:rFonts w:hint="eastAsia" w:ascii="仿宋_GB2312" w:hAnsi="仿宋_GB2312" w:eastAsia="仿宋_GB2312" w:cs="仿宋_GB2312"/>
              </w:rPr>
            </w:pP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反映单位资金成本</w:t>
            </w:r>
          </w:p>
        </w:tc>
        <w:tc>
          <w:tcPr>
            <w:tcW w:w="17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≤38.6元/立方米</w:t>
            </w:r>
          </w:p>
        </w:tc>
        <w:tc>
          <w:tcPr>
            <w:tcW w:w="21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环境提升率</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人居环境得到提升</w:t>
            </w:r>
          </w:p>
        </w:tc>
        <w:tc>
          <w:tcPr>
            <w:tcW w:w="17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人居环境提升</w:t>
            </w:r>
          </w:p>
        </w:tc>
        <w:tc>
          <w:tcPr>
            <w:tcW w:w="21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满意和较满意占调查人数的比率</w:t>
            </w:r>
          </w:p>
        </w:tc>
        <w:tc>
          <w:tcPr>
            <w:tcW w:w="17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1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bookmarkStart w:id="8" w:name="_Toc_4_4_0000000013"/>
      <w:r>
        <w:rPr>
          <w:rFonts w:hint="eastAsia" w:ascii="仿宋_GB2312" w:hAnsi="仿宋_GB2312" w:eastAsia="仿宋_GB2312" w:cs="仿宋_GB2312"/>
          <w:sz w:val="28"/>
        </w:rPr>
        <w:t>10.机场周边环境整治工作经费绩效目标表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0"/>
        <w:gridCol w:w="2127"/>
        <w:gridCol w:w="1984"/>
        <w:gridCol w:w="3402"/>
        <w:gridCol w:w="1701"/>
        <w:gridCol w:w="2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0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1422" w:type="dxa"/>
            <w:gridSpan w:val="5"/>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设立围挡、围栏，清理垃圾，确保跑道周边环境得到有效整治。</w:t>
            </w:r>
          </w:p>
        </w:tc>
      </w:tr>
      <w:tr>
        <w:tblPrEx>
          <w:tblCellMar>
            <w:top w:w="0" w:type="dxa"/>
            <w:left w:w="108" w:type="dxa"/>
            <w:bottom w:w="0" w:type="dxa"/>
            <w:right w:w="108" w:type="dxa"/>
          </w:tblCellMar>
        </w:tblPrEx>
        <w:trPr>
          <w:trHeight w:val="397" w:hRule="atLeast"/>
          <w:tblHeader/>
          <w:jc w:val="center"/>
        </w:trPr>
        <w:tc>
          <w:tcPr>
            <w:tcW w:w="200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1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98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340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7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20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0"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整治面积</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整治面积</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≥200亩</w:t>
            </w:r>
          </w:p>
        </w:tc>
        <w:tc>
          <w:tcPr>
            <w:tcW w:w="22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0" w:type="dxa"/>
            <w:vMerge w:val="continue"/>
            <w:vAlign w:val="center"/>
          </w:tcPr>
          <w:p>
            <w:pPr>
              <w:rPr>
                <w:rFonts w:hint="eastAsia" w:ascii="仿宋_GB2312" w:hAnsi="仿宋_GB2312" w:eastAsia="仿宋_GB2312" w:cs="仿宋_GB2312"/>
              </w:rPr>
            </w:pP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工程验收合格率</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合格的工程数量占工程总量的比率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2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0" w:type="dxa"/>
            <w:vMerge w:val="continue"/>
            <w:vAlign w:val="center"/>
          </w:tcPr>
          <w:p>
            <w:pPr>
              <w:rPr>
                <w:rFonts w:hint="eastAsia" w:ascii="仿宋_GB2312" w:hAnsi="仿宋_GB2312" w:eastAsia="仿宋_GB2312" w:cs="仿宋_GB2312"/>
              </w:rPr>
            </w:pP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项目按计划完工率</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反映项目按计划完工情况</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2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0" w:type="dxa"/>
            <w:vMerge w:val="continue"/>
            <w:vAlign w:val="center"/>
          </w:tcPr>
          <w:p>
            <w:pPr>
              <w:rPr>
                <w:rFonts w:hint="eastAsia" w:ascii="仿宋_GB2312" w:hAnsi="仿宋_GB2312" w:eastAsia="仿宋_GB2312" w:cs="仿宋_GB2312"/>
              </w:rPr>
            </w:pP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反映单位资金成本</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≤2000元/亩</w:t>
            </w:r>
          </w:p>
        </w:tc>
        <w:tc>
          <w:tcPr>
            <w:tcW w:w="22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改善跑道周边环境</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改善跑道周边环境</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达到预期效果</w:t>
            </w:r>
          </w:p>
        </w:tc>
        <w:tc>
          <w:tcPr>
            <w:tcW w:w="22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0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满意和较满意占调查人数的比率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2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bookmarkStart w:id="9" w:name="_Toc_4_4_0000000014"/>
      <w:r>
        <w:rPr>
          <w:rFonts w:hint="eastAsia" w:ascii="仿宋_GB2312" w:hAnsi="仿宋_GB2312" w:eastAsia="仿宋_GB2312" w:cs="仿宋_GB2312"/>
          <w:sz w:val="28"/>
        </w:rPr>
        <w:t>11.机场周边杂草清理资金绩效目标表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0"/>
        <w:gridCol w:w="2127"/>
        <w:gridCol w:w="1984"/>
        <w:gridCol w:w="3402"/>
        <w:gridCol w:w="1701"/>
        <w:gridCol w:w="22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4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1462" w:type="dxa"/>
            <w:gridSpan w:val="5"/>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机场周边杂草丛生，火灾隐患严重，为了消除隐患，需对机场周边重点地块土地进行杂草清理，确保机场安全通航。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4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21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98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340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7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24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杂草清理面积</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杂草清理面积</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≥300亩</w:t>
            </w:r>
          </w:p>
        </w:tc>
        <w:tc>
          <w:tcPr>
            <w:tcW w:w="22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Merge w:val="continue"/>
            <w:vAlign w:val="center"/>
          </w:tcPr>
          <w:p>
            <w:pPr>
              <w:rPr>
                <w:rFonts w:hint="eastAsia" w:ascii="仿宋_GB2312" w:hAnsi="仿宋_GB2312" w:eastAsia="仿宋_GB2312" w:cs="仿宋_GB2312"/>
              </w:rPr>
            </w:pP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工程验收合格率</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合格的工程数量占工程总量的比率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2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Merge w:val="continue"/>
            <w:vAlign w:val="center"/>
          </w:tcPr>
          <w:p>
            <w:pPr>
              <w:rPr>
                <w:rFonts w:hint="eastAsia" w:ascii="仿宋_GB2312" w:hAnsi="仿宋_GB2312" w:eastAsia="仿宋_GB2312" w:cs="仿宋_GB2312"/>
              </w:rPr>
            </w:pP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项目按计划完工率</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反映项目按计划完工情况</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2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Merge w:val="continue"/>
            <w:vAlign w:val="center"/>
          </w:tcPr>
          <w:p>
            <w:pPr>
              <w:rPr>
                <w:rFonts w:hint="eastAsia" w:ascii="仿宋_GB2312" w:hAnsi="仿宋_GB2312" w:eastAsia="仿宋_GB2312" w:cs="仿宋_GB2312"/>
              </w:rPr>
            </w:pP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资金成本</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反映单位资金成本</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≤666.67元/亩</w:t>
            </w:r>
          </w:p>
        </w:tc>
        <w:tc>
          <w:tcPr>
            <w:tcW w:w="22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消除机场周边火灾隐患</w:t>
            </w:r>
          </w:p>
          <w:p>
            <w:pPr>
              <w:pStyle w:val="14"/>
              <w:rPr>
                <w:rFonts w:hint="eastAsia" w:ascii="仿宋_GB2312" w:hAnsi="仿宋_GB2312" w:eastAsia="仿宋_GB2312" w:cs="仿宋_GB2312"/>
              </w:rPr>
            </w:pP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消除机场周边火灾隐患</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达到预期效果</w:t>
            </w:r>
          </w:p>
        </w:tc>
        <w:tc>
          <w:tcPr>
            <w:tcW w:w="22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廊广白政[2022]5号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满意和较满意占调查人数的比率</w:t>
            </w:r>
          </w:p>
        </w:tc>
        <w:tc>
          <w:tcPr>
            <w:tcW w:w="17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24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0"/>
    <w:p>
      <w:pPr>
        <w:jc w:val="center"/>
        <w:outlineLvl w:val="1"/>
        <w:rPr>
          <w:rFonts w:ascii="方正小标宋_GBK" w:eastAsia="方正小标宋_GBK" w:cs="Times New Roman"/>
          <w:sz w:val="32"/>
        </w:rPr>
      </w:pPr>
      <w:bookmarkStart w:id="11"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1"/>
    </w:p>
    <w:p>
      <w:pPr>
        <w:outlineLvl w:val="1"/>
        <w:rPr>
          <w:rFonts w:ascii="方正小标宋_GBK" w:eastAsia="方正小标宋_GBK" w:cs="Times New Roman"/>
          <w:sz w:val="32"/>
        </w:rPr>
      </w:pPr>
      <w:r>
        <w:rPr>
          <w:rFonts w:hint="eastAsia"/>
        </w:rPr>
        <w:t>913</w:t>
      </w:r>
      <w:r>
        <w:t>廊坊市</w:t>
      </w:r>
      <w:r>
        <w:rPr>
          <w:rFonts w:hint="eastAsia"/>
        </w:rPr>
        <w:t>广阳区九州镇白家务办事处</w:t>
      </w:r>
      <w:r>
        <w:t xml:space="preserve">                                                                                     单位：万元</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8"/>
        <w:gridCol w:w="1041"/>
        <w:gridCol w:w="1041"/>
        <w:gridCol w:w="650"/>
        <w:gridCol w:w="780"/>
        <w:gridCol w:w="780"/>
        <w:gridCol w:w="885"/>
        <w:gridCol w:w="885"/>
        <w:gridCol w:w="885"/>
        <w:gridCol w:w="885"/>
        <w:gridCol w:w="885"/>
        <w:gridCol w:w="885"/>
        <w:gridCol w:w="885"/>
        <w:gridCol w:w="902"/>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政府采购项目来源</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采购物品名称</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政府采购目录序号</w:t>
            </w:r>
          </w:p>
        </w:tc>
        <w:tc>
          <w:tcPr>
            <w:tcW w:w="229" w:type="pct"/>
            <w:vMerge w:val="restar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计量  单位</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数量</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单价</w:t>
            </w:r>
          </w:p>
        </w:tc>
        <w:tc>
          <w:tcPr>
            <w:tcW w:w="2502" w:type="pct"/>
            <w:gridSpan w:val="8"/>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政府采购金额（当年</w:t>
            </w:r>
            <w:r>
              <w:rPr>
                <w:rFonts w:hint="eastAsia"/>
                <w:lang w:eastAsia="zh-CN"/>
              </w:rPr>
              <w:t>单位</w:t>
            </w:r>
            <w:r>
              <w:t>预算安排资金）</w:t>
            </w:r>
          </w:p>
        </w:tc>
        <w:tc>
          <w:tcPr>
            <w:tcW w:w="312" w:type="pct"/>
            <w:vMerge w:val="restar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项目名称</w:t>
            </w:r>
          </w:p>
        </w:tc>
        <w:tc>
          <w:tcPr>
            <w:tcW w:w="313"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预算    资金</w:t>
            </w:r>
          </w:p>
        </w:tc>
        <w:tc>
          <w:tcPr>
            <w:tcW w:w="367" w:type="pct"/>
            <w:vMerge w:val="continue"/>
          </w:tcPr>
          <w:p>
            <w:pPr>
              <w:keepNext w:val="0"/>
              <w:keepLines w:val="0"/>
              <w:pageBreakBefore w:val="0"/>
              <w:kinsoku/>
              <w:wordWrap/>
              <w:overflowPunct/>
              <w:topLinePunct w:val="0"/>
              <w:autoSpaceDE/>
              <w:autoSpaceDN/>
              <w:bidi w:val="0"/>
              <w:adjustRightInd/>
              <w:snapToGrid/>
              <w:spacing w:line="440" w:lineRule="exact"/>
              <w:textAlignment w:val="auto"/>
            </w:pPr>
          </w:p>
        </w:tc>
        <w:tc>
          <w:tcPr>
            <w:tcW w:w="367" w:type="pct"/>
            <w:vMerge w:val="continue"/>
          </w:tcPr>
          <w:p>
            <w:pPr>
              <w:keepNext w:val="0"/>
              <w:keepLines w:val="0"/>
              <w:pageBreakBefore w:val="0"/>
              <w:kinsoku/>
              <w:wordWrap/>
              <w:overflowPunct/>
              <w:topLinePunct w:val="0"/>
              <w:autoSpaceDE/>
              <w:autoSpaceDN/>
              <w:bidi w:val="0"/>
              <w:adjustRightInd/>
              <w:snapToGrid/>
              <w:spacing w:line="440" w:lineRule="exact"/>
              <w:textAlignment w:val="auto"/>
            </w:pPr>
          </w:p>
        </w:tc>
        <w:tc>
          <w:tcPr>
            <w:tcW w:w="229" w:type="pct"/>
            <w:vMerge w:val="continue"/>
          </w:tcPr>
          <w:p>
            <w:pPr>
              <w:keepNext w:val="0"/>
              <w:keepLines w:val="0"/>
              <w:pageBreakBefore w:val="0"/>
              <w:kinsoku/>
              <w:wordWrap/>
              <w:overflowPunct/>
              <w:topLinePunct w:val="0"/>
              <w:autoSpaceDE/>
              <w:autoSpaceDN/>
              <w:bidi w:val="0"/>
              <w:adjustRightInd/>
              <w:snapToGrid/>
              <w:spacing w:line="44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4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合计</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一般公共预算拨款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基金预算拨款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国有资本经营预算拨款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财政专户核拨</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单位    资金</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财政拨    款结转</w:t>
            </w:r>
          </w:p>
        </w:tc>
        <w:tc>
          <w:tcPr>
            <w:tcW w:w="313" w:type="pct"/>
            <w:vAlign w:val="center"/>
          </w:tcPr>
          <w:p>
            <w:pPr>
              <w:pStyle w:val="12"/>
              <w:keepNext w:val="0"/>
              <w:keepLines w:val="0"/>
              <w:pageBreakBefore w:val="0"/>
              <w:kinsoku/>
              <w:wordWrap/>
              <w:overflowPunct/>
              <w:topLinePunct w:val="0"/>
              <w:autoSpaceDE/>
              <w:autoSpaceDN/>
              <w:bidi w:val="0"/>
              <w:adjustRightInd/>
              <w:snapToGrid/>
              <w:spacing w:line="440" w:lineRule="exact"/>
              <w:textAlignment w:val="auto"/>
            </w:pPr>
            <w:r>
              <w:t>非财政    拨款结    转结余</w:t>
            </w:r>
          </w:p>
        </w:tc>
        <w:tc>
          <w:tcPr>
            <w:tcW w:w="312" w:type="pct"/>
            <w:vMerge w:val="continue"/>
          </w:tcPr>
          <w:p>
            <w:pPr>
              <w:keepNext w:val="0"/>
              <w:keepLines w:val="0"/>
              <w:pageBreakBefore w:val="0"/>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440" w:lineRule="exact"/>
              <w:textAlignment w:val="auto"/>
            </w:pPr>
            <w:r>
              <w:t>合  计</w:t>
            </w:r>
          </w:p>
        </w:tc>
        <w:tc>
          <w:tcPr>
            <w:tcW w:w="313"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40" w:lineRule="exact"/>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3"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440" w:lineRule="exact"/>
              <w:textAlignment w:val="auto"/>
            </w:pPr>
          </w:p>
        </w:tc>
        <w:tc>
          <w:tcPr>
            <w:tcW w:w="313"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40" w:lineRule="exact"/>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3"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keepNext w:val="0"/>
              <w:keepLines w:val="0"/>
              <w:pageBreakBefore w:val="0"/>
              <w:kinsoku/>
              <w:wordWrap/>
              <w:overflowPunct/>
              <w:topLinePunct w:val="0"/>
              <w:autoSpaceDE/>
              <w:autoSpaceDN/>
              <w:bidi w:val="0"/>
              <w:adjustRightInd/>
              <w:snapToGrid/>
              <w:spacing w:line="44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40" w:lineRule="exact"/>
              <w:textAlignment w:val="auto"/>
            </w:pPr>
          </w:p>
        </w:tc>
        <w:tc>
          <w:tcPr>
            <w:tcW w:w="229" w:type="pct"/>
            <w:vAlign w:val="center"/>
          </w:tcPr>
          <w:p>
            <w:pPr>
              <w:pStyle w:val="15"/>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keepNext w:val="0"/>
              <w:keepLines w:val="0"/>
              <w:pageBreakBefore w:val="0"/>
              <w:kinsoku/>
              <w:wordWrap/>
              <w:overflowPunct/>
              <w:topLinePunct w:val="0"/>
              <w:autoSpaceDE/>
              <w:autoSpaceDN/>
              <w:bidi w:val="0"/>
              <w:adjustRightInd/>
              <w:snapToGrid/>
              <w:spacing w:line="44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40" w:lineRule="exact"/>
              <w:textAlignment w:val="auto"/>
            </w:pPr>
          </w:p>
        </w:tc>
        <w:tc>
          <w:tcPr>
            <w:tcW w:w="229" w:type="pct"/>
            <w:vAlign w:val="center"/>
          </w:tcPr>
          <w:p>
            <w:pPr>
              <w:pStyle w:val="15"/>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keepNext w:val="0"/>
              <w:keepLines w:val="0"/>
              <w:pageBreakBefore w:val="0"/>
              <w:kinsoku/>
              <w:wordWrap/>
              <w:overflowPunct/>
              <w:topLinePunct w:val="0"/>
              <w:autoSpaceDE/>
              <w:autoSpaceDN/>
              <w:bidi w:val="0"/>
              <w:adjustRightInd/>
              <w:snapToGrid/>
              <w:spacing w:line="44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4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40" w:lineRule="exact"/>
              <w:textAlignment w:val="auto"/>
            </w:pPr>
          </w:p>
        </w:tc>
        <w:tc>
          <w:tcPr>
            <w:tcW w:w="229" w:type="pct"/>
            <w:vAlign w:val="center"/>
          </w:tcPr>
          <w:p>
            <w:pPr>
              <w:pStyle w:val="15"/>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40" w:lineRule="exact"/>
              <w:textAlignment w:val="auto"/>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广阳区九州镇白家务办事处</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460.80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总额为2.6万元，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计算机设备、打印设备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广阳区九州镇白家务办事处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460.80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13673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220</w:t>
            </w:r>
          </w:p>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1349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21.71</w:t>
            </w:r>
          </w:p>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61.28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179.52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6E75D0-0F56-451C-8B80-6E76D400BB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roman"/>
    <w:pitch w:val="default"/>
    <w:sig w:usb0="A00002BF" w:usb1="38CF7CFA" w:usb2="00082016" w:usb3="00000000" w:csb0="00040001" w:csb1="00000000"/>
    <w:embedRegular r:id="rId2" w:fontKey="{DD24D911-6CE1-4404-A1BD-4972EF3761D4}"/>
  </w:font>
  <w:font w:name="仿宋_GB2312">
    <w:panose1 w:val="02010609030101010101"/>
    <w:charset w:val="86"/>
    <w:family w:val="modern"/>
    <w:pitch w:val="default"/>
    <w:sig w:usb0="00000001" w:usb1="080E0000" w:usb2="00000000" w:usb3="00000000" w:csb0="00040000" w:csb1="00000000"/>
    <w:embedRegular r:id="rId3" w:fontKey="{383BFDCB-FF25-47AE-84A7-8469EDE1DF73}"/>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7133D"/>
    <w:rsid w:val="00090239"/>
    <w:rsid w:val="000F6018"/>
    <w:rsid w:val="00126AC9"/>
    <w:rsid w:val="00141D37"/>
    <w:rsid w:val="001455D1"/>
    <w:rsid w:val="0025632D"/>
    <w:rsid w:val="003059E0"/>
    <w:rsid w:val="003C7984"/>
    <w:rsid w:val="00420346"/>
    <w:rsid w:val="004239EA"/>
    <w:rsid w:val="004353D9"/>
    <w:rsid w:val="004A54AA"/>
    <w:rsid w:val="00526729"/>
    <w:rsid w:val="0056332C"/>
    <w:rsid w:val="005A53B6"/>
    <w:rsid w:val="00646AD2"/>
    <w:rsid w:val="00700A7C"/>
    <w:rsid w:val="007B7679"/>
    <w:rsid w:val="007D713E"/>
    <w:rsid w:val="00823C5C"/>
    <w:rsid w:val="008551BC"/>
    <w:rsid w:val="00912BAE"/>
    <w:rsid w:val="00943B95"/>
    <w:rsid w:val="00944233"/>
    <w:rsid w:val="009D06FD"/>
    <w:rsid w:val="009D476D"/>
    <w:rsid w:val="00B40732"/>
    <w:rsid w:val="00B67485"/>
    <w:rsid w:val="00B80935"/>
    <w:rsid w:val="00CC5BD1"/>
    <w:rsid w:val="00D347CC"/>
    <w:rsid w:val="00DC72B4"/>
    <w:rsid w:val="00E316FB"/>
    <w:rsid w:val="00E55791"/>
    <w:rsid w:val="00E85D1F"/>
    <w:rsid w:val="00F0074A"/>
    <w:rsid w:val="00F3178B"/>
    <w:rsid w:val="00F652AE"/>
    <w:rsid w:val="00F716F3"/>
    <w:rsid w:val="00FB7A38"/>
    <w:rsid w:val="0CEC1180"/>
    <w:rsid w:val="114A574A"/>
    <w:rsid w:val="1DD95284"/>
    <w:rsid w:val="1F684E53"/>
    <w:rsid w:val="42944A3D"/>
    <w:rsid w:val="46975990"/>
    <w:rsid w:val="55940563"/>
    <w:rsid w:val="594E0B4D"/>
    <w:rsid w:val="67D97836"/>
    <w:rsid w:val="73693C55"/>
    <w:rsid w:val="78ED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2A1B-CFC0-4367-A699-3135D414A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1497</Words>
  <Characters>8534</Characters>
  <Lines>71</Lines>
  <Paragraphs>20</Paragraphs>
  <TotalTime>87</TotalTime>
  <ScaleCrop>false</ScaleCrop>
  <LinksUpToDate>false</LinksUpToDate>
  <CharactersWithSpaces>10011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2022-03-13T10:18:00Z</dcterms:created>
  <dc:creator>guest</dc:creator>
  <cp:lastModifiedBy>CXL</cp:lastModifiedBy>
  <cp:lastPrinted>2018-01-30T06:12:00Z</cp:lastPrinted>
  <dcterms:modified xsi:type="dcterms:W3CDTF">2023-08-08T07:58:49Z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E47A2D4B8E8A486592C6A7475043FFA7_13</vt:lpwstr>
  </property>
</Properties>
</file>