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14" w:name="_GoBack"/>
      <w:bookmarkEnd w:id="14"/>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left="0"/>
        <w:jc w:val="center"/>
        <w:rPr>
          <w:rFonts w:ascii="Times New Roman" w:hAnsi="Times New Roman" w:eastAsia="方正小标宋简体" w:cs="Times New Roman"/>
          <w:sz w:val="44"/>
          <w:szCs w:val="44"/>
          <w:lang w:eastAsia="zh-CN"/>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rPr>
        <w:t>广阳区</w:t>
      </w:r>
      <w:r>
        <w:rPr>
          <w:rFonts w:hint="eastAsia" w:ascii="Times New Roman" w:hAnsi="Times New Roman" w:eastAsia="方正小标宋简体" w:cs="Times New Roman"/>
          <w:sz w:val="44"/>
          <w:szCs w:val="44"/>
          <w:lang w:eastAsia="zh-CN"/>
        </w:rPr>
        <w:t>交通运输局</w:t>
      </w:r>
    </w:p>
    <w:p>
      <w:pPr>
        <w:spacing w:line="584" w:lineRule="exact"/>
        <w:ind w:left="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（一）会同有关</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推进全区综合交通运输体系建设，统筹规划公路、水路行业发展，建立健全与全区综合交通运输体系相适应的制度体制机制，优化区内交通运输主要通道和重要枢纽节点布局，促进各种交通运输方式融合。</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（二）会同有关</w:t>
      </w:r>
      <w:r>
        <w:rPr>
          <w:rFonts w:hint="eastAsia" w:ascii="仿宋_GB2312" w:eastAsia="仿宋_GB2312" w:cs="Arial Black"/>
          <w:kern w:val="0"/>
          <w:sz w:val="32"/>
          <w:szCs w:val="32"/>
          <w:lang w:eastAsia="zh-CN"/>
        </w:rPr>
        <w:t>单位</w:t>
      </w:r>
      <w:r>
        <w:rPr>
          <w:rFonts w:ascii="仿宋_GB2312" w:eastAsia="仿宋_GB2312" w:cs="Arial Black"/>
          <w:kern w:val="0"/>
          <w:sz w:val="32"/>
          <w:szCs w:val="32"/>
        </w:rPr>
        <w:t>组织拟定全区综合交通运输发展战略和政策，组织编制全区综合交通运输体系规划，拟定公路、水路政策和规划并监督实施，指导综合交通运输枢纽规划和管理。参与拟定物流业发展战略和规划，拟定有关政策和标准并监督实施。</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三）负责组织起草地方性综合交通运输规章草案，统筹全区公路、水路相关规章草案的起草工作。负责交通运输综合行政执法政策标准的制定、监督指导、重大案件查处和跨区域执法的组织协调工作。指导全区交通运输综合行政执法和队伍建设有关工作。指导全区交通运输行业体制改革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（四）负责拟定全区综合交通运输标准，组织拟定并监督实施全区公路、水路等行业标准，协调衔接各种交通运输方式。</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（五）承担全区道路、水路运输市场监管责任。组织拟定道路、水路运输有关政策、准入退出制度、技术标准和运营规范并监督实施。指导城乡客运及有关设施规划和管理，指导辖区城市客运工作。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六)承担管辖水域水上交通安全监管责任。负责权限范围内水上交通管制及相关水上设施检验、登记和防止污染等工作。负责渔船的监督管理。依法组织或参与事故调查处理。指导地方海事和船员管理有关事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七）负责提出全区交通运输行业固定资产投资规模和方向、区财政性资金安排意见，按区政府规定权限审批、核准规划内核年度计划规模内的固定资产投资项目。负责交通国有资产管理和交通专项资金管理、使用。指导行业内部审计工作。承担交通运输行业财政预算资金的绩效监督和管理工作。代表区政府履行交通运输类企业出资人职责。</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八）承担全区公路、水路建设市场监督责任。拟定公路、水路相关政策、制度和技术标准并监督实施。组织协调公路、水路等有关重点工程建设、工程质量和安全生产监督管理工作，指导交通运输基础设施管理和维护。负责全区交通基本建设项目招投标活动的监督管理。负责全区收费公路管理。</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（九）指导全区公路、水路行业安全生产和应急管理。按规定终止协调国家、省、市、区重点物质和紧急客货运输。负责辖区内国、省重点干线公路网运行监测和应急处置协调工作。配合做好国防交通有关工作。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（十）指导全区交通运输信息化建设。承担综合交通运输统计工作，监测分析交通运输运行情况，发布有关信息。知道公路、水路行业环境保护和节能减排。</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（十一）负责拟定全区交通运输行业科技政策、技术标准和规范，组织科技开发，推动行业技术进步。指导行业交通培训工作。指导行业精神文明建设。</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（十二）负责全区交通运输行业涉外事宜，开展与国际和港澳台地区交通运输经济合作与交流。</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（十三）负责全区京津冀协同发展交通一体化组织协调工作。</w:t>
      </w:r>
    </w:p>
    <w:p>
      <w:pPr>
        <w:widowControl/>
        <w:spacing w:line="580" w:lineRule="exact"/>
        <w:ind w:firstLine="640" w:firstLineChars="200"/>
        <w:rPr>
          <w:rFonts w:ascii="仿宋_GB2312" w:eastAsia="仿宋_GB2312" w:cs="Arial Black"/>
          <w:kern w:val="0"/>
          <w:sz w:val="32"/>
          <w:szCs w:val="32"/>
        </w:rPr>
      </w:pPr>
      <w:r>
        <w:rPr>
          <w:rFonts w:ascii="仿宋_GB2312" w:eastAsia="仿宋_GB2312" w:cs="Arial Black"/>
          <w:kern w:val="0"/>
          <w:sz w:val="32"/>
          <w:szCs w:val="32"/>
        </w:rPr>
        <w:t>（十四）完成区委、区政府交办的其他任务。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rPr>
              <w:t>廊坊市广阳区</w:t>
            </w:r>
            <w:r>
              <w:rPr>
                <w:rFonts w:hint="eastAsia" w:ascii="仿宋_GB2312" w:eastAsia="仿宋_GB2312" w:cs="宋体"/>
                <w:kern w:val="0"/>
                <w:sz w:val="32"/>
                <w:szCs w:val="32"/>
                <w:lang w:eastAsia="zh-CN"/>
              </w:rPr>
              <w:t>交通运输局</w:t>
            </w:r>
          </w:p>
        </w:tc>
        <w:tc>
          <w:tcPr>
            <w:tcW w:w="1134"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lang w:eastAsia="zh-CN"/>
              </w:rPr>
              <w:t>行政单位</w:t>
            </w:r>
          </w:p>
        </w:tc>
        <w:tc>
          <w:tcPr>
            <w:tcW w:w="1276"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lang w:eastAsia="zh-CN"/>
              </w:rPr>
              <w:t>正科级</w:t>
            </w:r>
          </w:p>
        </w:tc>
        <w:tc>
          <w:tcPr>
            <w:tcW w:w="2902" w:type="dxa"/>
            <w:shd w:val="clear" w:color="auto" w:fill="auto"/>
            <w:vAlign w:val="center"/>
          </w:tcPr>
          <w:p>
            <w:pPr>
              <w:widowControl/>
              <w:spacing w:line="225" w:lineRule="atLeast"/>
              <w:jc w:val="center"/>
              <w:rPr>
                <w:rFonts w:ascii="Times New Roman" w:hAnsi="Times New Roman" w:eastAsia="仿宋_GB2312" w:cs="Times New Roman"/>
                <w:b/>
                <w:kern w:val="2"/>
                <w:sz w:val="21"/>
                <w:szCs w:val="22"/>
                <w:lang w:val="en-US" w:eastAsia="zh-CN" w:bidi="ar-SA"/>
              </w:rPr>
            </w:pPr>
            <w:r>
              <w:rPr>
                <w:rFonts w:hint="eastAsia" w:ascii="仿宋_GB2312" w:eastAsia="仿宋_GB2312" w:cs="宋体"/>
                <w:kern w:val="0"/>
                <w:sz w:val="32"/>
                <w:szCs w:val="32"/>
                <w:lang w:eastAsia="zh-CN"/>
              </w:rPr>
              <w:t>财政性资金定额或定向补助</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交通运输局机关及所属事业单位的收支包含在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2年预算收入3839.35万元，其中：一般公共预算收入2276.62万元，基金预算收入473.19万元，财政专户核拨收入0万元，其他来源收入0万元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上年结转1089.54</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w:t>
      </w:r>
      <w:r>
        <w:rPr>
          <w:rFonts w:hint="eastAsia" w:ascii="Times New Roman" w:hAnsi="Times New Roman" w:eastAsia="仿宋_GB2312" w:cs="Times New Roman"/>
          <w:sz w:val="32"/>
          <w:szCs w:val="32"/>
          <w:lang w:val="en-US" w:eastAsia="zh-CN"/>
        </w:rPr>
        <w:t>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2年支出预算3839.35万元，其中基本支出207.82万元，包括人员类项目经费144.38万元和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公用项目经费63.44万元；运转类其他及特定目标类项目支出3631.53万元，包括本级支出和对下补助支出，主要为系统经费支出、工程项目支出等；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2年预算收支安排3839.35万元，较20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1年预算增加606.68万元，其中：基本支出减少843.37万元，主要为人员支出；项目支出增加1450.05万元，主要为交通系统经费和工程项目支出。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2年，我局机关运行经费共计安排63.44万元，主要用于办公区的日常维修、办公用房水电费、办公用房取暖费、办公用房物业管理费等日常运行支出。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2年，我局财政拨款“三公”经费预算安排4.38万元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因公出国（境）费0万元；公务用车购置及运维费4.38万元（其中：公务用车购置费为0万元，公务用车运维费4.38万元)；公务接待费0万元。与20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keepNext w:val="0"/>
        <w:keepLines w:val="0"/>
        <w:pageBreakBefore w:val="0"/>
        <w:widowControl w:val="0"/>
        <w:kinsoku/>
        <w:wordWrap/>
        <w:overflowPunct/>
        <w:topLinePunct w:val="0"/>
        <w:bidi w:val="0"/>
        <w:snapToGrid/>
        <w:spacing w:line="584" w:lineRule="exact"/>
        <w:ind w:left="0" w:leftChars="0"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keepNext w:val="0"/>
        <w:keepLines w:val="0"/>
        <w:pageBreakBefore w:val="0"/>
        <w:widowControl w:val="0"/>
        <w:kinsoku/>
        <w:wordWrap/>
        <w:overflowPunct/>
        <w:topLinePunct w:val="0"/>
        <w:bidi w:val="0"/>
        <w:snapToGrid/>
        <w:spacing w:line="584" w:lineRule="exact"/>
        <w:ind w:left="0" w:leftChars="0"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（一）总体绩效目标</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按时按质完成本年度工程项目实施计划，加快实施民生工程建设，抓好辖区公路养护管理，确保辖区道路“畅洁绿美”；按财政资金计划合理使用人员经费，确保工资按时发放、保险及时上缴，维护职工队伍稳定；严抓交通运输行业管理，着力提升行业形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绩效目标：本单位职工日常工资发放、保险上缴，维持正常办公经费支出，确保职工队伍稳定，全局工作正常开展。</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绩效指标：保证干部队伍相对稳定，发挥应有职能。</w:t>
      </w:r>
      <w:r>
        <w:rPr>
          <w:rFonts w:ascii="Times New Roman" w:hAnsi="Times New Roman" w:eastAsia="仿宋_GB2312" w:cs="Times New Roman"/>
          <w:sz w:val="32"/>
          <w:szCs w:val="32"/>
        </w:rPr>
        <w:tab/>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绩效目标：为了有利于全区工作开展，优化人员结构，同时有效缓解我局资金压力，用于外协人员工资、保险等。</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绩效指标：通过按时发放工资等，进一步增强干部职工的归属感，保持队伍相对稳定。</w:t>
      </w:r>
      <w:r>
        <w:rPr>
          <w:rFonts w:ascii="Times New Roman" w:hAnsi="Times New Roman" w:eastAsia="仿宋_GB2312" w:cs="Times New Roman"/>
          <w:sz w:val="32"/>
          <w:szCs w:val="32"/>
        </w:rPr>
        <w:tab/>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3.绩效目标：京原铁路“三线”建设民兵人员经费能够按季发放，确保京原铁路“三线”建设民兵人员稳定，合理使用财政预算资金，维护京原铁路“三线”建设民兵稳定。</w:t>
      </w: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r>
        <w:rPr>
          <w:rFonts w:ascii="Times New Roman" w:hAnsi="Times New Roman" w:eastAsia="仿宋_GB2312" w:cs="Times New Roman"/>
          <w:sz w:val="32"/>
          <w:szCs w:val="32"/>
        </w:rPr>
        <w:tab/>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绩效指标：通过发放京原铁路“三线”建设民兵人员经费，改善京原铁路“三线”建设民兵人员的生活困难。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绩效目标：降低农村公路使用成本，延长农村公路使用寿命，提升农村公路路况水平和绿化美化环境，消除农村公路安全隐患，助力广阳区城乡环境综合整治提升。</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绩效指标：优良中等路比例不低于85%，农村公路交通设施完好率达到100%，人民群众满意度提升至95%以上。</w:t>
      </w:r>
    </w:p>
    <w:p>
      <w:pPr>
        <w:pStyle w:val="6"/>
      </w:pP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完善制度建设</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制定切实可行的成本控制措施、过程管理机构、专项资金算理办法等，尽可能完善和细化相关制度及细则，为项目实施提供制度保障。</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加强支出管理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制定经费使用计划，严格按照预算绩效管理有关规定执行预算支出安排，及时拨付专项资金。</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加强绩效运行监控</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规范绩效运行管理，落实绩效主体责任，高效推进预算绩效运行监控工作，增强预算执行的科学性、合理性、规范性，提高财政资金使用绩效。</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4、</w:t>
      </w:r>
      <w:r>
        <w:rPr>
          <w:rFonts w:ascii="Times New Roman" w:hAnsi="Times New Roman" w:eastAsia="仿宋_GB2312" w:cs="Times New Roman"/>
          <w:sz w:val="32"/>
          <w:szCs w:val="32"/>
        </w:rPr>
        <w:t>做好绩效自评</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要拓展自评范围，建立自评机制，提高自评质量，确保结果精准有效，并强化结果应用。</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规范财务资产管理、</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强化规章制度管理，严格费用报销审批，仔细清查盘点资产，强化预算执行。</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加强内部监督</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完善财务管理，进一步加强内部控制和管理，主要y以位内部财务人员专业能力和法律素养的培训和提高为抓手，充分发挥监督的超前预防功能。</w:t>
      </w: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120"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528"/>
        <w:gridCol w:w="943"/>
        <w:gridCol w:w="1122"/>
        <w:gridCol w:w="5199"/>
        <w:gridCol w:w="2883"/>
        <w:gridCol w:w="437"/>
        <w:gridCol w:w="418"/>
        <w:gridCol w:w="558"/>
        <w:gridCol w:w="1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9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343"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4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89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104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514"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600"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92" w:type="pct"/>
            <w:vMerge w:val="continue"/>
            <w:tcBorders>
              <w:tl2br w:val="nil"/>
              <w:tr2bl w:val="nil"/>
            </w:tcBorders>
            <w:vAlign w:val="center"/>
          </w:tcPr>
          <w:p/>
        </w:tc>
        <w:tc>
          <w:tcPr>
            <w:tcW w:w="343" w:type="pct"/>
            <w:vMerge w:val="continue"/>
            <w:tcBorders>
              <w:tl2br w:val="nil"/>
              <w:tr2bl w:val="nil"/>
            </w:tcBorders>
            <w:vAlign w:val="center"/>
          </w:tcPr>
          <w:p/>
        </w:tc>
        <w:tc>
          <w:tcPr>
            <w:tcW w:w="408" w:type="pct"/>
            <w:vMerge w:val="continue"/>
            <w:tcBorders>
              <w:tl2br w:val="nil"/>
              <w:tr2bl w:val="nil"/>
            </w:tcBorders>
            <w:vAlign w:val="center"/>
          </w:tcPr>
          <w:p/>
        </w:tc>
        <w:tc>
          <w:tcPr>
            <w:tcW w:w="1890" w:type="pct"/>
            <w:vMerge w:val="continue"/>
            <w:tcBorders>
              <w:tl2br w:val="nil"/>
              <w:tr2bl w:val="nil"/>
            </w:tcBorders>
            <w:vAlign w:val="center"/>
          </w:tcPr>
          <w:p/>
        </w:tc>
        <w:tc>
          <w:tcPr>
            <w:tcW w:w="1048" w:type="pct"/>
            <w:vMerge w:val="continue"/>
            <w:tcBorders>
              <w:tl2br w:val="nil"/>
              <w:tr2bl w:val="nil"/>
            </w:tcBorders>
            <w:vAlign w:val="center"/>
          </w:tcPr>
          <w:p/>
        </w:tc>
        <w:tc>
          <w:tcPr>
            <w:tcW w:w="159"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15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202"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600"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92"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达到指标值满分为12分，未达到指标值按比例扣分。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每项项目完成情况</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重点工作质量达标率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达到指标值满分为15分，未达到指标值全扣分。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每项工作质量合格率</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重点工作完成及时率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达到指标值满分为13分，未达到指标值按比例扣分。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每项工作完成的及时性</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重点项目经费控制率</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每项项目经费严格支出情况</w:t>
            </w:r>
          </w:p>
        </w:tc>
        <w:tc>
          <w:tcPr>
            <w:tcW w:w="159"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5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100</w:t>
            </w:r>
          </w:p>
        </w:tc>
        <w:tc>
          <w:tcPr>
            <w:tcW w:w="202"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600"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92"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4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保证人员稳定，发挥应有职能</w:t>
            </w:r>
          </w:p>
        </w:tc>
        <w:tc>
          <w:tcPr>
            <w:tcW w:w="1890"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b w:val="0"/>
                <w:i w:val="0"/>
                <w:caps w:val="0"/>
                <w:smallCaps w:val="0"/>
                <w:strike w:val="0"/>
                <w:dstrike w:val="0"/>
                <w:sz w:val="22"/>
                <w:u w:val="none"/>
                <w:vertAlign w:val="baseline"/>
              </w:rPr>
              <w:t>保证干部队伍相对稳定，发挥应有职能。</w:t>
            </w:r>
          </w:p>
        </w:tc>
        <w:tc>
          <w:tcPr>
            <w:tcW w:w="159"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文字描述</w:t>
            </w:r>
          </w:p>
        </w:tc>
        <w:tc>
          <w:tcPr>
            <w:tcW w:w="152" w:type="pct"/>
            <w:tcBorders>
              <w:tl2br w:val="nil"/>
              <w:tr2bl w:val="nil"/>
            </w:tcBorders>
            <w:vAlign w:val="center"/>
          </w:tcPr>
          <w:p>
            <w:pPr>
              <w:jc w:val="center"/>
              <w:rPr>
                <w:rFonts w:hint="eastAsia" w:ascii="仿宋_GB2312" w:hAnsi="仿宋_GB2312" w:eastAsia="仿宋_GB2312" w:cs="仿宋_GB2312"/>
                <w:sz w:val="22"/>
              </w:rPr>
            </w:pPr>
          </w:p>
        </w:tc>
        <w:tc>
          <w:tcPr>
            <w:tcW w:w="20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稳定</w:t>
            </w:r>
          </w:p>
        </w:tc>
        <w:tc>
          <w:tcPr>
            <w:tcW w:w="600"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rPr>
              <w:t>可持续影响</w:t>
            </w:r>
          </w:p>
        </w:tc>
        <w:tc>
          <w:tcPr>
            <w:tcW w:w="40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员工离职率</w:t>
            </w:r>
          </w:p>
        </w:tc>
        <w:tc>
          <w:tcPr>
            <w:tcW w:w="189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员工离职人数占比</w:t>
            </w:r>
          </w:p>
        </w:tc>
        <w:tc>
          <w:tcPr>
            <w:tcW w:w="159"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15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5</w:t>
            </w:r>
          </w:p>
        </w:tc>
        <w:tc>
          <w:tcPr>
            <w:tcW w:w="20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600"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92" w:type="pct"/>
            <w:vMerge w:val="continue"/>
            <w:tcBorders>
              <w:tl2br w:val="nil"/>
              <w:tr2bl w:val="nil"/>
            </w:tcBorders>
            <w:vAlign w:val="center"/>
          </w:tcPr>
          <w:p/>
        </w:tc>
        <w:tc>
          <w:tcPr>
            <w:tcW w:w="343"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40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员工满意度</w:t>
            </w:r>
          </w:p>
        </w:tc>
        <w:tc>
          <w:tcPr>
            <w:tcW w:w="1890"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达到指标值满分为15分，未达到指标值按比例扣分。</w:t>
            </w:r>
          </w:p>
        </w:tc>
        <w:tc>
          <w:tcPr>
            <w:tcW w:w="1048"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sz w:val="22"/>
              </w:rPr>
              <w:t>员工满意人数占总人数百分比</w:t>
            </w:r>
          </w:p>
        </w:tc>
        <w:tc>
          <w:tcPr>
            <w:tcW w:w="159"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15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95</w:t>
            </w:r>
          </w:p>
        </w:tc>
        <w:tc>
          <w:tcPr>
            <w:tcW w:w="202"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w:t>
            </w:r>
          </w:p>
        </w:tc>
        <w:tc>
          <w:tcPr>
            <w:tcW w:w="600" w:type="pct"/>
            <w:tcBorders>
              <w:tl2br w:val="nil"/>
              <w:tr2bl w:val="nil"/>
            </w:tcBorders>
            <w:vAlign w:val="center"/>
          </w:tcPr>
          <w:p>
            <w:pPr>
              <w:jc w:val="center"/>
              <w:rPr>
                <w:rFonts w:hint="eastAsia" w:ascii="仿宋_GB2312" w:hAnsi="仿宋_GB2312" w:eastAsia="仿宋_GB2312" w:cs="仿宋_GB2312"/>
                <w:sz w:val="22"/>
              </w:rPr>
            </w:pPr>
            <w:r>
              <w:rPr>
                <w:rFonts w:hint="eastAsia" w:ascii="仿宋_GB2312" w:hAnsi="仿宋_GB2312" w:eastAsia="仿宋_GB2312" w:cs="仿宋_GB2312"/>
                <w:sz w:val="22"/>
              </w:rPr>
              <w:t>走访调查</w:t>
            </w:r>
          </w:p>
        </w:tc>
      </w:tr>
    </w:tbl>
    <w:p>
      <w:pPr>
        <w:spacing w:line="584" w:lineRule="exact"/>
        <w:rPr>
          <w:rFonts w:ascii="仿宋_GB2312" w:eastAsia="仿宋_GB2312"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hint="eastAsia"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before="0" w:after="0"/>
        <w:ind w:firstLine="560"/>
        <w:jc w:val="left"/>
        <w:outlineLvl w:val="3"/>
        <w:rPr>
          <w:rFonts w:hint="eastAsia" w:ascii="仿宋_GB2312" w:hAnsi="仿宋_GB2312" w:eastAsia="仿宋_GB2312" w:cs="仿宋_GB2312"/>
        </w:rPr>
      </w:pPr>
      <w:bookmarkStart w:id="0" w:name="_Toc_4_4_0000000004"/>
      <w:r>
        <w:rPr>
          <w:rFonts w:hint="eastAsia" w:ascii="仿宋_GB2312" w:hAnsi="仿宋_GB2312" w:eastAsia="仿宋_GB2312" w:cs="仿宋_GB2312"/>
          <w:color w:val="000000"/>
          <w:sz w:val="28"/>
        </w:rPr>
        <w:t>1.2021年省级国三及以下排放标准营运中重型柴油货车淘汰奖补资金绩效目标表</w:t>
      </w:r>
      <w:bookmarkEnd w:id="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1.有效遏制重特大道路运输事故，全面提升道路运输安全生产保障水平。</w:t>
            </w:r>
          </w:p>
          <w:p>
            <w:pPr>
              <w:pStyle w:val="14"/>
              <w:rPr>
                <w:rFonts w:hint="eastAsia" w:ascii="仿宋_GB2312" w:hAnsi="仿宋_GB2312" w:eastAsia="仿宋_GB2312" w:cs="仿宋_GB2312"/>
              </w:rPr>
            </w:pPr>
            <w:r>
              <w:rPr>
                <w:rFonts w:hint="eastAsia" w:ascii="仿宋_GB2312" w:hAnsi="仿宋_GB2312" w:eastAsia="仿宋_GB2312" w:cs="仿宋_GB2312"/>
              </w:rPr>
              <w:t>2.有效遏制重特大道路运输事故，全面提升道路运输安全生产保障水平。</w:t>
            </w:r>
          </w:p>
          <w:p>
            <w:pPr>
              <w:pStyle w:val="14"/>
              <w:rPr>
                <w:rFonts w:hint="eastAsia" w:ascii="仿宋_GB2312" w:hAnsi="仿宋_GB2312" w:eastAsia="仿宋_GB2312" w:cs="仿宋_GB2312"/>
              </w:rPr>
            </w:pPr>
            <w:r>
              <w:rPr>
                <w:rFonts w:hint="eastAsia" w:ascii="仿宋_GB2312" w:hAnsi="仿宋_GB2312" w:eastAsia="仿宋_GB2312" w:cs="仿宋_GB2312"/>
              </w:rPr>
              <w:t>3.有效遏制重特大道路运输事故，全面提升道路运输安全生产保障水平。</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广阳区国三及以上排放营运重型柴油货车淘汰数量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广阳区国三及以上排放营运重型柴油货车淘汰数量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1510辆</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资金使用合规性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资金使用合规率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淘汰车辆情况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按期完成车辆淘汰率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道路安全水平</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道路安全水平</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生态效益指标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对污染防治的促进作用</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对污染防治的促进作用</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明显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5"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走访调查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ind w:firstLine="560"/>
        <w:jc w:val="left"/>
        <w:outlineLvl w:val="3"/>
        <w:rPr>
          <w:rFonts w:hint="eastAsia" w:ascii="仿宋_GB2312" w:hAnsi="仿宋_GB2312" w:eastAsia="仿宋_GB2312" w:cs="仿宋_GB2312"/>
          <w:color w:val="000000"/>
          <w:sz w:val="28"/>
        </w:rPr>
      </w:pPr>
      <w:r>
        <w:rPr>
          <w:rFonts w:hint="eastAsia" w:ascii="仿宋_GB2312" w:hAnsi="仿宋_GB2312" w:eastAsia="仿宋_GB2312" w:cs="仿宋_GB2312"/>
          <w:color w:val="000000"/>
          <w:sz w:val="28"/>
        </w:rPr>
        <w:t xml:space="preserve"> </w:t>
      </w:r>
      <w:bookmarkStart w:id="1" w:name="_Toc_4_4_0000000005"/>
      <w:r>
        <w:rPr>
          <w:rFonts w:hint="eastAsia" w:ascii="仿宋_GB2312" w:hAnsi="仿宋_GB2312" w:eastAsia="仿宋_GB2312" w:cs="仿宋_GB2312"/>
          <w:color w:val="000000"/>
          <w:sz w:val="28"/>
        </w:rPr>
        <w:t>2.2022年广阳区农村公路日常养护资金绩效目标表</w:t>
      </w:r>
      <w:bookmarkEnd w:id="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1.农村公路列养率提升至100%，优良中等路比例达到88%，农村公路交通设施完好率达到100%；，标志标牌完好率达到100%，充分发挥指示警示功能，人民群众满意度提升至95%以上。</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县道标准化整修</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县道标准化整修数量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≥50000平米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县道洒水抑尘</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县道洒水抑尘数量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≥43617.42立方米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县道边涵维护</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县道边涵维护数量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≥86道</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养护质量合格率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日常养护项目完工率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日常养护项目按时完工率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县道标准化整修成本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标准化整修成本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≤1.58元/平方米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县道洒水抑尘成本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洒水抑尘成本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≤18.62元/立方米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县道边涵维护成本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边涵维护成本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≤317.5元/道</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农村公路优良中等路比例</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≥88百分比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≥95百分比</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2" w:name="_Toc_4_4_0000000006"/>
      <w:r>
        <w:rPr>
          <w:rFonts w:hint="eastAsia" w:ascii="仿宋_GB2312" w:hAnsi="仿宋_GB2312" w:eastAsia="仿宋_GB2312" w:cs="仿宋_GB2312"/>
          <w:color w:val="000000"/>
          <w:sz w:val="28"/>
        </w:rPr>
        <w:t>3.2022年广阳区农村公路养护工程资金绩效目标表</w:t>
      </w:r>
      <w:bookmarkEnd w:id="2"/>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1.降低农村公路使用成本，延长农村公路使用寿命，提升农村公路路况水平和绿化美化环境，消除农村公路安全隐患。</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24"/>
        <w:gridCol w:w="1851"/>
        <w:gridCol w:w="2185"/>
        <w:gridCol w:w="2943"/>
        <w:gridCol w:w="1851"/>
        <w:gridCol w:w="367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1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6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78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05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6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131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县乡村道灌缝处理里程　</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县乡村道路面灌缝数量</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≥48000米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县乡村道小修挖补里程</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县乡村道小修挖补数量</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≥4800平米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县乡道路面标线里程</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县乡道路面施划标线量　</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≥6000平米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减速带设置及更换</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设置减速带数量</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≥1100米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养护工程质量合格率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工程完工率</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养护工程按时完工率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县乡村道灌缝处理　</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县乡村道灌缝处理成本　</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≤11元/米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县乡村道小修挖补成本</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≤80.37元/平米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县乡道路面标线</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县乡道路面标线成本</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≤38.11元/平米</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减速带设置及更换</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减速带设置及更换成本</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≤224.37元/公里</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农村公路列养率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Merge w:val="continue"/>
            <w:vAlign w:val="center"/>
          </w:tcPr>
          <w:p>
            <w:pPr>
              <w:rPr>
                <w:rFonts w:hint="eastAsia" w:ascii="仿宋_GB2312" w:hAnsi="仿宋_GB2312" w:eastAsia="仿宋_GB2312" w:cs="仿宋_GB2312"/>
              </w:rPr>
            </w:pP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11"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78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05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6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131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3" w:name="_Toc_4_4_0000000007"/>
      <w:r>
        <w:rPr>
          <w:rFonts w:hint="eastAsia" w:ascii="仿宋_GB2312" w:hAnsi="仿宋_GB2312" w:eastAsia="仿宋_GB2312" w:cs="仿宋_GB2312"/>
          <w:color w:val="000000"/>
          <w:sz w:val="28"/>
        </w:rPr>
        <w:t>4.车辆购置税收入补助地方资金[中央]绩效目标表</w:t>
      </w:r>
      <w:bookmarkEnd w:id="3"/>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1.不断提升辖区农村公路路况水平，降低道路安全隐患，方便沿线群众出行，促进农村经济发展。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提升改造农村公路面积</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提升改造农村公路面积</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≥18000平方米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工程质量合格率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验收报告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按计划完工及时率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项目按计划完工及时率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公路改造提升成本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公路改造提升成本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110元/平米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5"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4" w:name="_Toc_4_4_0000000008"/>
      <w:r>
        <w:rPr>
          <w:rFonts w:hint="eastAsia" w:ascii="仿宋_GB2312" w:hAnsi="仿宋_GB2312" w:eastAsia="仿宋_GB2312" w:cs="仿宋_GB2312"/>
          <w:color w:val="000000"/>
          <w:sz w:val="28"/>
        </w:rPr>
        <w:t>5.抽调人员经费绩效目标表</w:t>
      </w:r>
      <w:bookmarkEnd w:id="4"/>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1.为了有利于全区工作开展，优化人员结构，同时有效缓解我局资金压力，共计134.4万元用于外协人员工资、保险等。</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发放人员、金额正确情况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发放及时情况</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及时发放至员工</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8"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支出总金额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134.4万元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增强工作人员的归属感，保持干部队伍稳定。</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通过按时发放工资等，进一步增强干部职工的归属感，保持队伍相对稳定</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保障人员稳定和工作正常运行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保障人员稳定和工作正常运行</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有效推动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满意人数占总人数百分比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5" w:name="_Toc_4_4_0000000009"/>
      <w:r>
        <w:rPr>
          <w:rFonts w:hint="eastAsia" w:ascii="仿宋_GB2312" w:hAnsi="仿宋_GB2312" w:eastAsia="仿宋_GB2312" w:cs="仿宋_GB2312"/>
          <w:color w:val="000000"/>
          <w:sz w:val="28"/>
        </w:rPr>
        <w:t>6.交通系统经费绩效目标表</w:t>
      </w:r>
      <w:bookmarkEnd w:id="5"/>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1.用于本单位职工日常工资发放、保险上缴，维持正常办公经费支出，确保职工队伍稳定，全局工作正常开展。</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≤381个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发放单位数量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包含的单位数量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廊财资环【2016】67号文件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发放人员、金额正确情况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发放及时率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工资按月发放及时情况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支出总金额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687万元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保证人员稳定，发挥应有职能</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保证干部队伍相对稳定，发挥应有职能。</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员工离职率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员工离职人数占比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员工满意人数占总人数百分比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6" w:name="_Toc_4_4_0000000010"/>
      <w:r>
        <w:rPr>
          <w:rFonts w:hint="eastAsia" w:ascii="仿宋_GB2312" w:hAnsi="仿宋_GB2312" w:eastAsia="仿宋_GB2312" w:cs="仿宋_GB2312"/>
          <w:color w:val="000000"/>
          <w:sz w:val="28"/>
        </w:rPr>
        <w:t>7.京原铁路“三线”建设民兵、遗属人员经费绩效目标表</w:t>
      </w:r>
      <w:bookmarkEnd w:id="6"/>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3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1.京原铁路“三线”建设民兵人员经费能够按季发放，确保京原铁路“三线”建设民兵人员稳定，合理使用财政预算资金，维护京原铁路“三线”建设民兵稳定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7"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2"/>
        <w:gridCol w:w="1795"/>
        <w:gridCol w:w="3236"/>
        <w:gridCol w:w="3986"/>
        <w:gridCol w:w="1464"/>
        <w:gridCol w:w="16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11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3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525"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59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京原铁路“三线”建设民兵人员经费发放人数</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京原铁路“三线”建设民兵人员经费发放总人数</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≤311人</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补助发放覆盖率</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京原铁路“三线”建设民兵人员经费发放覆盖率</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京原铁路“三线”建设民兵人员经费发放精准率</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补助、补贴发放合规人数占发放总人数的比例</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京原铁路“三线”建设民兵人员经费发放及时性</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京原铁路“三线”建设民兵人员经费发放及时性</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及时</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民兵年发放补贴金额</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2000元</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区政府【2021】8号文件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发放标准</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遗属年发放补贴金额</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200元</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区政府【2021】8号文件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通过发放京原铁路“三线”建设民兵人员经费，改善京原铁路“三线”建设民兵人员的生活困难</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通过发放京原铁路“三线”建设民兵人员经费，改善京原铁路“三线”建设民兵人员的生活困难</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通过发放京原铁路“三线”建设民兵人员经费，保障人员稳定。</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通过发放京原铁路“三线”建设民兵人员经费，保障人员稳定。</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有效推动</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3"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11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京原铁路“三线”建设民兵人员满意度</w:t>
            </w:r>
          </w:p>
        </w:tc>
        <w:tc>
          <w:tcPr>
            <w:tcW w:w="143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京原铁路“三线”建设民兵人数占总数的百分比</w:t>
            </w:r>
          </w:p>
        </w:tc>
        <w:tc>
          <w:tcPr>
            <w:tcW w:w="52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w:t>
            </w:r>
          </w:p>
        </w:tc>
        <w:tc>
          <w:tcPr>
            <w:tcW w:w="59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7" w:name="_Toc_4_4_0000000011"/>
      <w:r>
        <w:rPr>
          <w:rFonts w:hint="eastAsia" w:ascii="仿宋_GB2312" w:hAnsi="仿宋_GB2312" w:eastAsia="仿宋_GB2312" w:cs="仿宋_GB2312"/>
          <w:color w:val="000000"/>
          <w:sz w:val="28"/>
        </w:rPr>
        <w:t>8.路政执法大队及地方站人员经费绩效目标表</w:t>
      </w:r>
      <w:bookmarkEnd w:id="7"/>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1.保证路政及地方站人员工资及保险按时发放和上缴，维护职工队伍稳定。</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保险缴纳人数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保险缴纳总人数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62人</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发放准确率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发放人员、金额正确情况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工资发放的时效情况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按规定时间发放</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保险上缴的及时性</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保险上缴的时效情况</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按规定时间上缴</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支出金额</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支出总金额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749.56万元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财政核算</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保证人员稳定，发挥应有职能</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保证人员稳定，发挥应有职能</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稳定</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保障工作正常运行</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保障工作正常运行</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有效推动</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员工满意度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满意人数占总人数百分比</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工作实际</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8" w:name="_Toc_4_4_0000000012"/>
      <w:r>
        <w:rPr>
          <w:rFonts w:hint="eastAsia" w:ascii="仿宋_GB2312" w:hAnsi="仿宋_GB2312" w:eastAsia="仿宋_GB2312" w:cs="仿宋_GB2312"/>
          <w:color w:val="000000"/>
          <w:sz w:val="28"/>
        </w:rPr>
        <w:t>9.农村公路日常养护补助资金[省级]绩效目标表</w:t>
      </w:r>
      <w:bookmarkEnd w:id="8"/>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1.提高县道绿植成活率，提升县道绿化通行环境</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990"/>
        <w:gridCol w:w="1991"/>
        <w:gridCol w:w="1670"/>
        <w:gridCol w:w="3262"/>
        <w:gridCol w:w="2295"/>
        <w:gridCol w:w="27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71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599"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7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82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7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绿化日常养护</w:t>
            </w:r>
            <w:r>
              <w:rPr>
                <w:rFonts w:hint="eastAsia" w:ascii="仿宋_GB2312" w:hAnsi="仿宋_GB2312" w:eastAsia="仿宋_GB2312" w:cs="仿宋_GB2312"/>
              </w:rPr>
              <w:tab/>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绿化日常养护里程</w:t>
            </w:r>
            <w:r>
              <w:rPr>
                <w:rFonts w:hint="eastAsia" w:ascii="仿宋_GB2312" w:hAnsi="仿宋_GB2312" w:eastAsia="仿宋_GB2312" w:cs="仿宋_GB2312"/>
              </w:rPr>
              <w:tab/>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≥46.29公里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养护质量达标率</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完工时间</w:t>
            </w:r>
            <w:r>
              <w:rPr>
                <w:rFonts w:hint="eastAsia" w:ascii="仿宋_GB2312" w:hAnsi="仿宋_GB2312" w:eastAsia="仿宋_GB2312" w:cs="仿宋_GB2312"/>
              </w:rPr>
              <w:tab/>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项目完工时间</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2022年12月底前</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绿化修剪成本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≤103.44元/公里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绿化除草成本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≤176.16元/公里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绿化病虫害防治成本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≤150.5元/公里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绿化施肥成本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≤279.53元/公里</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树干刷白成本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≤1.57元/棵</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绿化养护</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粘贴反光胶带成本</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≤1.8元/棵</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Merge w:val="continue"/>
            <w:vAlign w:val="center"/>
          </w:tcPr>
          <w:p>
            <w:pPr>
              <w:rPr>
                <w:rFonts w:hint="eastAsia" w:ascii="仿宋_GB2312" w:hAnsi="仿宋_GB2312" w:eastAsia="仿宋_GB2312" w:cs="仿宋_GB2312"/>
              </w:rPr>
            </w:pP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71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71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59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1170"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82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7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调查统计</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9" w:name="_Toc_4_4_0000000013"/>
      <w:r>
        <w:rPr>
          <w:rFonts w:hint="eastAsia" w:ascii="仿宋_GB2312" w:hAnsi="仿宋_GB2312" w:eastAsia="仿宋_GB2312" w:cs="仿宋_GB2312"/>
          <w:color w:val="000000"/>
          <w:sz w:val="28"/>
        </w:rPr>
        <w:t>10.农村公路养护工程补助资金绩效目标表</w:t>
      </w:r>
      <w:bookmarkEnd w:id="9"/>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1.降低农村公路使用成本，延长农村公路使用寿命，提升农村公路路况水平和绿化美化环境，消除农村公路安全隐患，提供良好的交通设施保障。</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县乡村道小修挖补里程</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≥6100平米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县道绿植浇水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绿植浇水里程</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≥46.29公里</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养护工程质量达标率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公路养护技术规范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完工时间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项目完工时间</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2022年12月底前</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县乡村道小修挖补成本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≤80.37元/平米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县道绿植浇水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绿植浇水成本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≤158.28元/公里/次</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《河北省普通公路养护工程预算定额》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受益乡镇总个数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优良中等路比例</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河北交通厅公路网系统年报数据。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社会公众或服务对象满意度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问卷调查</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0" w:name="_Toc_4_4_0000000014"/>
      <w:r>
        <w:rPr>
          <w:rFonts w:hint="eastAsia" w:ascii="仿宋_GB2312" w:hAnsi="仿宋_GB2312" w:eastAsia="仿宋_GB2312" w:cs="仿宋_GB2312"/>
          <w:color w:val="000000"/>
          <w:sz w:val="28"/>
        </w:rPr>
        <w:t>11.农村公路养护工程补助资金[省级]绩效目标表</w:t>
      </w:r>
      <w:bookmarkEnd w:id="10"/>
    </w:p>
    <w:tbl>
      <w:tblPr>
        <w:tblStyle w:val="8"/>
        <w:tblW w:w="4999"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2140"/>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355"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1.减少路面行车安全隐患，提升农村公路路况水平，延长农村公路使用寿命。</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795"/>
        <w:gridCol w:w="1795"/>
        <w:gridCol w:w="1876"/>
        <w:gridCol w:w="4073"/>
        <w:gridCol w:w="1796"/>
        <w:gridCol w:w="25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tblHeader/>
          <w:jc w:val="center"/>
        </w:trPr>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673"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46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路面标线施划</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标线施划数量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≥7950米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小修挖补面积</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≥3700平米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养护质量合格率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养护工程达标率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年度评分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完工时间</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项目完工时间</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2022年12月底前</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路面标线施划</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标线铲除成本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≤14.61元/平米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路面标线施划</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热熔标线施划成本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≤38.11元/平米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小修挖补成本</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小修挖补成本</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≤80.37元/平米</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养护定额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受益乡镇个数</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≥5个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Merge w:val="continue"/>
            <w:vAlign w:val="center"/>
          </w:tcPr>
          <w:p>
            <w:pPr>
              <w:rPr>
                <w:rFonts w:hint="eastAsia" w:ascii="仿宋_GB2312" w:hAnsi="仿宋_GB2312" w:eastAsia="仿宋_GB2312" w:cs="仿宋_GB2312"/>
              </w:rPr>
            </w:pP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优良中等路率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≥85％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河北交通厅公路网系统最新年报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20" w:hRule="atLeast"/>
          <w:jc w:val="center"/>
        </w:trPr>
        <w:tc>
          <w:tcPr>
            <w:tcW w:w="644"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673"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146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受益人口满意度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≥95％</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调查统计</w:t>
            </w:r>
          </w:p>
        </w:tc>
      </w:tr>
    </w:tbl>
    <w:p>
      <w:pPr>
        <w:rPr>
          <w:rFonts w:hint="eastAsia" w:ascii="仿宋_GB2312" w:hAnsi="仿宋_GB2312" w:eastAsia="仿宋_GB2312" w:cs="仿宋_GB2312"/>
        </w:rPr>
        <w:sectPr>
          <w:pgSz w:w="16840" w:h="11900" w:orient="landscape"/>
          <w:pgMar w:top="1304" w:right="1984" w:bottom="1304" w:left="1134" w:header="720" w:footer="720" w:gutter="0"/>
          <w:cols w:space="720" w:num="1"/>
          <w:docGrid w:linePitch="312" w:charSpace="0"/>
        </w:sectPr>
      </w:pPr>
    </w:p>
    <w:p>
      <w:pPr>
        <w:spacing w:before="0" w:after="0" w:line="240" w:lineRule="auto"/>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8"/>
        </w:rPr>
        <w:t xml:space="preserve"> </w:t>
      </w:r>
    </w:p>
    <w:p>
      <w:pPr>
        <w:spacing w:before="0" w:after="0"/>
        <w:ind w:firstLine="560"/>
        <w:jc w:val="left"/>
        <w:outlineLvl w:val="3"/>
        <w:rPr>
          <w:rFonts w:hint="eastAsia" w:ascii="仿宋_GB2312" w:hAnsi="仿宋_GB2312" w:eastAsia="仿宋_GB2312" w:cs="仿宋_GB2312"/>
          <w:color w:val="000000"/>
          <w:sz w:val="28"/>
        </w:rPr>
      </w:pPr>
      <w:bookmarkStart w:id="11" w:name="_Toc_4_4_0000000015"/>
      <w:r>
        <w:rPr>
          <w:rFonts w:hint="eastAsia" w:ascii="仿宋_GB2312" w:hAnsi="仿宋_GB2312" w:eastAsia="仿宋_GB2312" w:cs="仿宋_GB2312"/>
          <w:color w:val="000000"/>
          <w:sz w:val="28"/>
        </w:rPr>
        <w:t>12.普通国省干线公路建设养护发展专项资金[省级]绩效目标表</w:t>
      </w:r>
      <w:bookmarkEnd w:id="11"/>
    </w:p>
    <w:tbl>
      <w:tblPr>
        <w:tblStyle w:val="8"/>
        <w:tblW w:w="4998" w:type="pct"/>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0"/>
        <w:gridCol w:w="11977"/>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绩效目标</w:t>
            </w:r>
          </w:p>
        </w:tc>
        <w:tc>
          <w:tcPr>
            <w:tcW w:w="4449"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1.依托联合执法集中治超优势，采取定点与巡查相结合的方式，对我区重点整治路段24小时不间断执法，始终保持路面严查的高压态势。将干线公路超限率控制在2%以下。</w:t>
            </w:r>
          </w:p>
        </w:tc>
      </w:tr>
    </w:tbl>
    <w:p>
      <w:pPr>
        <w:spacing w:before="0" w:after="0" w:line="2" w:lineRule="exact"/>
        <w:ind w:firstLine="0"/>
        <w:jc w:val="center"/>
        <w:outlineLvl w:val="9"/>
        <w:rPr>
          <w:rFonts w:hint="eastAsia" w:ascii="仿宋_GB2312" w:hAnsi="仿宋_GB2312" w:eastAsia="仿宋_GB2312" w:cs="仿宋_GB2312"/>
        </w:rPr>
      </w:pPr>
      <w:r>
        <w:rPr>
          <w:rFonts w:hint="eastAsia" w:ascii="仿宋_GB2312" w:hAnsi="仿宋_GB2312" w:eastAsia="仿宋_GB2312" w:cs="仿宋_GB2312"/>
          <w:color w:val="000000"/>
          <w:sz w:val="21"/>
        </w:rPr>
        <w:t xml:space="preserve"> </w:t>
      </w:r>
    </w:p>
    <w:tbl>
      <w:tblPr>
        <w:tblStyle w:val="8"/>
        <w:tblW w:w="4998"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481"/>
        <w:gridCol w:w="2281"/>
        <w:gridCol w:w="2473"/>
        <w:gridCol w:w="2979"/>
        <w:gridCol w:w="1735"/>
        <w:gridCol w:w="25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550"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一级指标</w:t>
            </w:r>
          </w:p>
        </w:tc>
        <w:tc>
          <w:tcPr>
            <w:tcW w:w="847"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二级指标</w:t>
            </w:r>
          </w:p>
        </w:tc>
        <w:tc>
          <w:tcPr>
            <w:tcW w:w="918"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三级指标</w:t>
            </w:r>
          </w:p>
        </w:tc>
        <w:tc>
          <w:tcPr>
            <w:tcW w:w="1106"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绩效指标描述</w:t>
            </w:r>
          </w:p>
        </w:tc>
        <w:tc>
          <w:tcPr>
            <w:tcW w:w="644"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w:t>
            </w:r>
          </w:p>
        </w:tc>
        <w:tc>
          <w:tcPr>
            <w:tcW w:w="931" w:type="pct"/>
            <w:vAlign w:val="center"/>
          </w:tcPr>
          <w:p>
            <w:pPr>
              <w:pStyle w:val="12"/>
              <w:rPr>
                <w:rFonts w:hint="eastAsia" w:ascii="仿宋_GB2312" w:hAnsi="仿宋_GB2312" w:eastAsia="仿宋_GB2312" w:cs="仿宋_GB2312"/>
              </w:rPr>
            </w:pPr>
            <w:r>
              <w:rPr>
                <w:rFonts w:hint="eastAsia" w:ascii="仿宋_GB2312" w:hAnsi="仿宋_GB2312" w:eastAsia="仿宋_GB2312" w:cs="仿宋_GB2312"/>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产出指标</w:t>
            </w: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数量指标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经费使用范围</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维持站点运行数量</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1个</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质量指标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经费支出合规率</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保证经费支出合规</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100%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时效指标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经费保障时间</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2022年1月-2022年12月</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12月</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统计数据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成本指标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费用支出总额</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费用支出总额</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≤40万元</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立项文件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restar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效益指标</w:t>
            </w: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社会效益指标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保障站点正常运行，有效减少超限超载</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保障站点正常运行，有效减少超限超载</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Merge w:val="continue"/>
            <w:vAlign w:val="center"/>
          </w:tcPr>
          <w:p>
            <w:pPr>
              <w:rPr>
                <w:rFonts w:hint="eastAsia" w:ascii="仿宋_GB2312" w:hAnsi="仿宋_GB2312" w:eastAsia="仿宋_GB2312" w:cs="仿宋_GB2312"/>
              </w:rPr>
            </w:pP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可持续影响指标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保障治理车辆不超载，维护路产。</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保障治理车辆不超载，维护路产，确保道路安全畅通。</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保障</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预期效果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50" w:type="pct"/>
            <w:vAlign w:val="center"/>
          </w:tcPr>
          <w:p>
            <w:pPr>
              <w:pStyle w:val="15"/>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47"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服务对象满意度指标</w:t>
            </w:r>
          </w:p>
        </w:tc>
        <w:tc>
          <w:tcPr>
            <w:tcW w:w="918"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1106"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受益群众满意度</w:t>
            </w:r>
          </w:p>
        </w:tc>
        <w:tc>
          <w:tcPr>
            <w:tcW w:w="644"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≥90%</w:t>
            </w:r>
          </w:p>
        </w:tc>
        <w:tc>
          <w:tcPr>
            <w:tcW w:w="931" w:type="pct"/>
            <w:vAlign w:val="center"/>
          </w:tcPr>
          <w:p>
            <w:pPr>
              <w:pStyle w:val="14"/>
              <w:rPr>
                <w:rFonts w:hint="eastAsia" w:ascii="仿宋_GB2312" w:hAnsi="仿宋_GB2312" w:eastAsia="仿宋_GB2312" w:cs="仿宋_GB2312"/>
              </w:rPr>
            </w:pPr>
            <w:r>
              <w:rPr>
                <w:rFonts w:hint="eastAsia" w:ascii="仿宋_GB2312" w:hAnsi="仿宋_GB2312" w:eastAsia="仿宋_GB2312" w:cs="仿宋_GB2312"/>
              </w:rPr>
              <w:t>走访调查</w:t>
            </w:r>
          </w:p>
        </w:tc>
      </w:tr>
    </w:tbl>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2"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安排政府采购预算860.6万元。具体内容见下表。</w:t>
      </w:r>
    </w:p>
    <w:bookmarkEnd w:id="12"/>
    <w:p>
      <w:pPr>
        <w:jc w:val="center"/>
        <w:outlineLvl w:val="1"/>
        <w:rPr>
          <w:rFonts w:ascii="方正小标宋_GBK" w:eastAsia="方正小标宋_GBK" w:cs="Times New Roman"/>
          <w:sz w:val="32"/>
        </w:rPr>
      </w:pPr>
      <w:bookmarkStart w:id="13"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13"/>
    </w:p>
    <w:p>
      <w:pPr>
        <w:outlineLvl w:val="1"/>
      </w:pPr>
      <w:r>
        <w:t>廊坊市</w:t>
      </w:r>
      <w:r>
        <w:rPr>
          <w:rFonts w:hint="eastAsia"/>
          <w:lang w:eastAsia="zh-CN"/>
        </w:rPr>
        <w:t>广阳区</w:t>
      </w:r>
      <w:r>
        <w:t>交通运输局                                                                                              单位：万元</w:t>
      </w:r>
    </w:p>
    <w:tbl>
      <w:tblPr>
        <w:tblStyle w:val="8"/>
        <w:tblW w:w="1541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92"/>
        <w:gridCol w:w="1068"/>
        <w:gridCol w:w="935"/>
        <w:gridCol w:w="1134"/>
        <w:gridCol w:w="709"/>
        <w:gridCol w:w="850"/>
        <w:gridCol w:w="850"/>
        <w:gridCol w:w="964"/>
        <w:gridCol w:w="964"/>
        <w:gridCol w:w="964"/>
        <w:gridCol w:w="964"/>
        <w:gridCol w:w="964"/>
        <w:gridCol w:w="964"/>
        <w:gridCol w:w="964"/>
        <w:gridCol w:w="965"/>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260" w:type="dxa"/>
            <w:gridSpan w:val="2"/>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政府采购项目来源</w:t>
            </w:r>
          </w:p>
        </w:tc>
        <w:tc>
          <w:tcPr>
            <w:tcW w:w="935"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采购物品名称</w:t>
            </w:r>
          </w:p>
        </w:tc>
        <w:tc>
          <w:tcPr>
            <w:tcW w:w="1134"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政府采购目录序号</w:t>
            </w:r>
          </w:p>
        </w:tc>
        <w:tc>
          <w:tcPr>
            <w:tcW w:w="709"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计量  单位</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数量</w:t>
            </w:r>
          </w:p>
        </w:tc>
        <w:tc>
          <w:tcPr>
            <w:tcW w:w="850"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单价</w:t>
            </w:r>
          </w:p>
        </w:tc>
        <w:tc>
          <w:tcPr>
            <w:tcW w:w="7713" w:type="dxa"/>
            <w:gridSpan w:val="8"/>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政府采购金额（当年</w:t>
            </w:r>
            <w:r>
              <w:rPr>
                <w:rFonts w:hint="eastAsia"/>
                <w:lang w:eastAsia="zh-CN"/>
              </w:rPr>
              <w:t>单位</w:t>
            </w:r>
            <w:r>
              <w:t>预算安排资金）</w:t>
            </w:r>
          </w:p>
        </w:tc>
        <w:tc>
          <w:tcPr>
            <w:tcW w:w="964" w:type="dxa"/>
            <w:vMerge w:val="restart"/>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192"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项目名称</w:t>
            </w:r>
          </w:p>
        </w:tc>
        <w:tc>
          <w:tcPr>
            <w:tcW w:w="1068"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预算    资金</w:t>
            </w:r>
          </w:p>
        </w:tc>
        <w:tc>
          <w:tcPr>
            <w:tcW w:w="935"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1134"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709"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850"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合计</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一般公共预算拨款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基金预算拨款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国有资本经营预算拨款</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财政专户核拨</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单位    资金</w:t>
            </w:r>
          </w:p>
        </w:tc>
        <w:tc>
          <w:tcPr>
            <w:tcW w:w="964"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财政拨    款结转</w:t>
            </w:r>
          </w:p>
        </w:tc>
        <w:tc>
          <w:tcPr>
            <w:tcW w:w="965" w:type="dxa"/>
            <w:vAlign w:val="center"/>
          </w:tcPr>
          <w:p>
            <w:pPr>
              <w:pStyle w:val="12"/>
              <w:keepNext w:val="0"/>
              <w:keepLines w:val="0"/>
              <w:pageBreakBefore w:val="0"/>
              <w:kinsoku/>
              <w:wordWrap/>
              <w:overflowPunct/>
              <w:topLinePunct w:val="0"/>
              <w:autoSpaceDE/>
              <w:autoSpaceDN/>
              <w:bidi w:val="0"/>
              <w:adjustRightInd/>
              <w:snapToGrid/>
              <w:spacing w:line="400" w:lineRule="exact"/>
              <w:textAlignment w:val="auto"/>
            </w:pPr>
            <w:r>
              <w:t>非财政    拨款结    转结余</w:t>
            </w:r>
          </w:p>
        </w:tc>
        <w:tc>
          <w:tcPr>
            <w:tcW w:w="964" w:type="dxa"/>
            <w:vMerge w:val="continue"/>
          </w:tcPr>
          <w:p>
            <w:pPr>
              <w:keepNext w:val="0"/>
              <w:keepLines w:val="0"/>
              <w:pageBreakBefore w:val="0"/>
              <w:kinsoku/>
              <w:wordWrap/>
              <w:overflowPunct/>
              <w:topLinePunct w:val="0"/>
              <w:autoSpaceDE/>
              <w:autoSpaceDN/>
              <w:bidi w:val="0"/>
              <w:adjustRightInd/>
              <w:snapToGrid/>
              <w:spacing w:line="400" w:lineRule="exact"/>
              <w:textAlignment w:val="auto"/>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192"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r>
              <w:t>合  计</w:t>
            </w:r>
          </w:p>
        </w:tc>
        <w:tc>
          <w:tcPr>
            <w:tcW w:w="1068"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860.6</w:t>
            </w:r>
          </w:p>
        </w:tc>
        <w:tc>
          <w:tcPr>
            <w:tcW w:w="935" w:type="dxa"/>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1134" w:type="dxa"/>
            <w:vAlign w:val="center"/>
          </w:tcPr>
          <w:p>
            <w:pPr>
              <w:pStyle w:val="18"/>
              <w:keepNext w:val="0"/>
              <w:keepLines w:val="0"/>
              <w:pageBreakBefore w:val="0"/>
              <w:kinsoku/>
              <w:wordWrap/>
              <w:overflowPunct/>
              <w:topLinePunct w:val="0"/>
              <w:autoSpaceDE/>
              <w:autoSpaceDN/>
              <w:bidi w:val="0"/>
              <w:adjustRightInd/>
              <w:snapToGrid/>
              <w:spacing w:line="400" w:lineRule="exact"/>
              <w:textAlignment w:val="auto"/>
            </w:pPr>
          </w:p>
        </w:tc>
        <w:tc>
          <w:tcPr>
            <w:tcW w:w="709" w:type="dxa"/>
            <w:vAlign w:val="center"/>
          </w:tcPr>
          <w:p>
            <w:pPr>
              <w:pStyle w:val="16"/>
              <w:keepNext w:val="0"/>
              <w:keepLines w:val="0"/>
              <w:pageBreakBefore w:val="0"/>
              <w:kinsoku/>
              <w:wordWrap/>
              <w:overflowPunct/>
              <w:topLinePunct w:val="0"/>
              <w:autoSpaceDE/>
              <w:autoSpaceDN/>
              <w:bidi w:val="0"/>
              <w:adjustRightInd/>
              <w:snapToGrid/>
              <w:spacing w:line="400" w:lineRule="exact"/>
              <w:textAlignment w:val="auto"/>
            </w:pPr>
          </w:p>
        </w:tc>
        <w:tc>
          <w:tcPr>
            <w:tcW w:w="850"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850"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r>
              <w:rPr>
                <w:rFonts w:hint="eastAsia"/>
                <w:lang w:val="en-US" w:eastAsia="zh-CN"/>
              </w:rPr>
              <w:t>849.19</w:t>
            </w: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rPr>
                <w:rFonts w:hint="default" w:eastAsia="方正书宋_GBK"/>
                <w:lang w:val="en-US" w:eastAsia="zh-CN"/>
              </w:rPr>
            </w:pPr>
            <w:r>
              <w:rPr>
                <w:rFonts w:hint="eastAsia"/>
                <w:lang w:val="en-US" w:eastAsia="zh-CN"/>
              </w:rPr>
              <w:t>376</w:t>
            </w: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473.19</w:t>
            </w: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7"/>
              <w:keepNext w:val="0"/>
              <w:keepLines w:val="0"/>
              <w:pageBreakBefore w:val="0"/>
              <w:kinsoku/>
              <w:wordWrap/>
              <w:overflowPunct/>
              <w:topLinePunct w:val="0"/>
              <w:autoSpaceDE/>
              <w:autoSpaceDN/>
              <w:bidi w:val="0"/>
              <w:adjustRightInd/>
              <w:snapToGrid/>
              <w:spacing w:line="400" w:lineRule="exact"/>
              <w:textAlignment w:val="auto"/>
            </w:pPr>
            <w:r>
              <w:t>849.19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2022年广阳区农村公路日常养护资金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225.56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2022年广阳区农村公路养护工程资金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247.63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农村公路养护工程补助资金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车辆购置税收入补助地方资金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200.00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1192"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农村公路养护工程补助资金</w:t>
            </w:r>
          </w:p>
        </w:tc>
        <w:tc>
          <w:tcPr>
            <w:tcW w:w="1068"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w:t>
            </w:r>
          </w:p>
        </w:tc>
        <w:tc>
          <w:tcPr>
            <w:tcW w:w="935"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公路工程施工</w:t>
            </w:r>
          </w:p>
        </w:tc>
        <w:tc>
          <w:tcPr>
            <w:tcW w:w="1134" w:type="dxa"/>
            <w:vAlign w:val="center"/>
          </w:tcPr>
          <w:p>
            <w:pPr>
              <w:pStyle w:val="14"/>
              <w:keepNext w:val="0"/>
              <w:keepLines w:val="0"/>
              <w:pageBreakBefore w:val="0"/>
              <w:kinsoku/>
              <w:wordWrap/>
              <w:overflowPunct/>
              <w:topLinePunct w:val="0"/>
              <w:autoSpaceDE/>
              <w:autoSpaceDN/>
              <w:bidi w:val="0"/>
              <w:adjustRightInd/>
              <w:snapToGrid/>
              <w:spacing w:line="400" w:lineRule="exact"/>
              <w:textAlignment w:val="auto"/>
            </w:pPr>
            <w:r>
              <w:t>B0202</w:t>
            </w:r>
          </w:p>
        </w:tc>
        <w:tc>
          <w:tcPr>
            <w:tcW w:w="709" w:type="dxa"/>
            <w:vAlign w:val="center"/>
          </w:tcPr>
          <w:p>
            <w:pPr>
              <w:pStyle w:val="15"/>
              <w:keepNext w:val="0"/>
              <w:keepLines w:val="0"/>
              <w:pageBreakBefore w:val="0"/>
              <w:kinsoku/>
              <w:wordWrap/>
              <w:overflowPunct/>
              <w:topLinePunct w:val="0"/>
              <w:autoSpaceDE/>
              <w:autoSpaceDN/>
              <w:bidi w:val="0"/>
              <w:adjustRightInd/>
              <w:snapToGrid/>
              <w:spacing w:line="400" w:lineRule="exact"/>
              <w:textAlignment w:val="auto"/>
            </w:pPr>
            <w:r>
              <w:t>万元</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1</w:t>
            </w:r>
          </w:p>
        </w:tc>
        <w:tc>
          <w:tcPr>
            <w:tcW w:w="850"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5"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p>
        </w:tc>
        <w:tc>
          <w:tcPr>
            <w:tcW w:w="964" w:type="dxa"/>
            <w:vAlign w:val="center"/>
          </w:tcPr>
          <w:p>
            <w:pPr>
              <w:pStyle w:val="13"/>
              <w:keepNext w:val="0"/>
              <w:keepLines w:val="0"/>
              <w:pageBreakBefore w:val="0"/>
              <w:kinsoku/>
              <w:wordWrap/>
              <w:overflowPunct/>
              <w:topLinePunct w:val="0"/>
              <w:autoSpaceDE/>
              <w:autoSpaceDN/>
              <w:bidi w:val="0"/>
              <w:adjustRightInd/>
              <w:snapToGrid/>
              <w:spacing w:line="400" w:lineRule="exact"/>
              <w:textAlignment w:val="auto"/>
            </w:pPr>
            <w:r>
              <w:t>76.00</w:t>
            </w:r>
          </w:p>
        </w:tc>
      </w:tr>
    </w:tbl>
    <w:p>
      <w:pPr>
        <w:outlineLvl w:val="1"/>
      </w:pPr>
    </w:p>
    <w:p>
      <w:pPr>
        <w:spacing w:line="500" w:lineRule="exact"/>
        <w:ind w:firstLine="420"/>
        <w:rPr>
          <w:rFonts w:ascii="方正仿宋_GBK" w:eastAsia="方正仿宋_GBK" w:cs="方正仿宋_GBK"/>
          <w:color w:val="000000"/>
        </w:rPr>
      </w:pPr>
      <w:r>
        <w:rPr>
          <w:rFonts w:asci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ascii="Times New Roman" w:hAnsi="Times New Roman" w:eastAsia="仿宋_GB2312" w:cs="Times New Roman"/>
          <w:sz w:val="32"/>
          <w:szCs w:val="32"/>
        </w:rPr>
        <w:t>交通运输局上年末固定资产金额为35.88万元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11.41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主要为计算机设备、打印设备、空调等，已列入政府采购预算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224"/>
        <w:gridCol w:w="3155"/>
        <w:gridCol w:w="51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ascii="Times New Roman" w:hAnsi="Times New Roman" w:eastAsia="仿宋_GB2312" w:cs="Times New Roman"/>
                <w:kern w:val="0"/>
                <w:sz w:val="22"/>
              </w:rPr>
              <w:t>交通运输局</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35.88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10.67</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40" w:h="11907" w:orient="landscape"/>
      <w:pgMar w:top="1440" w:right="1797" w:bottom="1440" w:left="1797"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E16151-9C06-43F1-8360-B601D6B5E9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_GBK">
    <w:altName w:val="微软雅黑"/>
    <w:panose1 w:val="00000000000000000000"/>
    <w:charset w:val="86"/>
    <w:family w:val="roman"/>
    <w:pitch w:val="default"/>
    <w:sig w:usb0="00000000" w:usb1="00000000" w:usb2="00000000" w:usb3="00000000" w:csb0="00000000" w:csb1="00000000"/>
  </w:font>
  <w:font w:name="方正仿宋_GBK">
    <w:panose1 w:val="02000000000000000000"/>
    <w:charset w:val="86"/>
    <w:family w:val="script"/>
    <w:pitch w:val="default"/>
    <w:sig w:usb0="A00002BF" w:usb1="38CF7CFA" w:usb2="00082016" w:usb3="00000000" w:csb0="00040001" w:csb1="00000000"/>
    <w:embedRegular r:id="rId2" w:fontKey="{FA75952D-96F8-45D4-84EC-96C90A5D8B36}"/>
  </w:font>
  <w:font w:name="仿宋_GB2312">
    <w:panose1 w:val="02010609030101010101"/>
    <w:charset w:val="86"/>
    <w:family w:val="modern"/>
    <w:pitch w:val="default"/>
    <w:sig w:usb0="00000001" w:usb1="080E0000" w:usb2="00000000" w:usb3="00000000" w:csb0="00040000" w:csb1="00000000"/>
    <w:embedRegular r:id="rId3" w:fontKey="{84526E50-2CE9-409C-A2B2-44340CDF019F}"/>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Black">
    <w:panose1 w:val="020B0A04020102020204"/>
    <w:charset w:val="00"/>
    <w:family w:val="auto"/>
    <w:pitch w:val="default"/>
    <w:sig w:usb0="A00002AF" w:usb1="400078FB" w:usb2="00000000" w:usb3="00000000" w:csb0="6000009F" w:csb1="DFD7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
  <w:docVars>
    <w:docVar w:name="commondata" w:val="eyJoZGlkIjoiZTg1MzJjNTBhNGFmZWFjOWNkNzBiMDRhNDMxMDgwZTEifQ=="/>
  </w:docVars>
  <w:rsids>
    <w:rsidRoot w:val="00000000"/>
    <w:rsid w:val="1BDA58E9"/>
    <w:rsid w:val="24EB0EEA"/>
    <w:rsid w:val="49A45B1D"/>
    <w:rsid w:val="54724B75"/>
    <w:rsid w:val="5D3D64D9"/>
    <w:rsid w:val="7EED41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eastAsia="方正书宋_GBK" w:cs="方正书宋_GBK"/>
      <w:b/>
      <w:kern w:val="0"/>
      <w:szCs w:val="24"/>
      <w:lang w:eastAsia="uk-UA"/>
    </w:rPr>
  </w:style>
  <w:style w:type="paragraph" w:customStyle="1" w:styleId="19">
    <w:name w:val="插入文本样式-插入总体目标文件"/>
    <w:next w:val="5"/>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0">
    <w:name w:val="插入文本样式-插入职责分类绩效目标文件"/>
    <w:next w:val="6"/>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 w:type="paragraph" w:customStyle="1" w:styleId="21">
    <w:name w:val="插入文本样式-插入实现年度发展规划目标的保障措施文件"/>
    <w:next w:val="7"/>
    <w:qFormat/>
    <w:uiPriority w:val="0"/>
    <w:pPr>
      <w:spacing w:before="0" w:after="0" w:line="500" w:lineRule="exact"/>
      <w:ind w:firstLine="560"/>
      <w:jc w:val="left"/>
      <w:outlineLvl w:val="9"/>
    </w:pPr>
    <w:rPr>
      <w:rFonts w:ascii="Times New Roman" w:hAnsi="Times New Roman" w:eastAsia="方正仿宋_GBK" w:cs="Times New Roman"/>
      <w:sz w:val="28"/>
      <w:szCs w:val="24"/>
      <w:lang w:val="en-US" w:eastAsia="uk-UA"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Normal.eit</Template>
  <Company>Microsoft</Company>
  <Pages>29</Pages>
  <Words>11161</Words>
  <Characters>12413</Characters>
  <Lines>1921</Lines>
  <Paragraphs>1261</Paragraphs>
  <TotalTime>1</TotalTime>
  <ScaleCrop>false</ScaleCrop>
  <LinksUpToDate>false</LinksUpToDate>
  <CharactersWithSpaces>12630</CharactersWithSpaces>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CXL</cp:lastModifiedBy>
  <cp:lastPrinted>2018-01-30T06:12:00Z</cp:lastPrinted>
  <dcterms:modified xsi:type="dcterms:W3CDTF">2023-08-01T07:36:48Z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0D9F7348F3134865B254BEBC063ABA43</vt:lpwstr>
  </property>
</Properties>
</file>