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10" w:name="_GoBack"/>
      <w:bookmarkEnd w:id="10"/>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万庄镇大伍龙小学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万庄镇大伍龙小学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1.贯彻执行党和国家的教育方针、政策、法律法规，制定我校的长远规划和年度计划，并组织实施。</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2.负责教育基本信息的统计、分析。</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3.负责基础教育的管理。推进义务教育均衡发展和促进教育公平，全面实施素质教育。</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4.负责学校教师队伍的建设和管理，提高教师队伍素质。</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5.负责本单位教育经费的统筹管理，教育经费预决算工作，教育经费的管理和使用；统筹规划和管理学校基本建设和设施的配置及计划统计工作。</w:t>
      </w:r>
    </w:p>
    <w:p>
      <w:pPr>
        <w:spacing w:line="58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6.管理学校的党建、思想政治、宣传统战和维护稳定以及德育、体育、卫生防疫与艺术教育、国防教育工作；负责学校的安全监督管理。</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7.负责做好学校的招生、考试工作；负责管理本校教师学历教育及考试工作。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8.负责组织开展学校教育的督导评估、检查验收、质量监测等工作。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9.负责学校党的政治建设、思想建设、组织建设、作风建设、纪律建设和制度建设。</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10.负责学校学生和教师的思想政治工作，学校思想政治队伍建设和学校校本课程教育教学。</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11.负责学校安全稳定工作。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12.做好本校体育事业发展规划、全民健身计划，开展群众性体育活动。</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13.做好上级单位交办的其他事项。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autoSpaceDE w:val="0"/>
        <w:autoSpaceDN w:val="0"/>
        <w:adjustRightInd w:val="0"/>
        <w:spacing w:line="584" w:lineRule="exact"/>
        <w:ind w:firstLine="630" w:firstLineChars="196"/>
        <w:jc w:val="center"/>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廊坊市广阳区万庄镇大伍龙小学</w:t>
            </w:r>
          </w:p>
        </w:tc>
        <w:tc>
          <w:tcPr>
            <w:tcW w:w="1134"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事业单位</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副科级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万庄镇大伍龙小学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万庄镇大伍龙小学2022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lang w:val="en-US" w:eastAsia="zh-CN"/>
        </w:rPr>
        <w:t>为校园教室室内装修、平房防水、修缮校园操场围墙和平房</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我校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snapToGrid/>
        <w:spacing w:line="584" w:lineRule="exact"/>
        <w:ind w:left="0" w:leftChars="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1、提高义务教育水平，免除城市区中小学生学杂费，提供免费教科书，解决大班额问题及入学难问题。对贫困中小学生进行补助。</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7、办人民满意的学校,教师、学生、家长整体满意度达到90%以上。</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1、成立学校监督小组，监督学校工作，强化工作落实。</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11"/>
        <w:gridCol w:w="2144"/>
        <w:gridCol w:w="2297"/>
        <w:gridCol w:w="2299"/>
        <w:gridCol w:w="923"/>
        <w:gridCol w:w="791"/>
        <w:gridCol w:w="111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3"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一级指标</w:t>
            </w:r>
          </w:p>
        </w:tc>
        <w:tc>
          <w:tcPr>
            <w:tcW w:w="535"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二级指标</w:t>
            </w:r>
          </w:p>
        </w:tc>
        <w:tc>
          <w:tcPr>
            <w:tcW w:w="813"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三级指标</w:t>
            </w:r>
          </w:p>
        </w:tc>
        <w:tc>
          <w:tcPr>
            <w:tcW w:w="871"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绩效指标描述</w:t>
            </w:r>
          </w:p>
        </w:tc>
        <w:tc>
          <w:tcPr>
            <w:tcW w:w="872"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评（扣）分标准</w:t>
            </w:r>
          </w:p>
        </w:tc>
        <w:tc>
          <w:tcPr>
            <w:tcW w:w="1074" w:type="pct"/>
            <w:gridSpan w:val="3"/>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指标值</w:t>
            </w:r>
          </w:p>
        </w:tc>
        <w:tc>
          <w:tcPr>
            <w:tcW w:w="498"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 w:type="pct"/>
            <w:vMerge w:val="continue"/>
            <w:noWrap w:val="0"/>
            <w:vAlign w:val="center"/>
          </w:tcPr>
          <w:p>
            <w:pPr>
              <w:widowControl/>
              <w:jc w:val="left"/>
              <w:rPr>
                <w:rFonts w:ascii="宋体" w:hAnsi="宋体" w:cs="宋体"/>
                <w:color w:val="000000"/>
                <w:kern w:val="0"/>
                <w:sz w:val="21"/>
                <w:szCs w:val="21"/>
              </w:rPr>
            </w:pPr>
          </w:p>
        </w:tc>
        <w:tc>
          <w:tcPr>
            <w:tcW w:w="535" w:type="pct"/>
            <w:vMerge w:val="continue"/>
            <w:noWrap w:val="0"/>
            <w:vAlign w:val="center"/>
          </w:tcPr>
          <w:p>
            <w:pPr>
              <w:widowControl/>
              <w:jc w:val="left"/>
              <w:rPr>
                <w:rFonts w:ascii="宋体" w:hAnsi="宋体" w:cs="宋体"/>
                <w:color w:val="000000"/>
                <w:kern w:val="0"/>
                <w:sz w:val="21"/>
                <w:szCs w:val="21"/>
              </w:rPr>
            </w:pPr>
          </w:p>
        </w:tc>
        <w:tc>
          <w:tcPr>
            <w:tcW w:w="813" w:type="pct"/>
            <w:vMerge w:val="continue"/>
            <w:noWrap w:val="0"/>
            <w:vAlign w:val="center"/>
          </w:tcPr>
          <w:p>
            <w:pPr>
              <w:widowControl/>
              <w:jc w:val="left"/>
              <w:rPr>
                <w:rFonts w:ascii="宋体" w:hAnsi="宋体" w:cs="宋体"/>
                <w:color w:val="000000"/>
                <w:kern w:val="0"/>
                <w:sz w:val="21"/>
                <w:szCs w:val="21"/>
              </w:rPr>
            </w:pPr>
          </w:p>
        </w:tc>
        <w:tc>
          <w:tcPr>
            <w:tcW w:w="871" w:type="pct"/>
            <w:vMerge w:val="continue"/>
            <w:noWrap w:val="0"/>
            <w:vAlign w:val="center"/>
          </w:tcPr>
          <w:p>
            <w:pPr>
              <w:widowControl/>
              <w:jc w:val="left"/>
              <w:rPr>
                <w:rFonts w:ascii="宋体" w:hAnsi="宋体" w:cs="宋体"/>
                <w:color w:val="000000"/>
                <w:kern w:val="0"/>
                <w:sz w:val="21"/>
                <w:szCs w:val="21"/>
              </w:rPr>
            </w:pPr>
          </w:p>
        </w:tc>
        <w:tc>
          <w:tcPr>
            <w:tcW w:w="872" w:type="pct"/>
            <w:vMerge w:val="continue"/>
            <w:noWrap w:val="0"/>
            <w:vAlign w:val="center"/>
          </w:tcPr>
          <w:p>
            <w:pPr>
              <w:widowControl/>
              <w:jc w:val="left"/>
              <w:rPr>
                <w:rFonts w:ascii="宋体" w:hAnsi="宋体" w:cs="宋体"/>
                <w:color w:val="000000"/>
                <w:kern w:val="0"/>
                <w:sz w:val="21"/>
                <w:szCs w:val="21"/>
              </w:rPr>
            </w:pPr>
          </w:p>
        </w:tc>
        <w:tc>
          <w:tcPr>
            <w:tcW w:w="350"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符号</w:t>
            </w:r>
          </w:p>
        </w:tc>
        <w:tc>
          <w:tcPr>
            <w:tcW w:w="300"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值</w:t>
            </w:r>
          </w:p>
        </w:tc>
        <w:tc>
          <w:tcPr>
            <w:tcW w:w="423"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单位（文字描述）</w:t>
            </w:r>
          </w:p>
        </w:tc>
        <w:tc>
          <w:tcPr>
            <w:tcW w:w="498" w:type="pct"/>
            <w:vMerge w:val="continue"/>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restart"/>
            <w:noWrap w:val="0"/>
            <w:vAlign w:val="top"/>
          </w:tcPr>
          <w:p>
            <w:pPr>
              <w:widowControl/>
              <w:jc w:val="left"/>
              <w:rPr>
                <w:rFonts w:cs="Calibri"/>
                <w:color w:val="000000"/>
                <w:kern w:val="0"/>
                <w:sz w:val="21"/>
                <w:szCs w:val="21"/>
              </w:rPr>
            </w:pPr>
            <w:r>
              <w:rPr>
                <w:rFonts w:cs="Calibri"/>
                <w:color w:val="000000"/>
                <w:kern w:val="0"/>
                <w:sz w:val="21"/>
                <w:szCs w:val="21"/>
              </w:rPr>
              <w:t>产出指标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数量指标</w:t>
            </w:r>
          </w:p>
        </w:tc>
        <w:tc>
          <w:tcPr>
            <w:tcW w:w="813" w:type="pct"/>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小学生毕业生合格率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小学生毕业生合格率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w:t>
            </w:r>
            <w:r>
              <w:rPr>
                <w:rStyle w:val="22"/>
                <w:rFonts w:hint="eastAsia" w:ascii="仿宋_GB2312" w:hAnsi="仿宋_GB2312" w:eastAsia="仿宋_GB2312" w:cs="仿宋_GB2312"/>
                <w:sz w:val="21"/>
                <w:szCs w:val="21"/>
                <w:lang w:val="en-US" w:eastAsia="zh-CN" w:bidi="ar"/>
              </w:rPr>
              <w:t>分毕业生合格率</w:t>
            </w:r>
            <w:r>
              <w:rPr>
                <w:rStyle w:val="23"/>
                <w:rFonts w:hint="eastAsia" w:ascii="仿宋_GB2312" w:hAnsi="仿宋_GB2312" w:eastAsia="仿宋_GB2312" w:cs="仿宋_GB2312"/>
                <w:sz w:val="21"/>
                <w:szCs w:val="21"/>
                <w:lang w:val="en-US" w:eastAsia="zh-CN" w:bidi="ar"/>
              </w:rPr>
              <w:t>100%</w:t>
            </w:r>
            <w:r>
              <w:rPr>
                <w:rStyle w:val="22"/>
                <w:rFonts w:hint="eastAsia" w:ascii="仿宋_GB2312" w:hAnsi="仿宋_GB2312" w:eastAsia="仿宋_GB2312" w:cs="仿宋_GB2312"/>
                <w:sz w:val="21"/>
                <w:szCs w:val="21"/>
                <w:lang w:val="en-US" w:eastAsia="zh-CN" w:bidi="ar"/>
              </w:rPr>
              <w:t>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数量指标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重点工作实际完成率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重点工作实际完成率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分不低于</w:t>
            </w:r>
            <w:r>
              <w:rPr>
                <w:rStyle w:val="23"/>
                <w:rFonts w:hint="eastAsia" w:ascii="仿宋_GB2312" w:hAnsi="仿宋_GB2312" w:eastAsia="仿宋_GB2312" w:cs="仿宋_GB2312"/>
                <w:sz w:val="21"/>
                <w:szCs w:val="21"/>
                <w:lang w:val="en-US" w:eastAsia="zh-CN" w:bidi="ar"/>
              </w:rPr>
              <w:t>95%</w:t>
            </w:r>
            <w:r>
              <w:rPr>
                <w:rStyle w:val="22"/>
                <w:rFonts w:hint="eastAsia" w:ascii="仿宋_GB2312" w:hAnsi="仿宋_GB2312" w:eastAsia="仿宋_GB2312" w:cs="仿宋_GB2312"/>
                <w:sz w:val="21"/>
                <w:szCs w:val="21"/>
                <w:lang w:val="en-US" w:eastAsia="zh-CN" w:bidi="ar"/>
              </w:rPr>
              <w:t>得满分，否则不得分</w:t>
            </w:r>
            <w:r>
              <w:rPr>
                <w:rStyle w:val="23"/>
                <w:rFonts w:hint="eastAsia" w:ascii="仿宋_GB2312" w:hAnsi="仿宋_GB2312" w:eastAsia="仿宋_GB2312" w:cs="仿宋_GB2312"/>
                <w:sz w:val="21"/>
                <w:szCs w:val="21"/>
                <w:lang w:val="en-US" w:eastAsia="zh-CN" w:bidi="ar"/>
              </w:rPr>
              <w:t>5</w:t>
            </w:r>
            <w:r>
              <w:rPr>
                <w:rStyle w:val="22"/>
                <w:rFonts w:hint="eastAsia" w:ascii="仿宋_GB2312" w:hAnsi="仿宋_GB2312" w:eastAsia="仿宋_GB2312" w:cs="仿宋_GB2312"/>
                <w:sz w:val="21"/>
                <w:szCs w:val="21"/>
                <w:lang w:val="en-US" w:eastAsia="zh-CN" w:bidi="ar"/>
              </w:rPr>
              <w:t>每减少</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扣</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质量指标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采购物资、建设工程合格率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采购物资、建设工程合格率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w:t>
            </w:r>
            <w:r>
              <w:rPr>
                <w:rStyle w:val="22"/>
                <w:rFonts w:hint="eastAsia" w:ascii="仿宋_GB2312" w:hAnsi="仿宋_GB2312" w:eastAsia="仿宋_GB2312" w:cs="仿宋_GB2312"/>
                <w:sz w:val="21"/>
                <w:szCs w:val="21"/>
                <w:lang w:val="en-US" w:eastAsia="zh-CN" w:bidi="ar"/>
              </w:rPr>
              <w:t>分合格率</w:t>
            </w:r>
            <w:r>
              <w:rPr>
                <w:rStyle w:val="23"/>
                <w:rFonts w:hint="eastAsia" w:ascii="仿宋_GB2312" w:hAnsi="仿宋_GB2312" w:eastAsia="仿宋_GB2312" w:cs="仿宋_GB2312"/>
                <w:sz w:val="21"/>
                <w:szCs w:val="21"/>
                <w:lang w:val="en-US" w:eastAsia="zh-CN" w:bidi="ar"/>
              </w:rPr>
              <w:t>100%</w:t>
            </w:r>
            <w:r>
              <w:rPr>
                <w:rStyle w:val="22"/>
                <w:rFonts w:hint="eastAsia" w:ascii="仿宋_GB2312" w:hAnsi="仿宋_GB2312" w:eastAsia="仿宋_GB2312" w:cs="仿宋_GB2312"/>
                <w:sz w:val="21"/>
                <w:szCs w:val="21"/>
                <w:lang w:val="en-US" w:eastAsia="zh-CN" w:bidi="ar"/>
              </w:rPr>
              <w:t>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时效指标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学校的各项工作任务及时完成情况</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学校的各项工作任务及时完成情况</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分及时完成得满分，否则不得分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成本指标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教育经费使用控制率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支出的公用经费总额与预算安排的比率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分教育经费决算数不大于调整预算数得满分，否则不得分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教育经费决算数不大于调整预算数</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效益指标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社会效益指标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义务教育高质量发展</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推动义务教育从数量扩张向质量提高转变</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分学生、家长、社会对学校整体满意度达到</w:t>
            </w:r>
            <w:r>
              <w:rPr>
                <w:rStyle w:val="23"/>
                <w:rFonts w:hint="eastAsia" w:ascii="仿宋_GB2312" w:hAnsi="仿宋_GB2312" w:eastAsia="仿宋_GB2312" w:cs="仿宋_GB2312"/>
                <w:sz w:val="21"/>
                <w:szCs w:val="21"/>
                <w:lang w:val="en-US" w:eastAsia="zh-CN" w:bidi="ar"/>
              </w:rPr>
              <w:t>95%</w:t>
            </w:r>
            <w:r>
              <w:rPr>
                <w:rStyle w:val="22"/>
                <w:rFonts w:hint="eastAsia" w:ascii="仿宋_GB2312" w:hAnsi="仿宋_GB2312" w:eastAsia="仿宋_GB2312" w:cs="仿宋_GB2312"/>
                <w:sz w:val="21"/>
                <w:szCs w:val="21"/>
                <w:lang w:val="en-US" w:eastAsia="zh-CN" w:bidi="ar"/>
              </w:rPr>
              <w:t>得满分，每降低</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扣</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单位</w:t>
            </w:r>
            <w:r>
              <w:rPr>
                <w:rFonts w:hint="eastAsia" w:ascii="仿宋_GB2312" w:hAnsi="仿宋_GB2312" w:eastAsia="仿宋_GB2312" w:cs="仿宋_GB2312"/>
                <w:kern w:val="0"/>
                <w:sz w:val="21"/>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满意度指标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服务对象满意度指标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在校师生的满意程度</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在校师生的满意程度</w:t>
            </w:r>
          </w:p>
        </w:tc>
        <w:tc>
          <w:tcPr>
            <w:tcW w:w="872"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10分在校师生的满意度达到95%得满分，每降低1%扣1分，扣完为止。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满意度指标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服务对象满意度指标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家长的满意程度</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家长的满意程度</w:t>
            </w:r>
          </w:p>
        </w:tc>
        <w:tc>
          <w:tcPr>
            <w:tcW w:w="872"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10分家长的满意度达到95%得满分，每降低1%扣1分，扣完为止。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8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1.廊坊市广阳区万庄镇大伍龙小学对2022年在校学生461人，按照义务教育生均公用经费标准申请财政预算金，通过合理、合规使用资金达到保证学校正常运转。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12"/>
        <w:gridCol w:w="1542"/>
        <w:gridCol w:w="2654"/>
        <w:gridCol w:w="882"/>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8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6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461人</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3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1.廊坊市广阳区万庄镇大伍龙小学对2022年在校学生461人，按照义务教育生均公用经费标准申请财政预算资金，通过合理、合规使用资金达到保障学校正常运转。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719"/>
        <w:gridCol w:w="3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29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461人</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用生均公用经费保障学校正常运转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1.缓解教师短缺，保障教育教学正常运转。</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 、家长对合同制教师的满意度达到95%以上。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保障合同制教师2人工资福利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不同学科合同制教师岗位目标明确，并得以完成</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按月支付合同制教师工资及缴纳社会保障及时</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及时提供教学用品、保障教学设备、设施正常运转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≤3.72万元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5.校园教室及辅助用房室内装修资金绩效目标表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需要翻建房屋2760平方米</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2760平方米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6.校园平房防水资金绩效目标表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需要翻建房屋面积1800平方米</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7.修缮校园操场围墙及文化建设资金绩效目标表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1.教育经费用于弥补办公经费不足，改善教学条件，提高教育教学环境，为义务教育教学工作正常进行提供保障。主要支出范围是：修缮校园操场围墙及文化建设资金。</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平方米数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需要修缮和文化建设平方米数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学校围墙修缮</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美观，赏心悦目。</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明确执行</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围墙安全牢固性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修缮牢固，安全。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修缮美化改进及时，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成本等于预算金额。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达到环境育人的目的。</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安全坚固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促进教育发展，提高学生综合素质。</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达到长期育人的目的。</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7" w:name="_Toc_4_4_0000000011"/>
      <w:r>
        <w:rPr>
          <w:rFonts w:hint="eastAsia" w:ascii="仿宋_GB2312" w:hAnsi="仿宋_GB2312" w:eastAsia="仿宋_GB2312" w:cs="仿宋_GB2312"/>
          <w:color w:val="000000"/>
          <w:sz w:val="28"/>
        </w:rPr>
        <w:t>8.幼儿园生均经费绩效目标表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6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6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1.保障学前教育学校运转。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2.改善学校办学条件。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3.促进学前教育均衡发展及幼儿素质提高。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67"/>
        <w:gridCol w:w="945"/>
        <w:gridCol w:w="3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6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85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申请生均公用经费的学生数</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按文件要求申请经费的幼儿数</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135人</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生均公用经费使用的合格率</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生均公用经费的使用符合文件规定</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保障学校正常运转项目完成及时率</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使用生均公用经费保障学校项目完成情况</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使用经费保障学校运转</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生均公用经费正常运转成本等于400元/生</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用于学校正常运转，改善办学条件</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调查文件</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9</w:t>
      </w:r>
      <w:r>
        <w:rPr>
          <w:rFonts w:ascii="Times New Roman" w:hAnsi="Times New Roman" w:eastAsia="仿宋_GB2312" w:cs="Times New Roman"/>
          <w:sz w:val="28"/>
        </w:rPr>
        <w:t>.园中前排平房翻建（项目名称）绩效目标表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numPr>
                <w:ilvl w:val="0"/>
                <w:numId w:val="0"/>
              </w:num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w:t>
            </w:r>
            <w:r>
              <w:rPr>
                <w:rFonts w:ascii="Times New Roman" w:hAnsi="Times New Roman" w:eastAsia="仿宋_GB2312" w:cs="Times New Roman"/>
                <w:kern w:val="2"/>
                <w:sz w:val="21"/>
                <w:szCs w:val="22"/>
                <w:lang w:val="en-US" w:eastAsia="zh-CN" w:bidi="ar-SA"/>
              </w:rPr>
              <w:t>弥补办公经费不足，保障教育教学正常的进行。</w:t>
            </w:r>
          </w:p>
          <w:p>
            <w:pPr>
              <w:pStyle w:val="14"/>
              <w:numPr>
                <w:ilvl w:val="0"/>
                <w:numId w:val="0"/>
              </w:numPr>
              <w:ind w:left="0" w:leftChars="0" w:firstLine="0" w:firstLineChars="0"/>
              <w:rPr>
                <w:rFonts w:ascii="Times New Roman" w:hAnsi="Times New Roman" w:eastAsia="仿宋_GB2312" w:cs="Times New Roman"/>
                <w:b/>
              </w:rPr>
            </w:pPr>
            <w:r>
              <w:rPr>
                <w:rFonts w:hint="eastAsia" w:ascii="Times New Roman" w:hAnsi="Times New Roman" w:eastAsia="仿宋_GB2312" w:cs="Times New Roman"/>
                <w:kern w:val="2"/>
                <w:sz w:val="21"/>
                <w:szCs w:val="22"/>
                <w:lang w:val="en-US" w:eastAsia="zh-CN" w:bidi="ar-SA"/>
              </w:rPr>
              <w:t>2、</w:t>
            </w:r>
            <w:r>
              <w:rPr>
                <w:rFonts w:ascii="Times New Roman" w:hAnsi="Times New Roman" w:eastAsia="仿宋_GB2312" w:cs="Times New Roman"/>
                <w:kern w:val="2"/>
                <w:sz w:val="21"/>
                <w:szCs w:val="22"/>
                <w:lang w:val="en-US" w:eastAsia="zh-CN" w:bidi="ar-SA"/>
              </w:rPr>
              <w:t>改善办学条件，提高教育教学环境。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保12个月教学正常运转</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需</w:t>
            </w:r>
            <w:r>
              <w:rPr>
                <w:rFonts w:hint="eastAsia" w:ascii="Times New Roman" w:hAnsi="Times New Roman" w:eastAsia="仿宋_GB2312" w:cs="Times New Roman"/>
                <w:kern w:val="2"/>
                <w:sz w:val="21"/>
                <w:szCs w:val="22"/>
                <w:lang w:val="en-US" w:eastAsia="zh-CN" w:bidi="ar-SA"/>
              </w:rPr>
              <w:t>翻建房屋发120</w:t>
            </w:r>
            <w:r>
              <w:rPr>
                <w:rFonts w:ascii="Times New Roman" w:hAnsi="Times New Roman" w:eastAsia="仿宋_GB2312" w:cs="Times New Roman"/>
                <w:kern w:val="2"/>
                <w:sz w:val="21"/>
                <w:szCs w:val="22"/>
                <w:lang w:val="en-US" w:eastAsia="zh-CN" w:bidi="ar-SA"/>
              </w:rPr>
              <w:t>平米</w:t>
            </w:r>
          </w:p>
        </w:tc>
        <w:tc>
          <w:tcPr>
            <w:tcW w:w="1843" w:type="dxa"/>
            <w:shd w:val="clear" w:color="auto" w:fill="auto"/>
            <w:vAlign w:val="center"/>
          </w:tcPr>
          <w:p>
            <w:pPr>
              <w:pStyle w:val="14"/>
              <w:rPr>
                <w:rFonts w:ascii="Times New Roman" w:hAnsi="Times New Roman" w:eastAsia="仿宋_GB2312" w:cs="Times New Roman"/>
              </w:rPr>
            </w:pPr>
            <w:r>
              <w:rPr>
                <w:rFonts w:hint="eastAsia" w:ascii="Times New Roman" w:hAnsi="Times New Roman" w:eastAsia="仿宋_GB2312" w:cs="Times New Roman"/>
                <w:kern w:val="2"/>
                <w:sz w:val="21"/>
                <w:szCs w:val="22"/>
                <w:lang w:val="en-US" w:eastAsia="zh-CN" w:bidi="ar-SA"/>
              </w:rPr>
              <w:t>120</w:t>
            </w:r>
            <w:r>
              <w:rPr>
                <w:rFonts w:ascii="Times New Roman" w:hAnsi="Times New Roman" w:eastAsia="仿宋_GB2312" w:cs="Times New Roman"/>
                <w:kern w:val="2"/>
                <w:sz w:val="21"/>
                <w:szCs w:val="22"/>
                <w:lang w:val="en-US" w:eastAsia="zh-CN" w:bidi="ar-SA"/>
              </w:rPr>
              <w:t>平米</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廊坊市广阳区教育和体育局关于拨付2021年学校校园内地面整修的资金（[2021]86号）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物资采购合格率</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保障日常教学器材及物资充裕</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用于保障学校正常运转项目完成及时率</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及时提供的教学用品、保障教学设施、设备正常运行</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经费支出成本</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经费各项支出不高于项目资金总额</w:t>
            </w:r>
          </w:p>
        </w:tc>
        <w:tc>
          <w:tcPr>
            <w:tcW w:w="1843" w:type="dxa"/>
            <w:shd w:val="clear" w:color="auto" w:fill="auto"/>
            <w:vAlign w:val="center"/>
          </w:tcPr>
          <w:p>
            <w:pPr>
              <w:pStyle w:val="14"/>
              <w:rPr>
                <w:rFonts w:ascii="Times New Roman" w:hAnsi="Times New Roman" w:eastAsia="仿宋_GB2312" w:cs="Times New Roman"/>
              </w:rPr>
            </w:pPr>
            <w:r>
              <w:rPr>
                <w:rFonts w:hint="eastAsia" w:ascii="Times New Roman" w:hAnsi="Times New Roman" w:eastAsia="仿宋_GB2312" w:cs="Times New Roman"/>
                <w:kern w:val="2"/>
                <w:sz w:val="21"/>
                <w:szCs w:val="22"/>
                <w:lang w:val="en-US" w:eastAsia="zh-CN" w:bidi="ar-SA"/>
              </w:rPr>
              <w:t>28.8</w:t>
            </w:r>
            <w:r>
              <w:rPr>
                <w:rFonts w:ascii="Times New Roman" w:hAnsi="Times New Roman" w:eastAsia="仿宋_GB2312" w:cs="Times New Roman"/>
                <w:kern w:val="2"/>
                <w:sz w:val="21"/>
                <w:szCs w:val="22"/>
                <w:lang w:val="en-US" w:eastAsia="zh-CN" w:bidi="ar-SA"/>
              </w:rPr>
              <w:t>万元</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义务教育高质量发展</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推动义务教育从数量扩张向质量提高转变</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提高</w:t>
            </w:r>
          </w:p>
        </w:tc>
        <w:tc>
          <w:tcPr>
            <w:tcW w:w="2155" w:type="dxa"/>
            <w:shd w:val="clear" w:color="auto" w:fill="auto"/>
            <w:vAlign w:val="center"/>
          </w:tcPr>
          <w:p>
            <w:pPr>
              <w:pStyle w:val="14"/>
              <w:rPr>
                <w:rFonts w:ascii="Times New Roman" w:hAnsi="Times New Roman" w:eastAsia="仿宋_GB2312" w:cs="Times New Roman"/>
              </w:rPr>
            </w:pPr>
            <w:r>
              <w:rPr>
                <w:rFonts w:hint="eastAsia" w:ascii="Times New Roman" w:hAnsi="Times New Roman" w:eastAsia="仿宋_GB2312" w:cs="Times New Roman"/>
                <w:kern w:val="2"/>
                <w:sz w:val="21"/>
                <w:szCs w:val="22"/>
                <w:lang w:val="en-US" w:eastAsia="zh-CN" w:bidi="ar-SA"/>
              </w:rPr>
              <w:t>单位</w:t>
            </w:r>
            <w:r>
              <w:rPr>
                <w:rFonts w:ascii="Times New Roman" w:hAnsi="Times New Roman" w:eastAsia="仿宋_GB2312" w:cs="Times New Roman"/>
                <w:kern w:val="2"/>
                <w:sz w:val="21"/>
                <w:szCs w:val="22"/>
                <w:lang w:val="en-US" w:eastAsia="zh-CN" w:bidi="ar-SA"/>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在校师生的满意程度</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在校师生的满意程度</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家长的满意程度</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家长的满意程度</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调查问卷</w:t>
            </w:r>
          </w:p>
        </w:tc>
      </w:tr>
    </w:tbl>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8"/>
    <w:p>
      <w:pPr>
        <w:jc w:val="center"/>
        <w:outlineLvl w:val="1"/>
        <w:rPr>
          <w:rFonts w:ascii="方正小标宋_GBK" w:eastAsia="方正小标宋_GBK" w:cs="Times New Roman"/>
          <w:sz w:val="32"/>
        </w:rPr>
      </w:pPr>
      <w:bookmarkStart w:id="9"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9"/>
    </w:p>
    <w:p>
      <w:pPr>
        <w:outlineLvl w:val="1"/>
        <w:rPr>
          <w:rFonts w:ascii="方正小标宋_GBK" w:eastAsia="方正小标宋_GBK" w:cs="Times New Roman"/>
          <w:sz w:val="32"/>
        </w:rPr>
      </w:pPr>
      <w:r>
        <w:rPr>
          <w:rFonts w:hint="eastAsia"/>
        </w:rPr>
        <w:t>廊坊市广阳区万庄镇大伍龙小学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2504" w:type="pct"/>
            <w:gridSpan w:val="8"/>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政府采购金额（当年</w:t>
            </w:r>
            <w:r>
              <w:rPr>
                <w:rFonts w:hint="eastAsia"/>
                <w:lang w:eastAsia="zh-CN"/>
              </w:rPr>
              <w:t>单位</w:t>
            </w:r>
            <w:r>
              <w:t>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318"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rPr>
                <w:rFonts w:hint="default"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廊坊市</w:t>
      </w:r>
      <w:r>
        <w:rPr>
          <w:rFonts w:hint="eastAsia" w:ascii="Times New Roman" w:hAnsi="Times New Roman" w:eastAsia="仿宋_GB2312" w:cs="Times New Roman"/>
          <w:sz w:val="32"/>
          <w:szCs w:val="32"/>
          <w:highlight w:val="none"/>
          <w:lang w:eastAsia="zh-CN"/>
        </w:rPr>
        <w:t>广阳区</w:t>
      </w:r>
      <w:r>
        <w:rPr>
          <w:rFonts w:hint="eastAsia" w:ascii="Times New Roman" w:hAnsi="Times New Roman" w:eastAsia="仿宋_GB2312" w:cs="Times New Roman"/>
          <w:sz w:val="32"/>
          <w:szCs w:val="32"/>
          <w:highlight w:val="none"/>
          <w:lang w:val="en-US" w:eastAsia="zh-CN"/>
        </w:rPr>
        <w:t>万庄镇大伍龙小学</w:t>
      </w:r>
      <w:r>
        <w:rPr>
          <w:rFonts w:ascii="Times New Roman" w:hAnsi="Times New Roman" w:eastAsia="仿宋_GB2312" w:cs="Times New Roman"/>
          <w:sz w:val="32"/>
          <w:szCs w:val="32"/>
          <w:highlight w:val="none"/>
        </w:rPr>
        <w:t>（含所属单位）上年末固定资产金额为</w:t>
      </w:r>
      <w:r>
        <w:rPr>
          <w:rFonts w:hint="eastAsia" w:ascii="Times New Roman" w:hAnsi="Times New Roman" w:eastAsia="仿宋_GB2312" w:cs="Times New Roman"/>
          <w:sz w:val="32"/>
          <w:szCs w:val="32"/>
          <w:highlight w:val="none"/>
          <w:lang w:val="en-US" w:eastAsia="zh-CN"/>
        </w:rPr>
        <w:t>503.7</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（详见下表）</w:t>
      </w:r>
      <w:r>
        <w:rPr>
          <w:rFonts w:ascii="Times New Roman" w:hAnsi="Times New Roman" w:eastAsia="仿宋_GB2312" w:cs="Times New Roman"/>
          <w:sz w:val="32"/>
          <w:szCs w:val="32"/>
          <w:highlight w:val="none"/>
        </w:rPr>
        <w:t>，本年度我</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拟购置固定资产</w:t>
      </w:r>
      <w:r>
        <w:rPr>
          <w:rFonts w:hint="eastAsia" w:ascii="Times New Roman" w:hAnsi="Times New Roman" w:eastAsia="仿宋_GB2312" w:cs="Times New Roman"/>
          <w:sz w:val="32"/>
          <w:szCs w:val="32"/>
          <w:highlight w:val="none"/>
        </w:rPr>
        <w:t>总额为</w:t>
      </w:r>
      <w:r>
        <w:rPr>
          <w:rFonts w:hint="eastAsia" w:ascii="Times New Roman" w:hAnsi="Times New Roman" w:eastAsia="仿宋_GB2312" w:cs="Times New Roman"/>
          <w:sz w:val="32"/>
          <w:szCs w:val="32"/>
          <w:highlight w:val="none"/>
          <w:lang w:val="en-US" w:eastAsia="zh-CN"/>
        </w:rPr>
        <w:t>503.7</w:t>
      </w:r>
      <w:r>
        <w:rPr>
          <w:rFonts w:hint="eastAsia" w:ascii="Times New Roman" w:hAnsi="Times New Roman" w:eastAsia="仿宋_GB2312" w:cs="Times New Roman"/>
          <w:sz w:val="32"/>
          <w:szCs w:val="32"/>
          <w:highlight w:val="none"/>
        </w:rPr>
        <w:t>万元，</w:t>
      </w:r>
      <w:r>
        <w:rPr>
          <w:rFonts w:ascii="Times New Roman" w:hAnsi="Times New Roman" w:eastAsia="仿宋_GB2312" w:cs="Times New Roman"/>
          <w:sz w:val="32"/>
          <w:szCs w:val="32"/>
          <w:highlight w:val="none"/>
        </w:rPr>
        <w:t>主要为</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房屋建筑、</w:t>
      </w:r>
      <w:r>
        <w:rPr>
          <w:rFonts w:ascii="Times New Roman" w:hAnsi="Times New Roman" w:eastAsia="仿宋_GB2312" w:cs="Times New Roman"/>
          <w:sz w:val="32"/>
          <w:szCs w:val="32"/>
          <w:highlight w:val="none"/>
        </w:rPr>
        <w:t>计算机设备、打印设备、空调、办公家具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等，已列入政府采购预算</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详见</w:t>
      </w:r>
      <w:r>
        <w:rPr>
          <w:rFonts w:hint="eastAsia" w:ascii="Times New Roman" w:hAnsi="Times New Roman" w:eastAsia="仿宋_GB2312" w:cs="Times New Roman"/>
          <w:sz w:val="32"/>
          <w:szCs w:val="32"/>
          <w:highlight w:val="none"/>
        </w:rPr>
        <w:t>政府采购</w:t>
      </w:r>
      <w:r>
        <w:rPr>
          <w:rFonts w:ascii="Times New Roman" w:hAnsi="Times New Roman" w:eastAsia="仿宋_GB2312" w:cs="Times New Roman"/>
          <w:sz w:val="32"/>
          <w:szCs w:val="32"/>
          <w:highlight w:val="none"/>
        </w:rPr>
        <w:t>预算表。</w:t>
      </w:r>
    </w:p>
    <w:p>
      <w:pPr>
        <w:spacing w:line="584" w:lineRule="exact"/>
        <w:ind w:firstLine="640"/>
        <w:rPr>
          <w:rFonts w:ascii="Times New Roman" w:hAnsi="Times New Roman" w:eastAsia="仿宋_GB2312" w:cs="Times New Roman"/>
          <w:sz w:val="32"/>
          <w:szCs w:val="32"/>
          <w:highlight w:val="none"/>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廊坊市</w:t>
            </w:r>
            <w:r>
              <w:rPr>
                <w:rFonts w:hint="eastAsia" w:ascii="Times New Roman" w:hAnsi="Times New Roman" w:eastAsia="仿宋_GB2312" w:cs="Times New Roman"/>
                <w:b/>
                <w:bCs/>
                <w:kern w:val="0"/>
                <w:sz w:val="32"/>
                <w:szCs w:val="32"/>
                <w:highlight w:val="none"/>
                <w:lang w:eastAsia="zh-CN"/>
              </w:rPr>
              <w:t>广阳区区</w:t>
            </w:r>
            <w:r>
              <w:rPr>
                <w:rFonts w:ascii="Times New Roman" w:hAnsi="Times New Roman" w:eastAsia="仿宋_GB2312" w:cs="Times New Roman"/>
                <w:b/>
                <w:bCs/>
                <w:kern w:val="0"/>
                <w:sz w:val="32"/>
                <w:szCs w:val="32"/>
                <w:highlight w:val="none"/>
              </w:rPr>
              <w:t>直</w:t>
            </w:r>
            <w:r>
              <w:rPr>
                <w:rFonts w:hint="eastAsia" w:ascii="Times New Roman" w:hAnsi="Times New Roman" w:eastAsia="仿宋_GB2312" w:cs="Times New Roman"/>
                <w:b/>
                <w:bCs/>
                <w:kern w:val="0"/>
                <w:sz w:val="32"/>
                <w:szCs w:val="32"/>
                <w:highlight w:val="none"/>
                <w:lang w:eastAsia="zh-CN"/>
              </w:rPr>
              <w:t>单位</w:t>
            </w:r>
            <w:r>
              <w:rPr>
                <w:rFonts w:ascii="Times New Roman" w:hAnsi="Times New Roman" w:eastAsia="仿宋_GB2312" w:cs="Times New Roman"/>
                <w:b/>
                <w:bCs/>
                <w:kern w:val="0"/>
                <w:sz w:val="32"/>
                <w:szCs w:val="32"/>
                <w:highlight w:val="none"/>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highlight w:val="none"/>
                <w:lang w:val="en-US"/>
              </w:rPr>
            </w:pPr>
            <w:r>
              <w:rPr>
                <w:rFonts w:ascii="Times New Roman" w:hAnsi="Times New Roman" w:eastAsia="仿宋_GB2312" w:cs="Times New Roman"/>
                <w:kern w:val="0"/>
                <w:sz w:val="22"/>
                <w:highlight w:val="none"/>
              </w:rPr>
              <w:t>编制</w:t>
            </w:r>
            <w:r>
              <w:rPr>
                <w:rFonts w:hint="eastAsia" w:ascii="Times New Roman" w:hAnsi="Times New Roman" w:eastAsia="仿宋_GB2312" w:cs="Times New Roman"/>
                <w:kern w:val="0"/>
                <w:sz w:val="22"/>
                <w:highlight w:val="none"/>
                <w:lang w:eastAsia="zh-CN"/>
              </w:rPr>
              <w:t>单位</w:t>
            </w:r>
            <w:r>
              <w:rPr>
                <w:rFonts w:ascii="Times New Roman" w:hAnsi="Times New Roman" w:eastAsia="仿宋_GB2312" w:cs="Times New Roman"/>
                <w:kern w:val="0"/>
                <w:sz w:val="22"/>
                <w:highlight w:val="none"/>
              </w:rPr>
              <w:t>：廊坊市</w:t>
            </w:r>
            <w:r>
              <w:rPr>
                <w:rFonts w:hint="eastAsia" w:ascii="Times New Roman" w:hAnsi="Times New Roman" w:eastAsia="仿宋_GB2312" w:cs="Times New Roman"/>
                <w:kern w:val="0"/>
                <w:sz w:val="22"/>
                <w:highlight w:val="none"/>
                <w:lang w:eastAsia="zh-CN"/>
              </w:rPr>
              <w:t>广阳区</w:t>
            </w:r>
            <w:r>
              <w:rPr>
                <w:rFonts w:hint="eastAsia" w:ascii="Times New Roman" w:hAnsi="Times New Roman" w:eastAsia="仿宋_GB2312" w:cs="Times New Roman"/>
                <w:kern w:val="0"/>
                <w:sz w:val="22"/>
                <w:highlight w:val="none"/>
                <w:lang w:val="en-US" w:eastAsia="zh-CN"/>
              </w:rPr>
              <w:t>万庄镇大伍龙小学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截止时间：20</w:t>
            </w:r>
            <w:r>
              <w:rPr>
                <w:rFonts w:hint="eastAsia" w:ascii="Times New Roman" w:hAnsi="Times New Roman" w:eastAsia="仿宋_GB2312" w:cs="Times New Roman"/>
                <w:kern w:val="0"/>
                <w:sz w:val="22"/>
                <w:highlight w:val="none"/>
              </w:rPr>
              <w:t>2</w:t>
            </w:r>
            <w:r>
              <w:rPr>
                <w:rFonts w:ascii="Times New Roman" w:hAnsi="Times New Roman" w:eastAsia="仿宋_GB2312" w:cs="Times New Roman"/>
                <w:kern w:val="0"/>
                <w:sz w:val="22"/>
                <w:highlight w:val="none"/>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503.7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1482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352.6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206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4B9A23-DB71-4BDE-903E-756CC9BFCA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5546E20A-6FD2-445E-8655-C101411EFBDC}"/>
  </w:font>
  <w:font w:name="仿宋_GB2312">
    <w:panose1 w:val="02010609030101010101"/>
    <w:charset w:val="86"/>
    <w:family w:val="modern"/>
    <w:pitch w:val="default"/>
    <w:sig w:usb0="00000001" w:usb1="080E0000" w:usb2="00000000" w:usb3="00000000" w:csb0="00040000" w:csb1="00000000"/>
    <w:embedRegular r:id="rId3" w:fontKey="{CC4BDAB2-EEC7-4465-BF90-C7D4D8D3FFC7}"/>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1210426"/>
    <w:rsid w:val="03835ABD"/>
    <w:rsid w:val="064B7681"/>
    <w:rsid w:val="06EB17BD"/>
    <w:rsid w:val="077F0D9F"/>
    <w:rsid w:val="08A22FB0"/>
    <w:rsid w:val="0A1C11F2"/>
    <w:rsid w:val="0B6A081C"/>
    <w:rsid w:val="0CEC1180"/>
    <w:rsid w:val="16BC1C2B"/>
    <w:rsid w:val="17703CFF"/>
    <w:rsid w:val="190E7B76"/>
    <w:rsid w:val="1ACC3887"/>
    <w:rsid w:val="1DFC24B8"/>
    <w:rsid w:val="1E8C0EA5"/>
    <w:rsid w:val="1FBC739C"/>
    <w:rsid w:val="274A0CAC"/>
    <w:rsid w:val="284B1D89"/>
    <w:rsid w:val="2B3E79F5"/>
    <w:rsid w:val="2F2F3467"/>
    <w:rsid w:val="2FC76736"/>
    <w:rsid w:val="2FEB553F"/>
    <w:rsid w:val="34101C3F"/>
    <w:rsid w:val="354B32C5"/>
    <w:rsid w:val="358769AB"/>
    <w:rsid w:val="36F74743"/>
    <w:rsid w:val="371B2A12"/>
    <w:rsid w:val="3C6D2E75"/>
    <w:rsid w:val="40D5422C"/>
    <w:rsid w:val="41A63418"/>
    <w:rsid w:val="4256495C"/>
    <w:rsid w:val="42615727"/>
    <w:rsid w:val="42C4656D"/>
    <w:rsid w:val="46D87D11"/>
    <w:rsid w:val="49F52E57"/>
    <w:rsid w:val="4AFC64BF"/>
    <w:rsid w:val="4D0776B9"/>
    <w:rsid w:val="4DC24BAF"/>
    <w:rsid w:val="4E11469D"/>
    <w:rsid w:val="4E5145ED"/>
    <w:rsid w:val="4E607E23"/>
    <w:rsid w:val="528F2803"/>
    <w:rsid w:val="56463E40"/>
    <w:rsid w:val="566E1937"/>
    <w:rsid w:val="56F51370"/>
    <w:rsid w:val="584A5AF7"/>
    <w:rsid w:val="5A743C97"/>
    <w:rsid w:val="5AF40CC7"/>
    <w:rsid w:val="61016051"/>
    <w:rsid w:val="61AF246D"/>
    <w:rsid w:val="63B37481"/>
    <w:rsid w:val="667F75BE"/>
    <w:rsid w:val="6885781B"/>
    <w:rsid w:val="697F624A"/>
    <w:rsid w:val="6C221737"/>
    <w:rsid w:val="6D677C52"/>
    <w:rsid w:val="6E444337"/>
    <w:rsid w:val="6F59146C"/>
    <w:rsid w:val="711C6AB9"/>
    <w:rsid w:val="73693C55"/>
    <w:rsid w:val="7542340B"/>
    <w:rsid w:val="7F055432"/>
    <w:rsid w:val="7F1D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2">
    <w:name w:val="font21"/>
    <w:basedOn w:val="9"/>
    <w:qFormat/>
    <w:uiPriority w:val="0"/>
    <w:rPr>
      <w:rFonts w:hint="eastAsia" w:ascii="宋体" w:hAnsi="宋体" w:eastAsia="宋体" w:cs="宋体"/>
      <w:color w:val="000000"/>
      <w:sz w:val="12"/>
      <w:szCs w:val="12"/>
      <w:u w:val="none"/>
    </w:rPr>
  </w:style>
  <w:style w:type="character" w:customStyle="1" w:styleId="23">
    <w:name w:val="font31"/>
    <w:basedOn w:val="9"/>
    <w:qFormat/>
    <w:uiPriority w:val="0"/>
    <w:rPr>
      <w:rFonts w:hint="default" w:ascii="Calibri" w:hAnsi="Calibri" w:cs="Calibri"/>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2</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2023-08-01T09:43:09Z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1B3EB5E3848446428D11B8947C6A306F</vt:lpwstr>
  </property>
</Properties>
</file>