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bookmarkStart w:id="8" w:name="_GoBack"/>
      <w:bookmarkEnd w:id="8"/>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广阳区九州镇赵各庄中心小学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广阳区九州镇赵各庄中心小学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为全民事业单位，全额事业单位。学校的主要职责是:全面贯彻国家教育方针，培养学生的创新精神与实践能力，使之成为社会主义事业的建设者和接班人。我校是全日制完全小学，学校为公益一类、全额拨款事业单位。承担义务教育小学阶段的教育教学。</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内设机构各处室职责: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(一)教导处工作职责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教导处是负责全校教学工作的重要办事机构,在学校起着参谋和总调度的作用。负责计划、组织、检查总结全校教学工作、教研工作，以及处理日常教务行政等事宜,协助校长完成领导管理教学任务，具体职责是:</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学期(或学年)开始前工作: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1.根据学校的工作计划制订具体的教学工作计划以及必要的规章制度。</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2.协助校长做好教学力量的安排及聘任工作。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3做好义务教育工作。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4.根据教学计划,征订师生用书及所需的教学参考资料,做好课本、教学资料的分发工作。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5编印或准备好校历表、课程表、作息时间表,活动安排总表以及各种教学用表册(点名册、成绩册)。</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日常工作: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1.督促和检查教师认真贯彻执行各种计划。</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2管理好教导处的工作档案及时提供有关教学基本情况和数据掌握动向,提出建议,贯彻领导意图。</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3组织好教师认真学习贯彻执行,科学地组织,认真抓好教学常规的五个基本环节(备课、上课、作业、复习、考试)的实施协调,检查评估和总结反馈。</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4根据学籍管理规定，认真做好学生学籍管理工作,建立学籍变动档案,毕业生档案,升学及毕业去向的跟踪档案。</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5.做好教师的考勤工作,及时安排好调课、代课。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指导图书馆、阅览室、实验室的工作为教学服务做好图书阅览室、资料室的书籍征订、选购工作。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.有计划地组织全校教师学习教育教学理论,积极进行教育教学改革实验,并组织经验交流和总结努力提高各学科的教育教学质量。</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.领导教研组工作,经常深入各教研组了解教学情况促进教研活动和教学改革活动的深入开展。</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组织管理学科竞赛并把有关资料建档。</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.组织和管理教师的论文汇编、论文的收集和归档。</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.组织和管理市、具、校各级研究课题。</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按校务公开要求及时公开内容。</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.承担教育教学科研课题。</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.做好听课、开课的登记工作。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.负责全体教职工的继续教育的编册、验印等工作。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学期末(或学年末)工作: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1.检查各年级学科教学进度,教学计划完成情况。</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2.安排好期末复习考试工作(考试科目、时间安排、监考、评卷、登分)组织好期末考试工作,严肃考试纪律。</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抓好期末成绩、学年成绩的评定工作,以及各学科期末考试成绩的质量分析和统计，各班级成绩的汇总、统计和分析。</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.布置和收集教师教学工作总结,做好全校教学工作总结。</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.组织布置班级做好学生成绩报告工作。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.确定和布置学生的寒暑假作业。</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(二)总务处工作职责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认真贯彻执行党的各项方针积极地保证教育事业计划的顺利实现,为不断提高教育质量服务,努力搞好财务管理、财产管理、生活管理、安全管理等四个方面的工作。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1.财务管理</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(1)合理安排,正确执行预算(预算外资金收支计划),确保完成教育事业计划,积极地为教学服务,为师生生活服务,促进教育质量的提高。</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(2)严格执行会计制度,搞好会计核算。</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(3)负责保护国家财产的安全和合理使用。</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(4)逐步熟悉教学情况,提高资金使用效率。</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(5)制定财务管理制度。</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(6)根据党和国家的方针、政策及各项制度,正确地进行财务监督,维护财经纪律。</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2.财产管理</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(1)保证教育教学的需要,讲求财产对教育、教学、生活的适用,延长使用期限、提高使用效益。</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(2)有计划地充实与更新教学设备。</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(3)培养爱护公物的道德与良好使用习惯。</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(4)抵制各种侵犯学校公共财产的行为减少和避免公物的损失,维护财产的安全</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3.生活管理</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(1)增强师生员工的健康。</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(2)解除教工后顾之忧。</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(3)协助学校党组织认真做好落实党的知识分子政策的工作。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.安全管理</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(1)预防火灾、控制火源,管好消防器材,确保安全。</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(2)提高警惕,加强防盗措施。</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(3)防止体育锻炼伤害事故。</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(4)搞好劳动保护和安全生产。</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(5)校舍安全管理。</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(6)注意饮食卫生。</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廊坊市广阳区九州镇赵各庄中心小学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广阳区九州镇赵各庄中心小学</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bookmarkStart w:id="0" w:name="_Hlk97642894"/>
      <w:r>
        <w:rPr>
          <w:rFonts w:ascii="Times New Roman" w:hAnsi="Times New Roman" w:eastAsia="仿宋_GB2312" w:cs="Times New Roman"/>
          <w:sz w:val="32"/>
          <w:szCs w:val="32"/>
        </w:rPr>
        <w:t>66.95</w:t>
      </w:r>
      <w:bookmarkEnd w:id="0"/>
      <w:r>
        <w:rPr>
          <w:rFonts w:ascii="Times New Roman" w:hAnsi="Times New Roman" w:eastAsia="仿宋_GB2312" w:cs="Times New Roman"/>
          <w:sz w:val="32"/>
          <w:szCs w:val="32"/>
        </w:rPr>
        <w:t>万元，其中：一般公共预算收入66.95万元，基金预算收入0万元，财政专户核拨收入0万元，其他来源收入0万元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广阳区九州镇赵各庄中心小学2022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2年支出预算66.95万元，其中基本支出0万元，包括人员类项目经费0万元和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公用项目经费0万元；运转类其他及特定目标类项目支出66.95万元。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2年预算收支安排66.95万元，较20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lang w:val="en-US" w:eastAsia="zh-CN"/>
        </w:rPr>
        <w:t>增加66.95</w:t>
      </w:r>
      <w:r>
        <w:rPr>
          <w:rFonts w:ascii="Times New Roman" w:hAnsi="Times New Roman" w:eastAsia="仿宋_GB2312" w:cs="Times New Roman"/>
          <w:sz w:val="32"/>
          <w:szCs w:val="32"/>
        </w:rPr>
        <w:t>万元，其中：主要为</w:t>
      </w:r>
      <w:r>
        <w:rPr>
          <w:rFonts w:hint="eastAsia" w:ascii="Times New Roman" w:hAnsi="Times New Roman" w:eastAsia="仿宋_GB2312" w:cs="Times New Roman"/>
          <w:sz w:val="32"/>
          <w:szCs w:val="32"/>
          <w:lang w:val="en-US" w:eastAsia="zh-CN"/>
        </w:rPr>
        <w:t>特定目标类项目增</w:t>
      </w:r>
      <w:r>
        <w:rPr>
          <w:rFonts w:hint="eastAsia" w:ascii="Times New Roman" w:hAnsi="Times New Roman" w:eastAsia="仿宋_GB2312" w:cs="Times New Roman"/>
          <w:sz w:val="32"/>
          <w:szCs w:val="32"/>
        </w:rPr>
        <w:t>加支出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包括合同制教师人员经费、城乡义务教育生均公用经费、教育经费3个项目</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rPr>
        <w:t>我校</w:t>
      </w:r>
      <w:r>
        <w:rPr>
          <w:rFonts w:ascii="Times New Roman" w:hAnsi="Times New Roman" w:eastAsia="黑体" w:cs="Times New Roman"/>
          <w:sz w:val="32"/>
          <w:szCs w:val="32"/>
        </w:rPr>
        <w:t>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运行经费共计安排0万元，主要用于办公区的日常维修、办公用房水电费、办公用房取暖费、办公用房物业管理费等日常运行支出。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无公务用车</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提高义务教育公用经费保障水平，</w:t>
      </w:r>
      <w:r>
        <w:rPr>
          <w:rFonts w:ascii="Times New Roman" w:hAnsi="Times New Roman" w:eastAsia="仿宋_GB2312" w:cs="Times New Roman"/>
          <w:sz w:val="32"/>
          <w:szCs w:val="32"/>
        </w:rPr>
        <w:t>继续完善教育基础设施，推进学校建设，加快提升装备水平，</w:t>
      </w:r>
      <w:r>
        <w:rPr>
          <w:rFonts w:hint="eastAsia" w:ascii="Times New Roman" w:hAnsi="Times New Roman" w:eastAsia="仿宋_GB2312" w:cs="Times New Roman"/>
          <w:sz w:val="32"/>
          <w:szCs w:val="32"/>
        </w:rPr>
        <w:t>改善办学条件。</w:t>
      </w:r>
      <w:r>
        <w:rPr>
          <w:rFonts w:ascii="Times New Roman" w:hAnsi="Times New Roman" w:eastAsia="仿宋_GB2312" w:cs="Times New Roman"/>
          <w:sz w:val="32"/>
          <w:szCs w:val="32"/>
        </w:rPr>
        <w:t>打造一流教师队伍，补充师资力量，提高专业素质，完善考核机制；优化教育教学管理；消除大班额问题；</w:t>
      </w:r>
      <w:r>
        <w:rPr>
          <w:rFonts w:hint="eastAsia" w:ascii="Times New Roman" w:hAnsi="Times New Roman" w:eastAsia="仿宋_GB2312" w:cs="Times New Roman"/>
          <w:sz w:val="32"/>
          <w:szCs w:val="32"/>
        </w:rPr>
        <w:t>建立中小学校舍安全保障机制，提高素质教育水平，开展丰富多彩的教学活动。促进社会文化素质提高。</w:t>
      </w:r>
    </w:p>
    <w:p>
      <w:pPr>
        <w:spacing w:line="584" w:lineRule="exact"/>
        <w:ind w:firstLine="643" w:firstLineChars="200"/>
        <w:rPr>
          <w:rFonts w:hint="eastAsia" w:ascii="楷体_GB2312" w:eastAsia="楷体_GB2312" w:cs="Times New Roman"/>
          <w:b/>
          <w:sz w:val="32"/>
          <w:szCs w:val="32"/>
        </w:rPr>
      </w:pPr>
      <w:r>
        <w:rPr>
          <w:rFonts w:hint="eastAsia" w:ascii="楷体_GB2312" w:eastAsia="楷体_GB2312" w:cs="Times New Roman"/>
          <w:b/>
          <w:sz w:val="32"/>
          <w:szCs w:val="32"/>
        </w:rPr>
        <w:t>（二）分项绩效目标</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1、提高义务教育水平，免除农村小学生学杂费，提供免费教科书，解决大班额问题及入学难问题。对贫困小学生进行补助。</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2、按质按量完成教育教学方面的各项任务，稳步提升学校的教育教学质量，学生综合素质评价优秀率达到85%,合格率达到100%。</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7、办人民满意的学校,教师、学生、家长整体满意度达到90%以上。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1、成立学校监督小组，监督学校工作，强化工作落实。</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、加强政治理论学习，强化党风廉政建设。做好师德传承活动，落实老中青传帮带。弘扬办学精神。加强师德宣传与学习活动。开展形式多样、扎实有效的师德教育活动。</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4725" w:type="pct"/>
        <w:tblInd w:w="0" w:type="dxa"/>
        <w:tblLayout w:type="autofit"/>
        <w:tblCellMar>
          <w:top w:w="0" w:type="dxa"/>
          <w:left w:w="108" w:type="dxa"/>
          <w:bottom w:w="0" w:type="dxa"/>
          <w:right w:w="108" w:type="dxa"/>
        </w:tblCellMar>
      </w:tblPr>
      <w:tblGrid>
        <w:gridCol w:w="1094"/>
        <w:gridCol w:w="1212"/>
        <w:gridCol w:w="2167"/>
        <w:gridCol w:w="2314"/>
        <w:gridCol w:w="2314"/>
        <w:gridCol w:w="1039"/>
        <w:gridCol w:w="593"/>
        <w:gridCol w:w="1073"/>
        <w:gridCol w:w="1365"/>
      </w:tblGrid>
      <w:tr>
        <w:tblPrEx>
          <w:tblCellMar>
            <w:top w:w="0" w:type="dxa"/>
            <w:left w:w="108" w:type="dxa"/>
            <w:bottom w:w="0" w:type="dxa"/>
            <w:right w:w="108" w:type="dxa"/>
          </w:tblCellMar>
        </w:tblPrEx>
        <w:trPr>
          <w:trHeight w:val="360" w:hRule="atLeast"/>
        </w:trPr>
        <w:tc>
          <w:tcPr>
            <w:tcW w:w="4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4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82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8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绩效指标描述</w:t>
            </w:r>
          </w:p>
        </w:tc>
        <w:tc>
          <w:tcPr>
            <w:tcW w:w="8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评（扣）分标准</w:t>
            </w:r>
          </w:p>
        </w:tc>
        <w:tc>
          <w:tcPr>
            <w:tcW w:w="102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5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指标值确定依据</w:t>
            </w:r>
          </w:p>
        </w:tc>
      </w:tr>
      <w:tr>
        <w:tblPrEx>
          <w:tblCellMar>
            <w:top w:w="0" w:type="dxa"/>
            <w:left w:w="108" w:type="dxa"/>
            <w:bottom w:w="0" w:type="dxa"/>
            <w:right w:w="108" w:type="dxa"/>
          </w:tblCellMar>
        </w:tblPrEx>
        <w:trPr>
          <w:trHeight w:val="585" w:hRule="atLeast"/>
        </w:trPr>
        <w:tc>
          <w:tcPr>
            <w:tcW w:w="41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6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2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7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7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符号</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值</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单位（文字描述）</w:t>
            </w:r>
          </w:p>
        </w:tc>
        <w:tc>
          <w:tcPr>
            <w:tcW w:w="51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30" w:hRule="atLeast"/>
        </w:trPr>
        <w:tc>
          <w:tcPr>
            <w:tcW w:w="4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color w:val="000000"/>
                <w:kern w:val="0"/>
                <w:sz w:val="18"/>
                <w:szCs w:val="18"/>
              </w:rPr>
            </w:pPr>
            <w:r>
              <w:rPr>
                <w:rFonts w:cs="Calibri"/>
                <w:color w:val="000000"/>
                <w:kern w:val="0"/>
                <w:sz w:val="18"/>
                <w:szCs w:val="18"/>
              </w:rPr>
              <w:t>产出指标</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color w:val="000000"/>
                <w:kern w:val="0"/>
                <w:sz w:val="18"/>
                <w:szCs w:val="18"/>
              </w:rPr>
            </w:pPr>
            <w:r>
              <w:rPr>
                <w:rFonts w:cs="Calibri"/>
                <w:color w:val="000000"/>
                <w:kern w:val="0"/>
                <w:sz w:val="18"/>
                <w:szCs w:val="18"/>
              </w:rPr>
              <w:t>大学生工业设计创新大赛参赛作品</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小学生毕业生合格率</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20分毕业生合格率100%得满分，否则不得分</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100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岗位职责</w:t>
            </w:r>
          </w:p>
        </w:tc>
      </w:tr>
      <w:tr>
        <w:tblPrEx>
          <w:tblCellMar>
            <w:top w:w="0" w:type="dxa"/>
            <w:left w:w="108" w:type="dxa"/>
            <w:bottom w:w="0" w:type="dxa"/>
            <w:right w:w="108" w:type="dxa"/>
          </w:tblCellMar>
        </w:tblPrEx>
        <w:trPr>
          <w:trHeight w:val="330" w:hRule="atLeast"/>
        </w:trPr>
        <w:tc>
          <w:tcPr>
            <w:tcW w:w="41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Calibri"/>
                <w:color w:val="000000"/>
                <w:kern w:val="0"/>
                <w:sz w:val="18"/>
                <w:szCs w:val="18"/>
              </w:rPr>
            </w:pP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color w:val="000000"/>
                <w:kern w:val="0"/>
                <w:sz w:val="18"/>
                <w:szCs w:val="18"/>
              </w:rPr>
            </w:pPr>
            <w:r>
              <w:rPr>
                <w:rFonts w:cs="Calibri"/>
                <w:color w:val="000000"/>
                <w:kern w:val="0"/>
                <w:sz w:val="18"/>
                <w:szCs w:val="18"/>
              </w:rPr>
              <w:t>重点工作实际完成率</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重点工作实际完成率</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10分不低于95%得满分，否则不得分5每减少1%扣1分，扣完为止</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95</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实际工作</w:t>
            </w:r>
          </w:p>
        </w:tc>
      </w:tr>
      <w:tr>
        <w:tblPrEx>
          <w:tblCellMar>
            <w:top w:w="0" w:type="dxa"/>
            <w:left w:w="108" w:type="dxa"/>
            <w:bottom w:w="0" w:type="dxa"/>
            <w:right w:w="108" w:type="dxa"/>
          </w:tblCellMar>
        </w:tblPrEx>
        <w:trPr>
          <w:trHeight w:val="330" w:hRule="atLeast"/>
        </w:trPr>
        <w:tc>
          <w:tcPr>
            <w:tcW w:w="41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Calibri"/>
                <w:color w:val="000000"/>
                <w:kern w:val="0"/>
                <w:sz w:val="18"/>
                <w:szCs w:val="18"/>
              </w:rPr>
            </w:pP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color w:val="000000"/>
                <w:kern w:val="0"/>
                <w:sz w:val="18"/>
                <w:szCs w:val="18"/>
              </w:rPr>
            </w:pPr>
            <w:r>
              <w:rPr>
                <w:rFonts w:cs="Calibri"/>
                <w:color w:val="000000"/>
                <w:kern w:val="0"/>
                <w:sz w:val="18"/>
                <w:szCs w:val="18"/>
              </w:rPr>
              <w:t>采购物资、建设工程合格率</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采购物资、建设工程合格率</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20分合格率100%得满分，否则不得分</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100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质量评价标准</w:t>
            </w:r>
          </w:p>
        </w:tc>
      </w:tr>
      <w:tr>
        <w:tblPrEx>
          <w:tblCellMar>
            <w:top w:w="0" w:type="dxa"/>
            <w:left w:w="108" w:type="dxa"/>
            <w:bottom w:w="0" w:type="dxa"/>
            <w:right w:w="108" w:type="dxa"/>
          </w:tblCellMar>
        </w:tblPrEx>
        <w:trPr>
          <w:trHeight w:val="330" w:hRule="atLeast"/>
        </w:trPr>
        <w:tc>
          <w:tcPr>
            <w:tcW w:w="41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Calibri"/>
                <w:color w:val="000000"/>
                <w:kern w:val="0"/>
                <w:sz w:val="18"/>
                <w:szCs w:val="18"/>
              </w:rPr>
            </w:pP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color w:val="000000"/>
                <w:kern w:val="0"/>
                <w:sz w:val="18"/>
                <w:szCs w:val="18"/>
              </w:rPr>
            </w:pPr>
            <w:r>
              <w:rPr>
                <w:rFonts w:cs="Calibri"/>
                <w:color w:val="000000"/>
                <w:kern w:val="0"/>
                <w:sz w:val="18"/>
                <w:szCs w:val="18"/>
              </w:rPr>
              <w:t>学校的各项工作任务及时完成情况</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学校的各项工作任务及时完成情况</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10分及时完成得满分，否则不得分</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文字描述</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及时</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年初工作计划</w:t>
            </w:r>
          </w:p>
        </w:tc>
      </w:tr>
      <w:tr>
        <w:tblPrEx>
          <w:tblCellMar>
            <w:top w:w="0" w:type="dxa"/>
            <w:left w:w="108" w:type="dxa"/>
            <w:bottom w:w="0" w:type="dxa"/>
            <w:right w:w="108" w:type="dxa"/>
          </w:tblCellMar>
        </w:tblPrEx>
        <w:trPr>
          <w:trHeight w:val="330" w:hRule="atLeast"/>
        </w:trPr>
        <w:tc>
          <w:tcPr>
            <w:tcW w:w="41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Calibri"/>
                <w:color w:val="000000"/>
                <w:kern w:val="0"/>
                <w:sz w:val="18"/>
                <w:szCs w:val="18"/>
              </w:rPr>
            </w:pP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color w:val="000000"/>
                <w:kern w:val="0"/>
                <w:sz w:val="18"/>
                <w:szCs w:val="18"/>
              </w:rPr>
            </w:pPr>
            <w:r>
              <w:rPr>
                <w:rFonts w:cs="Calibri"/>
                <w:color w:val="000000"/>
                <w:kern w:val="0"/>
                <w:sz w:val="18"/>
                <w:szCs w:val="18"/>
              </w:rPr>
              <w:t>教育经费使用控制率</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支出的公用经费总额与预算安排的比率</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10分教育经费决算数不大于调整预算数得满分，否则不得分</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文字描述</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教育经费决算数不大于调整预算数</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实际工作</w:t>
            </w:r>
          </w:p>
        </w:tc>
      </w:tr>
      <w:tr>
        <w:tblPrEx>
          <w:tblCellMar>
            <w:top w:w="0" w:type="dxa"/>
            <w:left w:w="108" w:type="dxa"/>
            <w:bottom w:w="0" w:type="dxa"/>
            <w:right w:w="108" w:type="dxa"/>
          </w:tblCellMar>
        </w:tblPrEx>
        <w:trPr>
          <w:trHeight w:val="330" w:hRule="atLeast"/>
        </w:trPr>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color w:val="000000"/>
                <w:kern w:val="0"/>
                <w:sz w:val="18"/>
                <w:szCs w:val="18"/>
              </w:rPr>
            </w:pPr>
            <w:r>
              <w:rPr>
                <w:rFonts w:cs="Calibri"/>
                <w:color w:val="000000"/>
                <w:kern w:val="0"/>
                <w:sz w:val="18"/>
                <w:szCs w:val="18"/>
              </w:rPr>
              <w:t>效益指标</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color w:val="000000"/>
                <w:kern w:val="0"/>
                <w:sz w:val="18"/>
                <w:szCs w:val="18"/>
              </w:rPr>
            </w:pPr>
            <w:r>
              <w:rPr>
                <w:rFonts w:cs="Calibri"/>
                <w:color w:val="000000"/>
                <w:kern w:val="0"/>
                <w:sz w:val="18"/>
                <w:szCs w:val="18"/>
              </w:rPr>
              <w:t>义务教育高质量发展</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推动义务教育从数量扩张向质量提高转变</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10分学生、家长、社会对学校整体满意度达到95%得满分，每降低1%扣1分，扣完为止。</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95</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hint="eastAsia" w:cs="Calibri"/>
                <w:kern w:val="0"/>
                <w:sz w:val="18"/>
                <w:szCs w:val="18"/>
                <w:lang w:eastAsia="zh-CN"/>
              </w:rPr>
              <w:t>单位</w:t>
            </w:r>
            <w:r>
              <w:rPr>
                <w:rFonts w:cs="Calibri"/>
                <w:kern w:val="0"/>
                <w:sz w:val="18"/>
                <w:szCs w:val="18"/>
              </w:rPr>
              <w:t>职责</w:t>
            </w:r>
          </w:p>
        </w:tc>
      </w:tr>
      <w:tr>
        <w:tblPrEx>
          <w:tblCellMar>
            <w:top w:w="0" w:type="dxa"/>
            <w:left w:w="108" w:type="dxa"/>
            <w:bottom w:w="0" w:type="dxa"/>
            <w:right w:w="108" w:type="dxa"/>
          </w:tblCellMar>
        </w:tblPrEx>
        <w:trPr>
          <w:trHeight w:val="330" w:hRule="atLeast"/>
        </w:trPr>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color w:val="000000"/>
                <w:kern w:val="0"/>
                <w:sz w:val="18"/>
                <w:szCs w:val="18"/>
              </w:rPr>
            </w:pPr>
            <w:r>
              <w:rPr>
                <w:rFonts w:cs="Calibri"/>
                <w:color w:val="000000"/>
                <w:kern w:val="0"/>
                <w:sz w:val="18"/>
                <w:szCs w:val="18"/>
              </w:rPr>
              <w:t>满意度指标</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color w:val="000000"/>
                <w:kern w:val="0"/>
                <w:sz w:val="18"/>
                <w:szCs w:val="18"/>
              </w:rPr>
            </w:pPr>
            <w:r>
              <w:rPr>
                <w:rFonts w:cs="Calibri"/>
                <w:color w:val="000000"/>
                <w:kern w:val="0"/>
                <w:sz w:val="18"/>
                <w:szCs w:val="18"/>
              </w:rPr>
              <w:t>在校师生的满意程度</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在校师生的满意程度</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10分在校师生的满意度达到95%得满分，每降低1%扣1分，扣完为止。</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95</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调查问卷</w:t>
            </w:r>
          </w:p>
        </w:tc>
      </w:tr>
      <w:tr>
        <w:trPr>
          <w:trHeight w:val="330" w:hRule="atLeast"/>
        </w:trPr>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color w:val="000000"/>
                <w:kern w:val="0"/>
                <w:sz w:val="18"/>
                <w:szCs w:val="18"/>
              </w:rPr>
            </w:pPr>
            <w:r>
              <w:rPr>
                <w:rFonts w:cs="Calibri"/>
                <w:color w:val="000000"/>
                <w:kern w:val="0"/>
                <w:sz w:val="18"/>
                <w:szCs w:val="18"/>
              </w:rPr>
              <w:t>满意度指标</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color w:val="000000"/>
                <w:kern w:val="0"/>
                <w:sz w:val="18"/>
                <w:szCs w:val="18"/>
              </w:rPr>
            </w:pPr>
            <w:r>
              <w:rPr>
                <w:rFonts w:cs="Calibri"/>
                <w:color w:val="000000"/>
                <w:kern w:val="0"/>
                <w:sz w:val="18"/>
                <w:szCs w:val="18"/>
              </w:rPr>
              <w:t>家长的满意程度</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家长的满意程度</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10分家长的满意度达到95%得满分，每降低1%扣1分，扣完为止。</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95</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调查问卷</w:t>
            </w:r>
          </w:p>
        </w:tc>
      </w:tr>
    </w:tbl>
    <w:p>
      <w:pPr>
        <w:spacing w:line="584" w:lineRule="exact"/>
        <w:ind w:firstLine="640" w:firstLineChars="200"/>
        <w:rPr>
          <w:rFonts w:ascii="Times New Roman" w:hAnsi="Times New Roman" w:eastAsia="黑体" w:cs="Times New Roman"/>
          <w:sz w:val="32"/>
          <w:szCs w:val="32"/>
        </w:rPr>
      </w:pPr>
    </w:p>
    <w:p>
      <w:pPr>
        <w:ind w:firstLine="560"/>
        <w:outlineLvl w:val="3"/>
        <w:rPr>
          <w:rFonts w:hint="eastAsia" w:ascii="仿宋_GB2312" w:hAnsi="仿宋_GB2312" w:eastAsia="仿宋_GB2312" w:cs="仿宋_GB2312"/>
          <w:color w:val="000000"/>
          <w:sz w:val="28"/>
        </w:rPr>
      </w:pPr>
      <w:bookmarkStart w:id="1" w:name="_Toc_4_4_0000000004"/>
    </w:p>
    <w:p>
      <w:pPr>
        <w:ind w:firstLine="560"/>
        <w:outlineLvl w:val="3"/>
        <w:rPr>
          <w:rFonts w:hint="eastAsia" w:ascii="仿宋_GB2312" w:hAnsi="仿宋_GB2312" w:eastAsia="仿宋_GB2312" w:cs="仿宋_GB2312"/>
          <w:color w:val="000000"/>
          <w:sz w:val="28"/>
        </w:rPr>
      </w:pPr>
    </w:p>
    <w:p>
      <w:pPr>
        <w:ind w:firstLine="560"/>
        <w:outlineLvl w:val="3"/>
        <w:rPr>
          <w:rFonts w:hint="eastAsia" w:ascii="仿宋_GB2312" w:hAnsi="仿宋_GB2312" w:eastAsia="仿宋_GB2312" w:cs="仿宋_GB2312"/>
          <w:color w:val="000000"/>
          <w:sz w:val="28"/>
        </w:rPr>
      </w:pPr>
    </w:p>
    <w:p>
      <w:pPr>
        <w:ind w:firstLine="560"/>
        <w:outlineLvl w:val="3"/>
        <w:rPr>
          <w:rFonts w:hint="eastAsia" w:ascii="仿宋_GB2312" w:hAnsi="仿宋_GB2312" w:eastAsia="仿宋_GB2312" w:cs="仿宋_GB2312"/>
          <w:color w:val="000000"/>
          <w:sz w:val="28"/>
        </w:rPr>
      </w:pPr>
    </w:p>
    <w:p>
      <w:pPr>
        <w:ind w:firstLine="560"/>
        <w:outlineLvl w:val="3"/>
        <w:rPr>
          <w:rFonts w:hint="eastAsia" w:ascii="黑体" w:hAnsi="黑体" w:eastAsia="黑体" w:cs="黑体"/>
          <w:color w:val="000000"/>
          <w:sz w:val="32"/>
          <w:szCs w:val="32"/>
        </w:rPr>
      </w:pPr>
      <w:r>
        <w:rPr>
          <w:rFonts w:hint="eastAsia" w:ascii="黑体" w:hAnsi="黑体" w:eastAsia="黑体" w:cs="黑体"/>
          <w:color w:val="000000"/>
          <w:sz w:val="32"/>
          <w:szCs w:val="32"/>
        </w:rPr>
        <w:t>第二部分</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预算项目绩效目标</w:t>
      </w:r>
    </w:p>
    <w:p>
      <w:pPr>
        <w:ind w:firstLine="560"/>
        <w:outlineLvl w:val="3"/>
        <w:rPr>
          <w:rFonts w:hint="eastAsia" w:ascii="仿宋_GB2312" w:hAnsi="仿宋_GB2312" w:eastAsia="仿宋_GB2312" w:cs="仿宋_GB2312"/>
          <w:color w:val="000000"/>
          <w:sz w:val="28"/>
        </w:rPr>
      </w:pPr>
    </w:p>
    <w:p>
      <w:pPr>
        <w:ind w:firstLine="560"/>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1.城乡义务教育生均公用经费[区级]绩效目标表</w:t>
      </w:r>
      <w:bookmarkEnd w:id="1"/>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82"/>
        <w:gridCol w:w="125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6" w:type="pct"/>
            <w:vAlign w:val="center"/>
          </w:tcPr>
          <w:p>
            <w:pPr>
              <w:pStyle w:val="12"/>
            </w:pPr>
            <w:r>
              <w:t>绩效目标</w:t>
            </w:r>
          </w:p>
        </w:tc>
        <w:tc>
          <w:tcPr>
            <w:tcW w:w="4503" w:type="pct"/>
            <w:vAlign w:val="center"/>
          </w:tcPr>
          <w:p>
            <w:pPr>
              <w:pStyle w:val="14"/>
            </w:pPr>
            <w:r>
              <w:t>1.廊坊市广阳区九州镇赵各庄小学对2022年在校学生363人，按照义务教育</w:t>
            </w:r>
            <w:r>
              <w:rPr>
                <w:rFonts w:hint="eastAsia"/>
                <w:lang w:eastAsia="zh-CN"/>
              </w:rPr>
              <w:t>生均</w:t>
            </w:r>
            <w:r>
              <w:t>公用经费标准申请财政预算资金、通过合理，合规保障学校运转及事业发展。</w:t>
            </w:r>
          </w:p>
          <w:p>
            <w:pPr>
              <w:pStyle w:val="14"/>
            </w:pPr>
            <w:r>
              <w:t>2.改善我校办学条件</w:t>
            </w:r>
          </w:p>
          <w:p>
            <w:pPr>
              <w:pStyle w:val="14"/>
            </w:pPr>
            <w:r>
              <w:t>3.促进城区义务教育发展</w:t>
            </w:r>
          </w:p>
        </w:tc>
      </w:tr>
    </w:tbl>
    <w:p>
      <w:pPr>
        <w:spacing w:line="2" w:lineRule="exact"/>
        <w:jc w:val="center"/>
      </w:pPr>
      <w:r>
        <w:rPr>
          <w:rFonts w:ascii="方正书宋_GBK" w:hAnsi="方正书宋_GBK" w:eastAsia="方正书宋_GBK" w:cs="方正书宋_GBK"/>
          <w:color w:val="000000"/>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80"/>
        <w:gridCol w:w="1698"/>
        <w:gridCol w:w="2386"/>
        <w:gridCol w:w="4073"/>
        <w:gridCol w:w="1023"/>
        <w:gridCol w:w="33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95" w:type="pct"/>
            <w:vAlign w:val="center"/>
          </w:tcPr>
          <w:p>
            <w:pPr>
              <w:pStyle w:val="12"/>
            </w:pPr>
            <w:r>
              <w:t>一级指标</w:t>
            </w:r>
          </w:p>
        </w:tc>
        <w:tc>
          <w:tcPr>
            <w:tcW w:w="609" w:type="pct"/>
            <w:vAlign w:val="center"/>
          </w:tcPr>
          <w:p>
            <w:pPr>
              <w:pStyle w:val="12"/>
            </w:pPr>
            <w:r>
              <w:t>二级指标</w:t>
            </w:r>
          </w:p>
        </w:tc>
        <w:tc>
          <w:tcPr>
            <w:tcW w:w="856" w:type="pct"/>
            <w:vAlign w:val="center"/>
          </w:tcPr>
          <w:p>
            <w:pPr>
              <w:pStyle w:val="12"/>
            </w:pPr>
            <w:r>
              <w:t>三级指标</w:t>
            </w:r>
          </w:p>
        </w:tc>
        <w:tc>
          <w:tcPr>
            <w:tcW w:w="1461" w:type="pct"/>
            <w:vAlign w:val="center"/>
          </w:tcPr>
          <w:p>
            <w:pPr>
              <w:pStyle w:val="12"/>
            </w:pPr>
            <w:r>
              <w:t>绩效指标描述</w:t>
            </w:r>
          </w:p>
        </w:tc>
        <w:tc>
          <w:tcPr>
            <w:tcW w:w="367" w:type="pct"/>
            <w:vAlign w:val="center"/>
          </w:tcPr>
          <w:p>
            <w:pPr>
              <w:pStyle w:val="12"/>
            </w:pPr>
            <w:r>
              <w:t>指标值</w:t>
            </w:r>
          </w:p>
        </w:tc>
        <w:tc>
          <w:tcPr>
            <w:tcW w:w="1209" w:type="pct"/>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5" w:type="pct"/>
            <w:vMerge w:val="restart"/>
            <w:vAlign w:val="center"/>
          </w:tcPr>
          <w:p>
            <w:pPr>
              <w:pStyle w:val="15"/>
            </w:pPr>
            <w:r>
              <w:t>产出指标</w:t>
            </w:r>
          </w:p>
        </w:tc>
        <w:tc>
          <w:tcPr>
            <w:tcW w:w="609" w:type="pct"/>
            <w:vAlign w:val="center"/>
          </w:tcPr>
          <w:p>
            <w:pPr>
              <w:pStyle w:val="14"/>
            </w:pPr>
            <w:r>
              <w:t>数量指标</w:t>
            </w:r>
          </w:p>
        </w:tc>
        <w:tc>
          <w:tcPr>
            <w:tcW w:w="856" w:type="pct"/>
            <w:vAlign w:val="center"/>
          </w:tcPr>
          <w:p>
            <w:pPr>
              <w:pStyle w:val="14"/>
            </w:pPr>
            <w:r>
              <w:t>申请生均公用经费的学生人数</w:t>
            </w:r>
          </w:p>
        </w:tc>
        <w:tc>
          <w:tcPr>
            <w:tcW w:w="1461" w:type="pct"/>
            <w:vAlign w:val="center"/>
          </w:tcPr>
          <w:p>
            <w:pPr>
              <w:pStyle w:val="14"/>
            </w:pPr>
            <w:r>
              <w:t>按文件要求申请生均公用经费的学生人数</w:t>
            </w:r>
          </w:p>
        </w:tc>
        <w:tc>
          <w:tcPr>
            <w:tcW w:w="367" w:type="pct"/>
            <w:vAlign w:val="center"/>
          </w:tcPr>
          <w:p>
            <w:pPr>
              <w:pStyle w:val="14"/>
            </w:pPr>
            <w:r>
              <w:t>363人</w:t>
            </w:r>
          </w:p>
        </w:tc>
        <w:tc>
          <w:tcPr>
            <w:tcW w:w="1209" w:type="pct"/>
            <w:vAlign w:val="center"/>
          </w:tcPr>
          <w:p>
            <w:pPr>
              <w:pStyle w:val="14"/>
            </w:pPr>
            <w: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5" w:type="pct"/>
            <w:vMerge w:val="continue"/>
            <w:vAlign w:val="center"/>
          </w:tcPr>
          <w:p/>
        </w:tc>
        <w:tc>
          <w:tcPr>
            <w:tcW w:w="609" w:type="pct"/>
            <w:vAlign w:val="center"/>
          </w:tcPr>
          <w:p>
            <w:pPr>
              <w:pStyle w:val="14"/>
            </w:pPr>
            <w:r>
              <w:t>质量指标</w:t>
            </w:r>
          </w:p>
        </w:tc>
        <w:tc>
          <w:tcPr>
            <w:tcW w:w="856" w:type="pct"/>
            <w:vAlign w:val="center"/>
          </w:tcPr>
          <w:p>
            <w:pPr>
              <w:pStyle w:val="14"/>
            </w:pPr>
            <w:r>
              <w:t>生均公用经费使用的合规率</w:t>
            </w:r>
          </w:p>
        </w:tc>
        <w:tc>
          <w:tcPr>
            <w:tcW w:w="1461" w:type="pct"/>
            <w:vAlign w:val="center"/>
          </w:tcPr>
          <w:p>
            <w:pPr>
              <w:pStyle w:val="14"/>
            </w:pPr>
            <w:r>
              <w:t>生均公用经费使用符合文件中的相关规定</w:t>
            </w:r>
          </w:p>
        </w:tc>
        <w:tc>
          <w:tcPr>
            <w:tcW w:w="367" w:type="pct"/>
            <w:vAlign w:val="center"/>
          </w:tcPr>
          <w:p>
            <w:pPr>
              <w:pStyle w:val="14"/>
            </w:pPr>
            <w:r>
              <w:t>100%</w:t>
            </w:r>
          </w:p>
        </w:tc>
        <w:tc>
          <w:tcPr>
            <w:tcW w:w="1209" w:type="pct"/>
            <w:vAlign w:val="center"/>
          </w:tcPr>
          <w:p>
            <w:pPr>
              <w:pStyle w:val="14"/>
            </w:pPr>
            <w: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5" w:type="pct"/>
            <w:vMerge w:val="continue"/>
            <w:vAlign w:val="center"/>
          </w:tcPr>
          <w:p/>
        </w:tc>
        <w:tc>
          <w:tcPr>
            <w:tcW w:w="609" w:type="pct"/>
            <w:vAlign w:val="center"/>
          </w:tcPr>
          <w:p>
            <w:pPr>
              <w:pStyle w:val="14"/>
            </w:pPr>
            <w:r>
              <w:t>时效指标</w:t>
            </w:r>
          </w:p>
        </w:tc>
        <w:tc>
          <w:tcPr>
            <w:tcW w:w="856" w:type="pct"/>
            <w:vAlign w:val="center"/>
          </w:tcPr>
          <w:p>
            <w:pPr>
              <w:pStyle w:val="14"/>
            </w:pPr>
            <w:r>
              <w:t>用于保障学校正常运转项目完成及时率</w:t>
            </w:r>
          </w:p>
        </w:tc>
        <w:tc>
          <w:tcPr>
            <w:tcW w:w="1461" w:type="pct"/>
            <w:vAlign w:val="center"/>
          </w:tcPr>
          <w:p>
            <w:pPr>
              <w:pStyle w:val="14"/>
            </w:pPr>
            <w:r>
              <w:t>使用生均公用经费，用于保障学校正常运转的项目完成情况</w:t>
            </w:r>
          </w:p>
        </w:tc>
        <w:tc>
          <w:tcPr>
            <w:tcW w:w="367" w:type="pct"/>
            <w:vAlign w:val="center"/>
          </w:tcPr>
          <w:p>
            <w:pPr>
              <w:pStyle w:val="14"/>
            </w:pPr>
            <w:r>
              <w:t>100%</w:t>
            </w:r>
          </w:p>
        </w:tc>
        <w:tc>
          <w:tcPr>
            <w:tcW w:w="1209" w:type="pct"/>
            <w:vAlign w:val="center"/>
          </w:tcPr>
          <w:p>
            <w:pPr>
              <w:pStyle w:val="14"/>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5" w:type="pct"/>
            <w:vMerge w:val="continue"/>
            <w:vAlign w:val="center"/>
          </w:tcPr>
          <w:p/>
        </w:tc>
        <w:tc>
          <w:tcPr>
            <w:tcW w:w="609" w:type="pct"/>
            <w:vAlign w:val="center"/>
          </w:tcPr>
          <w:p>
            <w:pPr>
              <w:pStyle w:val="14"/>
            </w:pPr>
            <w:r>
              <w:t>成本指标</w:t>
            </w:r>
          </w:p>
        </w:tc>
        <w:tc>
          <w:tcPr>
            <w:tcW w:w="856" w:type="pct"/>
            <w:vAlign w:val="center"/>
          </w:tcPr>
          <w:p>
            <w:pPr>
              <w:pStyle w:val="14"/>
            </w:pPr>
            <w:r>
              <w:t>使用生均公用经费，用于保障学校正常运转的项目支出成本</w:t>
            </w:r>
          </w:p>
        </w:tc>
        <w:tc>
          <w:tcPr>
            <w:tcW w:w="1461" w:type="pct"/>
            <w:vAlign w:val="center"/>
          </w:tcPr>
          <w:p>
            <w:pPr>
              <w:pStyle w:val="14"/>
            </w:pPr>
            <w:r>
              <w:t>使用生均公用经费，用于保障学校正常运转的项目支出成本等于735元/生</w:t>
            </w:r>
          </w:p>
        </w:tc>
        <w:tc>
          <w:tcPr>
            <w:tcW w:w="367" w:type="pct"/>
            <w:vAlign w:val="center"/>
          </w:tcPr>
          <w:p>
            <w:pPr>
              <w:pStyle w:val="14"/>
            </w:pPr>
            <w:r>
              <w:t>735元/生</w:t>
            </w:r>
          </w:p>
        </w:tc>
        <w:tc>
          <w:tcPr>
            <w:tcW w:w="1209" w:type="pct"/>
            <w:vAlign w:val="center"/>
          </w:tcPr>
          <w:p>
            <w:pPr>
              <w:pStyle w:val="14"/>
            </w:pPr>
            <w: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5" w:type="pct"/>
            <w:vAlign w:val="center"/>
          </w:tcPr>
          <w:p>
            <w:pPr>
              <w:pStyle w:val="15"/>
            </w:pPr>
            <w:r>
              <w:t>效益指标</w:t>
            </w:r>
          </w:p>
        </w:tc>
        <w:tc>
          <w:tcPr>
            <w:tcW w:w="609" w:type="pct"/>
            <w:vAlign w:val="center"/>
          </w:tcPr>
          <w:p>
            <w:pPr>
              <w:pStyle w:val="14"/>
            </w:pPr>
            <w:r>
              <w:t>社会效益指标</w:t>
            </w:r>
          </w:p>
        </w:tc>
        <w:tc>
          <w:tcPr>
            <w:tcW w:w="856" w:type="pct"/>
            <w:vAlign w:val="center"/>
          </w:tcPr>
          <w:p>
            <w:pPr>
              <w:pStyle w:val="14"/>
            </w:pPr>
            <w:r>
              <w:t>义务教育/学前教育高质量发展</w:t>
            </w:r>
          </w:p>
        </w:tc>
        <w:tc>
          <w:tcPr>
            <w:tcW w:w="1461" w:type="pct"/>
            <w:vAlign w:val="center"/>
          </w:tcPr>
          <w:p>
            <w:pPr>
              <w:pStyle w:val="14"/>
            </w:pPr>
            <w:r>
              <w:t>该资金用于学校正常运转，改善办学条件，促进义务教育/学前教育均衡发展及学生素质提高</w:t>
            </w:r>
          </w:p>
        </w:tc>
        <w:tc>
          <w:tcPr>
            <w:tcW w:w="367" w:type="pct"/>
            <w:vAlign w:val="center"/>
          </w:tcPr>
          <w:p>
            <w:pPr>
              <w:pStyle w:val="14"/>
            </w:pPr>
            <w:r>
              <w:t>支持</w:t>
            </w:r>
          </w:p>
        </w:tc>
        <w:tc>
          <w:tcPr>
            <w:tcW w:w="1209" w:type="pct"/>
            <w:vAlign w:val="center"/>
          </w:tcPr>
          <w:p>
            <w:pPr>
              <w:pStyle w:val="14"/>
            </w:pPr>
            <w: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5" w:type="pct"/>
            <w:vAlign w:val="center"/>
          </w:tcPr>
          <w:p>
            <w:pPr>
              <w:pStyle w:val="15"/>
            </w:pPr>
            <w:r>
              <w:t>满意度指标</w:t>
            </w:r>
          </w:p>
        </w:tc>
        <w:tc>
          <w:tcPr>
            <w:tcW w:w="609" w:type="pct"/>
            <w:vAlign w:val="center"/>
          </w:tcPr>
          <w:p>
            <w:pPr>
              <w:pStyle w:val="14"/>
            </w:pPr>
            <w:r>
              <w:t>服务对象满意度指标</w:t>
            </w:r>
          </w:p>
        </w:tc>
        <w:tc>
          <w:tcPr>
            <w:tcW w:w="856" w:type="pct"/>
            <w:vAlign w:val="center"/>
          </w:tcPr>
          <w:p>
            <w:pPr>
              <w:pStyle w:val="14"/>
            </w:pPr>
            <w:r>
              <w:t>在校师生的满意程度</w:t>
            </w:r>
          </w:p>
        </w:tc>
        <w:tc>
          <w:tcPr>
            <w:tcW w:w="1461" w:type="pct"/>
            <w:vAlign w:val="center"/>
          </w:tcPr>
          <w:p>
            <w:pPr>
              <w:pStyle w:val="14"/>
            </w:pPr>
            <w:r>
              <w:t>在校师生的满意程度</w:t>
            </w:r>
          </w:p>
        </w:tc>
        <w:tc>
          <w:tcPr>
            <w:tcW w:w="367" w:type="pct"/>
            <w:vAlign w:val="center"/>
          </w:tcPr>
          <w:p>
            <w:pPr>
              <w:pStyle w:val="14"/>
            </w:pPr>
            <w:r>
              <w:t>≥90%</w:t>
            </w:r>
          </w:p>
        </w:tc>
        <w:tc>
          <w:tcPr>
            <w:tcW w:w="1209" w:type="pct"/>
            <w:vAlign w:val="center"/>
          </w:tcPr>
          <w:p>
            <w:pPr>
              <w:pStyle w:val="14"/>
            </w:pPr>
            <w:r>
              <w:t>调查问卷</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hint="eastAsia" w:ascii="仿宋_GB2312" w:hAnsi="仿宋_GB2312" w:eastAsia="仿宋_GB2312" w:cs="仿宋_GB2312"/>
          <w:color w:val="000000"/>
          <w:sz w:val="28"/>
        </w:rPr>
      </w:pPr>
      <w:bookmarkStart w:id="2" w:name="_Toc_4_4_0000000005"/>
      <w:r>
        <w:rPr>
          <w:rFonts w:hint="eastAsia" w:ascii="仿宋_GB2312" w:hAnsi="仿宋_GB2312" w:eastAsia="仿宋_GB2312" w:cs="仿宋_GB2312"/>
          <w:color w:val="000000"/>
          <w:sz w:val="28"/>
        </w:rPr>
        <w:t>2.城乡义务教育生均公用经费[市级]绩效目标表</w:t>
      </w:r>
      <w:bookmarkEnd w:id="2"/>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2"/>
        <w:gridCol w:w="127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pct"/>
            <w:vAlign w:val="center"/>
          </w:tcPr>
          <w:p>
            <w:pPr>
              <w:pStyle w:val="12"/>
            </w:pPr>
            <w:r>
              <w:t>绩效目标</w:t>
            </w:r>
          </w:p>
        </w:tc>
        <w:tc>
          <w:tcPr>
            <w:tcW w:w="4589" w:type="pct"/>
            <w:vAlign w:val="center"/>
          </w:tcPr>
          <w:p>
            <w:pPr>
              <w:pStyle w:val="14"/>
            </w:pPr>
            <w:r>
              <w:t>1.廊坊市广阳区九州镇赵各庄小学对2022年在校学生363人，按照义务教育生均公用经费标准申请财政预算资金、通过合理，合规保障学校运转及事业发展。</w:t>
            </w:r>
          </w:p>
          <w:p>
            <w:pPr>
              <w:pStyle w:val="14"/>
            </w:pPr>
            <w:r>
              <w:t>2.改善我校办学条件</w:t>
            </w:r>
          </w:p>
          <w:p>
            <w:pPr>
              <w:pStyle w:val="14"/>
            </w:pPr>
            <w:r>
              <w:t>3.促进农村义务教育发展</w:t>
            </w:r>
          </w:p>
        </w:tc>
      </w:tr>
    </w:tbl>
    <w:p>
      <w:pPr>
        <w:spacing w:line="2" w:lineRule="exact"/>
        <w:jc w:val="center"/>
      </w:pPr>
      <w:r>
        <w:rPr>
          <w:rFonts w:ascii="方正书宋_GBK" w:hAnsi="方正书宋_GBK" w:eastAsia="方正书宋_GBK" w:cs="方正书宋_GBK"/>
          <w:color w:val="000000"/>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37"/>
        <w:gridCol w:w="1438"/>
        <w:gridCol w:w="2102"/>
        <w:gridCol w:w="3443"/>
        <w:gridCol w:w="1898"/>
        <w:gridCol w:w="39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08" w:type="pct"/>
            <w:vAlign w:val="center"/>
          </w:tcPr>
          <w:p>
            <w:pPr>
              <w:pStyle w:val="12"/>
            </w:pPr>
            <w:r>
              <w:t>一级指标</w:t>
            </w:r>
          </w:p>
        </w:tc>
        <w:tc>
          <w:tcPr>
            <w:tcW w:w="516" w:type="pct"/>
            <w:vAlign w:val="center"/>
          </w:tcPr>
          <w:p>
            <w:pPr>
              <w:pStyle w:val="12"/>
            </w:pPr>
            <w:r>
              <w:t>二级指标</w:t>
            </w:r>
          </w:p>
        </w:tc>
        <w:tc>
          <w:tcPr>
            <w:tcW w:w="754" w:type="pct"/>
            <w:vAlign w:val="center"/>
          </w:tcPr>
          <w:p>
            <w:pPr>
              <w:pStyle w:val="12"/>
            </w:pPr>
            <w:r>
              <w:t>三级指标</w:t>
            </w:r>
          </w:p>
        </w:tc>
        <w:tc>
          <w:tcPr>
            <w:tcW w:w="1235" w:type="pct"/>
            <w:vAlign w:val="center"/>
          </w:tcPr>
          <w:p>
            <w:pPr>
              <w:pStyle w:val="12"/>
            </w:pPr>
            <w:r>
              <w:t>绩效指标描述</w:t>
            </w:r>
          </w:p>
        </w:tc>
        <w:tc>
          <w:tcPr>
            <w:tcW w:w="681" w:type="pct"/>
            <w:vAlign w:val="center"/>
          </w:tcPr>
          <w:p>
            <w:pPr>
              <w:pStyle w:val="12"/>
            </w:pPr>
            <w:r>
              <w:t>指标值</w:t>
            </w:r>
          </w:p>
        </w:tc>
        <w:tc>
          <w:tcPr>
            <w:tcW w:w="1403" w:type="pct"/>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8" w:type="pct"/>
            <w:vMerge w:val="restart"/>
            <w:vAlign w:val="center"/>
          </w:tcPr>
          <w:p>
            <w:pPr>
              <w:pStyle w:val="15"/>
            </w:pPr>
            <w:r>
              <w:t>产出指标</w:t>
            </w:r>
          </w:p>
        </w:tc>
        <w:tc>
          <w:tcPr>
            <w:tcW w:w="516" w:type="pct"/>
            <w:vAlign w:val="center"/>
          </w:tcPr>
          <w:p>
            <w:pPr>
              <w:pStyle w:val="14"/>
            </w:pPr>
            <w:r>
              <w:t>数量指标</w:t>
            </w:r>
          </w:p>
        </w:tc>
        <w:tc>
          <w:tcPr>
            <w:tcW w:w="754" w:type="pct"/>
            <w:vAlign w:val="center"/>
          </w:tcPr>
          <w:p>
            <w:pPr>
              <w:pStyle w:val="14"/>
            </w:pPr>
            <w:r>
              <w:t>申请生均公用经费的学生人数</w:t>
            </w:r>
          </w:p>
        </w:tc>
        <w:tc>
          <w:tcPr>
            <w:tcW w:w="1235" w:type="pct"/>
            <w:vAlign w:val="center"/>
          </w:tcPr>
          <w:p>
            <w:pPr>
              <w:pStyle w:val="14"/>
            </w:pPr>
            <w:r>
              <w:t>按文件要求申请生均公用经费的学生人数</w:t>
            </w:r>
          </w:p>
        </w:tc>
        <w:tc>
          <w:tcPr>
            <w:tcW w:w="681" w:type="pct"/>
            <w:vAlign w:val="center"/>
          </w:tcPr>
          <w:p>
            <w:pPr>
              <w:pStyle w:val="14"/>
            </w:pPr>
            <w:r>
              <w:t>363人</w:t>
            </w:r>
          </w:p>
        </w:tc>
        <w:tc>
          <w:tcPr>
            <w:tcW w:w="1403" w:type="pct"/>
            <w:vAlign w:val="center"/>
          </w:tcPr>
          <w:p>
            <w:pPr>
              <w:pStyle w:val="14"/>
              <w:rPr>
                <w:sz w:val="18"/>
                <w:szCs w:val="18"/>
              </w:rPr>
            </w:pPr>
            <w:r>
              <w:rPr>
                <w:sz w:val="18"/>
                <w:szCs w:val="18"/>
              </w:rPr>
              <w:t>廊坊市财政局  廊坊市教育局关于提前下达2022城乡义务教育市级补助经费预算的通知廊财教[2021]50号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8" w:type="pct"/>
            <w:vMerge w:val="continue"/>
            <w:vAlign w:val="center"/>
          </w:tcPr>
          <w:p/>
        </w:tc>
        <w:tc>
          <w:tcPr>
            <w:tcW w:w="516" w:type="pct"/>
            <w:vAlign w:val="center"/>
          </w:tcPr>
          <w:p>
            <w:pPr>
              <w:pStyle w:val="14"/>
            </w:pPr>
            <w:r>
              <w:t>质量指标</w:t>
            </w:r>
          </w:p>
        </w:tc>
        <w:tc>
          <w:tcPr>
            <w:tcW w:w="754" w:type="pct"/>
            <w:vAlign w:val="center"/>
          </w:tcPr>
          <w:p>
            <w:pPr>
              <w:pStyle w:val="14"/>
            </w:pPr>
            <w:r>
              <w:t>生均公用经费使用的合规率</w:t>
            </w:r>
          </w:p>
        </w:tc>
        <w:tc>
          <w:tcPr>
            <w:tcW w:w="1235" w:type="pct"/>
            <w:vAlign w:val="center"/>
          </w:tcPr>
          <w:p>
            <w:pPr>
              <w:pStyle w:val="14"/>
            </w:pPr>
            <w:r>
              <w:t>生均公用经费使用符合文件中的相关规定</w:t>
            </w:r>
          </w:p>
        </w:tc>
        <w:tc>
          <w:tcPr>
            <w:tcW w:w="681" w:type="pct"/>
            <w:vAlign w:val="center"/>
          </w:tcPr>
          <w:p>
            <w:pPr>
              <w:pStyle w:val="14"/>
            </w:pPr>
            <w:r>
              <w:t>100%</w:t>
            </w:r>
          </w:p>
        </w:tc>
        <w:tc>
          <w:tcPr>
            <w:tcW w:w="1403" w:type="pct"/>
            <w:vAlign w:val="center"/>
          </w:tcPr>
          <w:p>
            <w:pPr>
              <w:pStyle w:val="14"/>
              <w:rPr>
                <w:sz w:val="18"/>
                <w:szCs w:val="18"/>
              </w:rPr>
            </w:pPr>
            <w:r>
              <w:rPr>
                <w:sz w:val="18"/>
                <w:szCs w:val="18"/>
              </w:rPr>
              <w:t>廊坊市财政局  廊坊市教育局关于提前下达2022城乡义务教育市级补助经费预算的通知廊财教[2021]50号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8" w:type="pct"/>
            <w:vMerge w:val="continue"/>
            <w:vAlign w:val="center"/>
          </w:tcPr>
          <w:p/>
        </w:tc>
        <w:tc>
          <w:tcPr>
            <w:tcW w:w="516" w:type="pct"/>
            <w:vAlign w:val="center"/>
          </w:tcPr>
          <w:p>
            <w:pPr>
              <w:pStyle w:val="14"/>
            </w:pPr>
            <w:r>
              <w:t>时效指标</w:t>
            </w:r>
          </w:p>
        </w:tc>
        <w:tc>
          <w:tcPr>
            <w:tcW w:w="754" w:type="pct"/>
            <w:vAlign w:val="center"/>
          </w:tcPr>
          <w:p>
            <w:pPr>
              <w:pStyle w:val="14"/>
            </w:pPr>
            <w:r>
              <w:t>用于保障学校正常运转项目完成及时率</w:t>
            </w:r>
          </w:p>
        </w:tc>
        <w:tc>
          <w:tcPr>
            <w:tcW w:w="1235" w:type="pct"/>
            <w:vAlign w:val="center"/>
          </w:tcPr>
          <w:p>
            <w:pPr>
              <w:pStyle w:val="14"/>
            </w:pPr>
            <w:r>
              <w:t>使用生均公用经费，用于保障学校正常运转的项目完成情况</w:t>
            </w:r>
          </w:p>
        </w:tc>
        <w:tc>
          <w:tcPr>
            <w:tcW w:w="681" w:type="pct"/>
            <w:vAlign w:val="center"/>
          </w:tcPr>
          <w:p>
            <w:pPr>
              <w:pStyle w:val="14"/>
            </w:pPr>
            <w:r>
              <w:t>100%</w:t>
            </w:r>
          </w:p>
        </w:tc>
        <w:tc>
          <w:tcPr>
            <w:tcW w:w="1403" w:type="pct"/>
            <w:vAlign w:val="center"/>
          </w:tcPr>
          <w:p>
            <w:pPr>
              <w:pStyle w:val="14"/>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8" w:type="pct"/>
            <w:vMerge w:val="continue"/>
            <w:vAlign w:val="center"/>
          </w:tcPr>
          <w:p/>
        </w:tc>
        <w:tc>
          <w:tcPr>
            <w:tcW w:w="516" w:type="pct"/>
            <w:vAlign w:val="center"/>
          </w:tcPr>
          <w:p>
            <w:pPr>
              <w:pStyle w:val="14"/>
            </w:pPr>
            <w:r>
              <w:t>成本指标</w:t>
            </w:r>
          </w:p>
        </w:tc>
        <w:tc>
          <w:tcPr>
            <w:tcW w:w="754" w:type="pct"/>
            <w:vAlign w:val="center"/>
          </w:tcPr>
          <w:p>
            <w:pPr>
              <w:pStyle w:val="14"/>
            </w:pPr>
            <w:r>
              <w:t>使用生均公用经费，用于保障学校正常运转的项目支出成本</w:t>
            </w:r>
          </w:p>
        </w:tc>
        <w:tc>
          <w:tcPr>
            <w:tcW w:w="1235" w:type="pct"/>
            <w:vAlign w:val="center"/>
          </w:tcPr>
          <w:p>
            <w:pPr>
              <w:pStyle w:val="14"/>
            </w:pPr>
            <w:r>
              <w:t>使用生均公用经费，用于保障学校正常运转的项目支出成本等于735元/生</w:t>
            </w:r>
          </w:p>
        </w:tc>
        <w:tc>
          <w:tcPr>
            <w:tcW w:w="681" w:type="pct"/>
            <w:vAlign w:val="center"/>
          </w:tcPr>
          <w:p>
            <w:pPr>
              <w:pStyle w:val="14"/>
            </w:pPr>
            <w:r>
              <w:t>735元/生</w:t>
            </w:r>
          </w:p>
        </w:tc>
        <w:tc>
          <w:tcPr>
            <w:tcW w:w="1403" w:type="pct"/>
            <w:vAlign w:val="center"/>
          </w:tcPr>
          <w:p>
            <w:pPr>
              <w:pStyle w:val="14"/>
            </w:pPr>
            <w:r>
              <w:t>廊坊市财政局  廊坊市教育局关于提前下达2022城乡义务教育市级补助经费预算的通知廊财教[2021]50号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8" w:type="pct"/>
            <w:vAlign w:val="center"/>
          </w:tcPr>
          <w:p>
            <w:pPr>
              <w:pStyle w:val="15"/>
            </w:pPr>
            <w:r>
              <w:t>效益指标</w:t>
            </w:r>
          </w:p>
        </w:tc>
        <w:tc>
          <w:tcPr>
            <w:tcW w:w="516" w:type="pct"/>
            <w:vAlign w:val="center"/>
          </w:tcPr>
          <w:p>
            <w:pPr>
              <w:pStyle w:val="14"/>
            </w:pPr>
            <w:r>
              <w:t>社会效益指标</w:t>
            </w:r>
          </w:p>
        </w:tc>
        <w:tc>
          <w:tcPr>
            <w:tcW w:w="754" w:type="pct"/>
            <w:vAlign w:val="center"/>
          </w:tcPr>
          <w:p>
            <w:pPr>
              <w:pStyle w:val="14"/>
            </w:pPr>
            <w:r>
              <w:t>义务教育/学前教育高质量发展</w:t>
            </w:r>
          </w:p>
        </w:tc>
        <w:tc>
          <w:tcPr>
            <w:tcW w:w="1235" w:type="pct"/>
            <w:vAlign w:val="center"/>
          </w:tcPr>
          <w:p>
            <w:pPr>
              <w:pStyle w:val="14"/>
            </w:pPr>
            <w:r>
              <w:t>该资金用于学校正常运转，改善办学条件，促进义务教育/学前教育均衡发展及学生素质提高</w:t>
            </w:r>
          </w:p>
        </w:tc>
        <w:tc>
          <w:tcPr>
            <w:tcW w:w="681" w:type="pct"/>
            <w:vAlign w:val="center"/>
          </w:tcPr>
          <w:p>
            <w:pPr>
              <w:pStyle w:val="14"/>
            </w:pPr>
            <w:r>
              <w:t>支持</w:t>
            </w:r>
          </w:p>
        </w:tc>
        <w:tc>
          <w:tcPr>
            <w:tcW w:w="1403" w:type="pct"/>
            <w:vAlign w:val="center"/>
          </w:tcPr>
          <w:p>
            <w:pPr>
              <w:pStyle w:val="14"/>
            </w:pPr>
            <w:r>
              <w:t>廊财教[2021]50号文件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8" w:type="pct"/>
            <w:vAlign w:val="center"/>
          </w:tcPr>
          <w:p>
            <w:pPr>
              <w:pStyle w:val="15"/>
            </w:pPr>
            <w:r>
              <w:t>满意度指标</w:t>
            </w:r>
          </w:p>
        </w:tc>
        <w:tc>
          <w:tcPr>
            <w:tcW w:w="516" w:type="pct"/>
            <w:vAlign w:val="center"/>
          </w:tcPr>
          <w:p>
            <w:pPr>
              <w:pStyle w:val="14"/>
            </w:pPr>
            <w:r>
              <w:t>服务对象满意度指标</w:t>
            </w:r>
          </w:p>
        </w:tc>
        <w:tc>
          <w:tcPr>
            <w:tcW w:w="754" w:type="pct"/>
            <w:vAlign w:val="center"/>
          </w:tcPr>
          <w:p>
            <w:pPr>
              <w:pStyle w:val="14"/>
            </w:pPr>
            <w:r>
              <w:t>在校师生的满意程度</w:t>
            </w:r>
          </w:p>
        </w:tc>
        <w:tc>
          <w:tcPr>
            <w:tcW w:w="1235" w:type="pct"/>
            <w:vAlign w:val="center"/>
          </w:tcPr>
          <w:p>
            <w:pPr>
              <w:pStyle w:val="14"/>
            </w:pPr>
            <w:r>
              <w:t>在校师生的满意程度</w:t>
            </w:r>
          </w:p>
        </w:tc>
        <w:tc>
          <w:tcPr>
            <w:tcW w:w="681" w:type="pct"/>
            <w:vAlign w:val="center"/>
          </w:tcPr>
          <w:p>
            <w:pPr>
              <w:pStyle w:val="14"/>
            </w:pPr>
            <w:r>
              <w:t>≥90%</w:t>
            </w:r>
          </w:p>
        </w:tc>
        <w:tc>
          <w:tcPr>
            <w:tcW w:w="1403" w:type="pct"/>
            <w:vAlign w:val="center"/>
          </w:tcPr>
          <w:p>
            <w:pPr>
              <w:pStyle w:val="14"/>
            </w:pPr>
            <w:r>
              <w:t>调查问卷</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hint="eastAsia" w:ascii="仿宋_GB2312" w:hAnsi="仿宋_GB2312" w:eastAsia="仿宋_GB2312" w:cs="仿宋_GB2312"/>
          <w:color w:val="000000"/>
          <w:sz w:val="28"/>
        </w:rPr>
      </w:pPr>
      <w:bookmarkStart w:id="3" w:name="_Toc_4_4_0000000006"/>
      <w:r>
        <w:rPr>
          <w:rFonts w:hint="eastAsia" w:ascii="仿宋_GB2312" w:hAnsi="仿宋_GB2312" w:eastAsia="仿宋_GB2312" w:cs="仿宋_GB2312"/>
          <w:color w:val="000000"/>
          <w:sz w:val="28"/>
        </w:rPr>
        <w:t>3.合同制教师人员经费绩效目标表</w:t>
      </w:r>
      <w:bookmarkEnd w:id="3"/>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80"/>
        <w:gridCol w:w="1235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pct"/>
            <w:vAlign w:val="center"/>
          </w:tcPr>
          <w:p>
            <w:pPr>
              <w:pStyle w:val="12"/>
            </w:pPr>
            <w:r>
              <w:t>绩效目标</w:t>
            </w:r>
          </w:p>
        </w:tc>
        <w:tc>
          <w:tcPr>
            <w:tcW w:w="4432" w:type="pct"/>
            <w:vAlign w:val="center"/>
          </w:tcPr>
          <w:p>
            <w:pPr>
              <w:pStyle w:val="14"/>
            </w:pPr>
            <w:r>
              <w:t>1.缓解教师短缺，保障教育教学正常的进行</w:t>
            </w:r>
          </w:p>
          <w:p>
            <w:pPr>
              <w:pStyle w:val="14"/>
            </w:pPr>
            <w:r>
              <w:t>2.保障教学质量，提升教育水平</w:t>
            </w:r>
          </w:p>
          <w:p>
            <w:pPr>
              <w:pStyle w:val="14"/>
            </w:pPr>
            <w:r>
              <w:t>3.保障合同制教师工资福利待遇，并及时发放。</w:t>
            </w:r>
          </w:p>
          <w:p>
            <w:pPr>
              <w:pStyle w:val="14"/>
            </w:pPr>
            <w:r>
              <w:t>4.学生、学校、家长对合同制教师的满意度达到95%以上</w:t>
            </w:r>
          </w:p>
        </w:tc>
      </w:tr>
    </w:tbl>
    <w:p>
      <w:pPr>
        <w:spacing w:line="2" w:lineRule="exact"/>
        <w:jc w:val="center"/>
      </w:pPr>
      <w:r>
        <w:rPr>
          <w:rFonts w:ascii="方正书宋_GBK" w:hAnsi="方正书宋_GBK" w:eastAsia="方正书宋_GBK" w:cs="方正书宋_GBK"/>
          <w:color w:val="000000"/>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80"/>
        <w:gridCol w:w="2398"/>
        <w:gridCol w:w="1991"/>
        <w:gridCol w:w="3304"/>
        <w:gridCol w:w="2250"/>
        <w:gridCol w:w="24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67" w:type="pct"/>
            <w:vAlign w:val="center"/>
          </w:tcPr>
          <w:p>
            <w:pPr>
              <w:pStyle w:val="12"/>
            </w:pPr>
            <w:r>
              <w:t>一级指标</w:t>
            </w:r>
          </w:p>
        </w:tc>
        <w:tc>
          <w:tcPr>
            <w:tcW w:w="860" w:type="pct"/>
            <w:vAlign w:val="center"/>
          </w:tcPr>
          <w:p>
            <w:pPr>
              <w:pStyle w:val="12"/>
            </w:pPr>
            <w:r>
              <w:t>二级指标</w:t>
            </w:r>
          </w:p>
        </w:tc>
        <w:tc>
          <w:tcPr>
            <w:tcW w:w="714" w:type="pct"/>
            <w:vAlign w:val="center"/>
          </w:tcPr>
          <w:p>
            <w:pPr>
              <w:pStyle w:val="12"/>
            </w:pPr>
            <w:r>
              <w:t>三级指标</w:t>
            </w:r>
          </w:p>
        </w:tc>
        <w:tc>
          <w:tcPr>
            <w:tcW w:w="1185" w:type="pct"/>
            <w:vAlign w:val="center"/>
          </w:tcPr>
          <w:p>
            <w:pPr>
              <w:pStyle w:val="12"/>
            </w:pPr>
            <w:r>
              <w:t>绩效指标描述</w:t>
            </w:r>
          </w:p>
        </w:tc>
        <w:tc>
          <w:tcPr>
            <w:tcW w:w="807" w:type="pct"/>
            <w:vAlign w:val="center"/>
          </w:tcPr>
          <w:p>
            <w:pPr>
              <w:pStyle w:val="12"/>
            </w:pPr>
            <w:r>
              <w:t>指标值</w:t>
            </w:r>
          </w:p>
        </w:tc>
        <w:tc>
          <w:tcPr>
            <w:tcW w:w="864" w:type="pct"/>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pct"/>
            <w:vMerge w:val="restart"/>
            <w:vAlign w:val="center"/>
          </w:tcPr>
          <w:p>
            <w:pPr>
              <w:pStyle w:val="15"/>
            </w:pPr>
            <w:r>
              <w:t>产出指标</w:t>
            </w:r>
          </w:p>
        </w:tc>
        <w:tc>
          <w:tcPr>
            <w:tcW w:w="860" w:type="pct"/>
            <w:vAlign w:val="center"/>
          </w:tcPr>
          <w:p>
            <w:pPr>
              <w:pStyle w:val="14"/>
            </w:pPr>
            <w:r>
              <w:t>数量指标</w:t>
            </w:r>
          </w:p>
        </w:tc>
        <w:tc>
          <w:tcPr>
            <w:tcW w:w="714" w:type="pct"/>
            <w:vAlign w:val="center"/>
          </w:tcPr>
          <w:p>
            <w:pPr>
              <w:pStyle w:val="14"/>
            </w:pPr>
            <w:r>
              <w:t>合同制教师在校人数</w:t>
            </w:r>
          </w:p>
        </w:tc>
        <w:tc>
          <w:tcPr>
            <w:tcW w:w="1185" w:type="pct"/>
            <w:vAlign w:val="center"/>
          </w:tcPr>
          <w:p>
            <w:pPr>
              <w:pStyle w:val="14"/>
            </w:pPr>
            <w:r>
              <w:t>保障2022合同制教师 2人工资福利</w:t>
            </w:r>
          </w:p>
        </w:tc>
        <w:tc>
          <w:tcPr>
            <w:tcW w:w="807" w:type="pct"/>
            <w:vAlign w:val="center"/>
          </w:tcPr>
          <w:p>
            <w:pPr>
              <w:pStyle w:val="14"/>
            </w:pPr>
            <w:r>
              <w:t>2人</w:t>
            </w:r>
          </w:p>
        </w:tc>
        <w:tc>
          <w:tcPr>
            <w:tcW w:w="864" w:type="pct"/>
            <w:vAlign w:val="center"/>
          </w:tcPr>
          <w:p>
            <w:pPr>
              <w:pStyle w:val="14"/>
            </w:pPr>
            <w: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pct"/>
            <w:vMerge w:val="continue"/>
            <w:vAlign w:val="center"/>
          </w:tcPr>
          <w:p/>
        </w:tc>
        <w:tc>
          <w:tcPr>
            <w:tcW w:w="860" w:type="pct"/>
            <w:vAlign w:val="center"/>
          </w:tcPr>
          <w:p>
            <w:pPr>
              <w:pStyle w:val="14"/>
            </w:pPr>
            <w:r>
              <w:t>质量指标</w:t>
            </w:r>
          </w:p>
        </w:tc>
        <w:tc>
          <w:tcPr>
            <w:tcW w:w="714" w:type="pct"/>
            <w:vAlign w:val="center"/>
          </w:tcPr>
          <w:p>
            <w:pPr>
              <w:pStyle w:val="14"/>
            </w:pPr>
            <w:r>
              <w:t>合同制教师完成岗位目标</w:t>
            </w:r>
          </w:p>
        </w:tc>
        <w:tc>
          <w:tcPr>
            <w:tcW w:w="1185" w:type="pct"/>
            <w:vAlign w:val="center"/>
          </w:tcPr>
          <w:p>
            <w:pPr>
              <w:pStyle w:val="14"/>
            </w:pPr>
            <w:r>
              <w:t>不同学科合同制教师岗位目标明确，并得以执行</w:t>
            </w:r>
          </w:p>
        </w:tc>
        <w:tc>
          <w:tcPr>
            <w:tcW w:w="807" w:type="pct"/>
            <w:vAlign w:val="center"/>
          </w:tcPr>
          <w:p>
            <w:pPr>
              <w:pStyle w:val="14"/>
            </w:pPr>
            <w:r>
              <w:t>完成岗位目标职责</w:t>
            </w:r>
          </w:p>
        </w:tc>
        <w:tc>
          <w:tcPr>
            <w:tcW w:w="864" w:type="pct"/>
            <w:vAlign w:val="center"/>
          </w:tcPr>
          <w:p>
            <w:pPr>
              <w:pStyle w:val="14"/>
            </w:pPr>
            <w: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pct"/>
            <w:vMerge w:val="continue"/>
            <w:vAlign w:val="center"/>
          </w:tcPr>
          <w:p/>
        </w:tc>
        <w:tc>
          <w:tcPr>
            <w:tcW w:w="860" w:type="pct"/>
            <w:vAlign w:val="center"/>
          </w:tcPr>
          <w:p>
            <w:pPr>
              <w:pStyle w:val="14"/>
            </w:pPr>
            <w:r>
              <w:t>质量指标</w:t>
            </w:r>
          </w:p>
        </w:tc>
        <w:tc>
          <w:tcPr>
            <w:tcW w:w="714" w:type="pct"/>
            <w:vAlign w:val="center"/>
          </w:tcPr>
          <w:p>
            <w:pPr>
              <w:pStyle w:val="14"/>
            </w:pPr>
            <w:r>
              <w:t>合同制教师的考核合格率</w:t>
            </w:r>
          </w:p>
        </w:tc>
        <w:tc>
          <w:tcPr>
            <w:tcW w:w="1185" w:type="pct"/>
            <w:vAlign w:val="center"/>
          </w:tcPr>
          <w:p>
            <w:pPr>
              <w:pStyle w:val="14"/>
            </w:pPr>
            <w:r>
              <w:t>合格率达到100%</w:t>
            </w:r>
          </w:p>
        </w:tc>
        <w:tc>
          <w:tcPr>
            <w:tcW w:w="807" w:type="pct"/>
            <w:vAlign w:val="center"/>
          </w:tcPr>
          <w:p>
            <w:pPr>
              <w:pStyle w:val="14"/>
            </w:pPr>
            <w:r>
              <w:t>≥98%</w:t>
            </w:r>
          </w:p>
        </w:tc>
        <w:tc>
          <w:tcPr>
            <w:tcW w:w="864" w:type="pct"/>
            <w:vAlign w:val="center"/>
          </w:tcPr>
          <w:p>
            <w:pPr>
              <w:pStyle w:val="14"/>
            </w:pPr>
            <w: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pct"/>
            <w:vMerge w:val="continue"/>
            <w:vAlign w:val="center"/>
          </w:tcPr>
          <w:p/>
        </w:tc>
        <w:tc>
          <w:tcPr>
            <w:tcW w:w="860" w:type="pct"/>
            <w:vAlign w:val="center"/>
          </w:tcPr>
          <w:p>
            <w:pPr>
              <w:pStyle w:val="14"/>
            </w:pPr>
            <w:r>
              <w:t>时效指标</w:t>
            </w:r>
          </w:p>
        </w:tc>
        <w:tc>
          <w:tcPr>
            <w:tcW w:w="714" w:type="pct"/>
            <w:vAlign w:val="center"/>
          </w:tcPr>
          <w:p>
            <w:pPr>
              <w:pStyle w:val="14"/>
            </w:pPr>
            <w:r>
              <w:t>资金支出率（%）</w:t>
            </w:r>
          </w:p>
        </w:tc>
        <w:tc>
          <w:tcPr>
            <w:tcW w:w="1185" w:type="pct"/>
            <w:vAlign w:val="center"/>
          </w:tcPr>
          <w:p>
            <w:pPr>
              <w:pStyle w:val="14"/>
            </w:pPr>
            <w:r>
              <w:t>按月支付合同制教师工资及缴纳社会保障及住房公积金</w:t>
            </w:r>
          </w:p>
        </w:tc>
        <w:tc>
          <w:tcPr>
            <w:tcW w:w="807" w:type="pct"/>
            <w:vAlign w:val="center"/>
          </w:tcPr>
          <w:p>
            <w:pPr>
              <w:pStyle w:val="14"/>
            </w:pPr>
            <w:r>
              <w:t>≥95%</w:t>
            </w:r>
          </w:p>
        </w:tc>
        <w:tc>
          <w:tcPr>
            <w:tcW w:w="864" w:type="pct"/>
            <w:vAlign w:val="center"/>
          </w:tcPr>
          <w:p>
            <w:pPr>
              <w:pStyle w:val="14"/>
            </w:pPr>
            <w: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pct"/>
            <w:vMerge w:val="continue"/>
            <w:vAlign w:val="center"/>
          </w:tcPr>
          <w:p/>
        </w:tc>
        <w:tc>
          <w:tcPr>
            <w:tcW w:w="860" w:type="pct"/>
            <w:vAlign w:val="center"/>
          </w:tcPr>
          <w:p>
            <w:pPr>
              <w:pStyle w:val="14"/>
            </w:pPr>
            <w:r>
              <w:t>成本指标</w:t>
            </w:r>
          </w:p>
        </w:tc>
        <w:tc>
          <w:tcPr>
            <w:tcW w:w="714" w:type="pct"/>
            <w:vAlign w:val="center"/>
          </w:tcPr>
          <w:p>
            <w:pPr>
              <w:pStyle w:val="14"/>
            </w:pPr>
            <w:r>
              <w:t>保障项目正常运行</w:t>
            </w:r>
          </w:p>
        </w:tc>
        <w:tc>
          <w:tcPr>
            <w:tcW w:w="1185" w:type="pct"/>
            <w:vAlign w:val="center"/>
          </w:tcPr>
          <w:p>
            <w:pPr>
              <w:pStyle w:val="14"/>
            </w:pPr>
            <w:r>
              <w:t>合同制教师薪酬测算标准</w:t>
            </w:r>
          </w:p>
        </w:tc>
        <w:tc>
          <w:tcPr>
            <w:tcW w:w="807" w:type="pct"/>
            <w:vAlign w:val="center"/>
          </w:tcPr>
          <w:p>
            <w:pPr>
              <w:pStyle w:val="14"/>
            </w:pPr>
            <w:r>
              <w:t>根据廊广传【2021】19号文件合同制教师与在职教师同工同酬</w:t>
            </w:r>
          </w:p>
        </w:tc>
        <w:tc>
          <w:tcPr>
            <w:tcW w:w="864" w:type="pct"/>
            <w:vAlign w:val="center"/>
          </w:tcPr>
          <w:p>
            <w:pPr>
              <w:pStyle w:val="14"/>
            </w:pPr>
            <w: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pct"/>
            <w:vAlign w:val="center"/>
          </w:tcPr>
          <w:p>
            <w:pPr>
              <w:pStyle w:val="15"/>
            </w:pPr>
            <w:r>
              <w:t>效益指标</w:t>
            </w:r>
          </w:p>
        </w:tc>
        <w:tc>
          <w:tcPr>
            <w:tcW w:w="860" w:type="pct"/>
            <w:vAlign w:val="center"/>
          </w:tcPr>
          <w:p>
            <w:pPr>
              <w:pStyle w:val="14"/>
            </w:pPr>
            <w:r>
              <w:t>社会效益指标</w:t>
            </w:r>
          </w:p>
        </w:tc>
        <w:tc>
          <w:tcPr>
            <w:tcW w:w="714" w:type="pct"/>
            <w:vAlign w:val="center"/>
          </w:tcPr>
          <w:p>
            <w:pPr>
              <w:pStyle w:val="14"/>
            </w:pPr>
            <w:r>
              <w:t>缓解师资供需矛盾</w:t>
            </w:r>
          </w:p>
        </w:tc>
        <w:tc>
          <w:tcPr>
            <w:tcW w:w="1185" w:type="pct"/>
            <w:vAlign w:val="center"/>
          </w:tcPr>
          <w:p>
            <w:pPr>
              <w:pStyle w:val="14"/>
            </w:pPr>
            <w:r>
              <w:t>缓解教师短缺，保障教育教学正常的进行</w:t>
            </w:r>
          </w:p>
        </w:tc>
        <w:tc>
          <w:tcPr>
            <w:tcW w:w="807" w:type="pct"/>
            <w:vAlign w:val="center"/>
          </w:tcPr>
          <w:p>
            <w:pPr>
              <w:pStyle w:val="14"/>
            </w:pPr>
            <w:r>
              <w:t>缓解</w:t>
            </w:r>
          </w:p>
        </w:tc>
        <w:tc>
          <w:tcPr>
            <w:tcW w:w="864" w:type="pct"/>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pct"/>
            <w:vMerge w:val="restart"/>
            <w:vAlign w:val="center"/>
          </w:tcPr>
          <w:p>
            <w:pPr>
              <w:pStyle w:val="15"/>
            </w:pPr>
            <w:r>
              <w:t>满意度指标</w:t>
            </w:r>
          </w:p>
        </w:tc>
        <w:tc>
          <w:tcPr>
            <w:tcW w:w="860" w:type="pct"/>
            <w:vAlign w:val="center"/>
          </w:tcPr>
          <w:p>
            <w:pPr>
              <w:pStyle w:val="14"/>
            </w:pPr>
            <w:r>
              <w:t>服务对象满意度指标</w:t>
            </w:r>
          </w:p>
        </w:tc>
        <w:tc>
          <w:tcPr>
            <w:tcW w:w="714" w:type="pct"/>
            <w:vAlign w:val="center"/>
          </w:tcPr>
          <w:p>
            <w:pPr>
              <w:pStyle w:val="14"/>
            </w:pPr>
            <w:r>
              <w:t>学生满意度</w:t>
            </w:r>
          </w:p>
        </w:tc>
        <w:tc>
          <w:tcPr>
            <w:tcW w:w="1185" w:type="pct"/>
            <w:vAlign w:val="center"/>
          </w:tcPr>
          <w:p>
            <w:pPr>
              <w:pStyle w:val="14"/>
            </w:pPr>
            <w:r>
              <w:t>所教班级学生满意度</w:t>
            </w:r>
          </w:p>
        </w:tc>
        <w:tc>
          <w:tcPr>
            <w:tcW w:w="807" w:type="pct"/>
            <w:vAlign w:val="center"/>
          </w:tcPr>
          <w:p>
            <w:pPr>
              <w:pStyle w:val="14"/>
            </w:pPr>
            <w:r>
              <w:t>≥95%</w:t>
            </w:r>
          </w:p>
        </w:tc>
        <w:tc>
          <w:tcPr>
            <w:tcW w:w="864" w:type="pct"/>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pct"/>
            <w:vMerge w:val="continue"/>
            <w:vAlign w:val="center"/>
          </w:tcPr>
          <w:p/>
        </w:tc>
        <w:tc>
          <w:tcPr>
            <w:tcW w:w="860" w:type="pct"/>
            <w:vAlign w:val="center"/>
          </w:tcPr>
          <w:p>
            <w:pPr>
              <w:pStyle w:val="14"/>
            </w:pPr>
            <w:r>
              <w:t>服务对象满意度指标</w:t>
            </w:r>
          </w:p>
        </w:tc>
        <w:tc>
          <w:tcPr>
            <w:tcW w:w="714" w:type="pct"/>
            <w:vAlign w:val="center"/>
          </w:tcPr>
          <w:p>
            <w:pPr>
              <w:pStyle w:val="14"/>
            </w:pPr>
            <w:r>
              <w:t>学校满意度</w:t>
            </w:r>
          </w:p>
        </w:tc>
        <w:tc>
          <w:tcPr>
            <w:tcW w:w="1185" w:type="pct"/>
            <w:vAlign w:val="center"/>
          </w:tcPr>
          <w:p>
            <w:pPr>
              <w:pStyle w:val="14"/>
            </w:pPr>
            <w:r>
              <w:t>在校教师满意度</w:t>
            </w:r>
          </w:p>
        </w:tc>
        <w:tc>
          <w:tcPr>
            <w:tcW w:w="807" w:type="pct"/>
            <w:vAlign w:val="center"/>
          </w:tcPr>
          <w:p>
            <w:pPr>
              <w:pStyle w:val="14"/>
            </w:pPr>
            <w:r>
              <w:t>≥95%</w:t>
            </w:r>
          </w:p>
        </w:tc>
        <w:tc>
          <w:tcPr>
            <w:tcW w:w="864" w:type="pct"/>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pct"/>
            <w:vMerge w:val="continue"/>
            <w:vAlign w:val="center"/>
          </w:tcPr>
          <w:p/>
        </w:tc>
        <w:tc>
          <w:tcPr>
            <w:tcW w:w="860" w:type="pct"/>
            <w:vAlign w:val="center"/>
          </w:tcPr>
          <w:p>
            <w:pPr>
              <w:pStyle w:val="14"/>
            </w:pPr>
            <w:r>
              <w:t>服务对象满意度指标</w:t>
            </w:r>
          </w:p>
        </w:tc>
        <w:tc>
          <w:tcPr>
            <w:tcW w:w="714" w:type="pct"/>
            <w:vAlign w:val="center"/>
          </w:tcPr>
          <w:p>
            <w:pPr>
              <w:pStyle w:val="14"/>
            </w:pPr>
            <w:r>
              <w:t>家长满意度</w:t>
            </w:r>
          </w:p>
        </w:tc>
        <w:tc>
          <w:tcPr>
            <w:tcW w:w="1185" w:type="pct"/>
            <w:vAlign w:val="center"/>
          </w:tcPr>
          <w:p>
            <w:pPr>
              <w:pStyle w:val="14"/>
            </w:pPr>
            <w:r>
              <w:t>所教班级家长满意度</w:t>
            </w:r>
          </w:p>
        </w:tc>
        <w:tc>
          <w:tcPr>
            <w:tcW w:w="807" w:type="pct"/>
            <w:vAlign w:val="center"/>
          </w:tcPr>
          <w:p>
            <w:pPr>
              <w:pStyle w:val="14"/>
            </w:pPr>
            <w:r>
              <w:t>≥95%</w:t>
            </w:r>
          </w:p>
        </w:tc>
        <w:tc>
          <w:tcPr>
            <w:tcW w:w="864" w:type="pct"/>
            <w:vAlign w:val="center"/>
          </w:tcPr>
          <w:p>
            <w:pPr>
              <w:pStyle w:val="14"/>
            </w:pPr>
            <w:r>
              <w:t>调查问卷</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hint="eastAsia" w:ascii="仿宋_GB2312" w:hAnsi="仿宋_GB2312" w:eastAsia="仿宋_GB2312" w:cs="仿宋_GB2312"/>
          <w:color w:val="000000"/>
          <w:sz w:val="28"/>
        </w:rPr>
      </w:pPr>
      <w:bookmarkStart w:id="4" w:name="_Toc_4_4_0000000007"/>
      <w:r>
        <w:rPr>
          <w:rFonts w:hint="eastAsia" w:ascii="仿宋_GB2312" w:hAnsi="仿宋_GB2312" w:eastAsia="仿宋_GB2312" w:cs="仿宋_GB2312"/>
          <w:color w:val="000000"/>
          <w:sz w:val="28"/>
        </w:rPr>
        <w:t>4.教育经费绩效目标表</w:t>
      </w:r>
      <w:bookmarkEnd w:id="4"/>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2"/>
            </w:pPr>
            <w:r>
              <w:t>绩效目标</w:t>
            </w:r>
          </w:p>
        </w:tc>
        <w:tc>
          <w:tcPr>
            <w:tcW w:w="4355" w:type="pct"/>
            <w:vAlign w:val="center"/>
          </w:tcPr>
          <w:p>
            <w:pPr>
              <w:pStyle w:val="14"/>
            </w:pPr>
            <w:r>
              <w:t>1.弥补办公经费不足，保障教育教学正常的进行。</w:t>
            </w:r>
          </w:p>
          <w:p>
            <w:pPr>
              <w:pStyle w:val="14"/>
            </w:pPr>
            <w:r>
              <w:t>2.改善办学条件，提高教育教学环境。</w:t>
            </w:r>
          </w:p>
          <w:p>
            <w:pPr>
              <w:pStyle w:val="14"/>
            </w:pPr>
            <w:r>
              <w:t>3.开展文化体育等社会活动，提高学校社会影响力。</w:t>
            </w:r>
          </w:p>
          <w:p>
            <w:pPr>
              <w:pStyle w:val="14"/>
            </w:pPr>
            <w:r>
              <w:t>4.开展教师培训，提高教师队伍水平。</w:t>
            </w:r>
          </w:p>
        </w:tc>
      </w:tr>
    </w:tbl>
    <w:p>
      <w:pPr>
        <w:spacing w:line="2" w:lineRule="exact"/>
        <w:jc w:val="center"/>
      </w:pPr>
      <w:r>
        <w:rPr>
          <w:rFonts w:ascii="方正书宋_GBK" w:hAnsi="方正书宋_GBK" w:eastAsia="方正书宋_GBK" w:cs="方正书宋_GBK"/>
          <w:color w:val="000000"/>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2"/>
            </w:pPr>
            <w:r>
              <w:t>一级指标</w:t>
            </w:r>
          </w:p>
        </w:tc>
        <w:tc>
          <w:tcPr>
            <w:tcW w:w="644" w:type="pct"/>
            <w:vAlign w:val="center"/>
          </w:tcPr>
          <w:p>
            <w:pPr>
              <w:pStyle w:val="12"/>
            </w:pPr>
            <w:r>
              <w:t>二级指标</w:t>
            </w:r>
          </w:p>
        </w:tc>
        <w:tc>
          <w:tcPr>
            <w:tcW w:w="673" w:type="pct"/>
            <w:vAlign w:val="center"/>
          </w:tcPr>
          <w:p>
            <w:pPr>
              <w:pStyle w:val="12"/>
            </w:pPr>
            <w:r>
              <w:t>三级指标</w:t>
            </w:r>
          </w:p>
        </w:tc>
        <w:tc>
          <w:tcPr>
            <w:tcW w:w="1461" w:type="pct"/>
            <w:vAlign w:val="center"/>
          </w:tcPr>
          <w:p>
            <w:pPr>
              <w:pStyle w:val="12"/>
            </w:pPr>
            <w:r>
              <w:t>绩效指标描述</w:t>
            </w:r>
          </w:p>
        </w:tc>
        <w:tc>
          <w:tcPr>
            <w:tcW w:w="644" w:type="pct"/>
            <w:vAlign w:val="center"/>
          </w:tcPr>
          <w:p>
            <w:pPr>
              <w:pStyle w:val="12"/>
            </w:pPr>
            <w:r>
              <w:t>指标值</w:t>
            </w:r>
          </w:p>
        </w:tc>
        <w:tc>
          <w:tcPr>
            <w:tcW w:w="931" w:type="pct"/>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产出指标</w:t>
            </w:r>
          </w:p>
        </w:tc>
        <w:tc>
          <w:tcPr>
            <w:tcW w:w="644" w:type="pct"/>
            <w:vAlign w:val="center"/>
          </w:tcPr>
          <w:p>
            <w:pPr>
              <w:pStyle w:val="14"/>
            </w:pPr>
            <w:r>
              <w:t>数量指标</w:t>
            </w:r>
          </w:p>
        </w:tc>
        <w:tc>
          <w:tcPr>
            <w:tcW w:w="673" w:type="pct"/>
            <w:vAlign w:val="center"/>
          </w:tcPr>
          <w:p>
            <w:pPr>
              <w:pStyle w:val="14"/>
            </w:pPr>
            <w:r>
              <w:t>保12个月教学正常运转</w:t>
            </w:r>
          </w:p>
        </w:tc>
        <w:tc>
          <w:tcPr>
            <w:tcW w:w="1461" w:type="pct"/>
            <w:vAlign w:val="center"/>
          </w:tcPr>
          <w:p>
            <w:pPr>
              <w:pStyle w:val="14"/>
            </w:pPr>
            <w:r>
              <w:t>保障教学正常运转时长</w:t>
            </w:r>
          </w:p>
        </w:tc>
        <w:tc>
          <w:tcPr>
            <w:tcW w:w="644" w:type="pct"/>
            <w:vAlign w:val="center"/>
          </w:tcPr>
          <w:p>
            <w:pPr>
              <w:pStyle w:val="14"/>
            </w:pPr>
            <w:r>
              <w:t>12月</w:t>
            </w:r>
          </w:p>
        </w:tc>
        <w:tc>
          <w:tcPr>
            <w:tcW w:w="931" w:type="pct"/>
            <w:vAlign w:val="center"/>
          </w:tcPr>
          <w:p>
            <w:pPr>
              <w:pStyle w:val="14"/>
            </w:pPr>
            <w: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4"/>
            </w:pPr>
            <w:r>
              <w:t>质量指标</w:t>
            </w:r>
          </w:p>
        </w:tc>
        <w:tc>
          <w:tcPr>
            <w:tcW w:w="673" w:type="pct"/>
            <w:vAlign w:val="center"/>
          </w:tcPr>
          <w:p>
            <w:pPr>
              <w:pStyle w:val="14"/>
            </w:pPr>
            <w:r>
              <w:t>物资采购合格率</w:t>
            </w:r>
          </w:p>
        </w:tc>
        <w:tc>
          <w:tcPr>
            <w:tcW w:w="1461" w:type="pct"/>
            <w:vAlign w:val="center"/>
          </w:tcPr>
          <w:p>
            <w:pPr>
              <w:pStyle w:val="14"/>
            </w:pPr>
            <w:r>
              <w:t>保障日常教学器材及物资充裕</w:t>
            </w:r>
          </w:p>
        </w:tc>
        <w:tc>
          <w:tcPr>
            <w:tcW w:w="644" w:type="pct"/>
            <w:vAlign w:val="center"/>
          </w:tcPr>
          <w:p>
            <w:pPr>
              <w:pStyle w:val="14"/>
            </w:pPr>
            <w:r>
              <w:t>100%</w:t>
            </w:r>
          </w:p>
        </w:tc>
        <w:tc>
          <w:tcPr>
            <w:tcW w:w="931" w:type="pct"/>
            <w:vAlign w:val="center"/>
          </w:tcPr>
          <w:p>
            <w:pPr>
              <w:pStyle w:val="14"/>
            </w:pPr>
            <w: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4"/>
            </w:pPr>
            <w:r>
              <w:t>质量指标</w:t>
            </w:r>
          </w:p>
        </w:tc>
        <w:tc>
          <w:tcPr>
            <w:tcW w:w="673" w:type="pct"/>
            <w:vAlign w:val="center"/>
          </w:tcPr>
          <w:p>
            <w:pPr>
              <w:pStyle w:val="14"/>
            </w:pPr>
            <w:r>
              <w:t>上级下达学校的各项工作任务完成率</w:t>
            </w:r>
          </w:p>
        </w:tc>
        <w:tc>
          <w:tcPr>
            <w:tcW w:w="1461" w:type="pct"/>
            <w:vAlign w:val="center"/>
          </w:tcPr>
          <w:p>
            <w:pPr>
              <w:pStyle w:val="14"/>
            </w:pPr>
            <w:r>
              <w:t>保证完成上级下达学校的各项工作任务</w:t>
            </w:r>
          </w:p>
        </w:tc>
        <w:tc>
          <w:tcPr>
            <w:tcW w:w="644" w:type="pct"/>
            <w:vAlign w:val="center"/>
          </w:tcPr>
          <w:p>
            <w:pPr>
              <w:pStyle w:val="14"/>
            </w:pPr>
            <w:r>
              <w:t>100%</w:t>
            </w:r>
          </w:p>
        </w:tc>
        <w:tc>
          <w:tcPr>
            <w:tcW w:w="931" w:type="pct"/>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4"/>
            </w:pPr>
            <w:r>
              <w:t>时效指标</w:t>
            </w:r>
          </w:p>
        </w:tc>
        <w:tc>
          <w:tcPr>
            <w:tcW w:w="673" w:type="pct"/>
            <w:vAlign w:val="center"/>
          </w:tcPr>
          <w:p>
            <w:pPr>
              <w:pStyle w:val="14"/>
            </w:pPr>
            <w:r>
              <w:t>用于保障学校正常运转项目完成及时率</w:t>
            </w:r>
          </w:p>
        </w:tc>
        <w:tc>
          <w:tcPr>
            <w:tcW w:w="1461" w:type="pct"/>
            <w:vAlign w:val="center"/>
          </w:tcPr>
          <w:p>
            <w:pPr>
              <w:pStyle w:val="14"/>
            </w:pPr>
            <w:r>
              <w:t>及时提供的教学用品、保障教学设施、设备正常运行</w:t>
            </w:r>
          </w:p>
        </w:tc>
        <w:tc>
          <w:tcPr>
            <w:tcW w:w="644" w:type="pct"/>
            <w:vAlign w:val="center"/>
          </w:tcPr>
          <w:p>
            <w:pPr>
              <w:pStyle w:val="14"/>
            </w:pPr>
            <w:r>
              <w:t>100%</w:t>
            </w:r>
          </w:p>
        </w:tc>
        <w:tc>
          <w:tcPr>
            <w:tcW w:w="931" w:type="pct"/>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效益指标</w:t>
            </w:r>
          </w:p>
        </w:tc>
        <w:tc>
          <w:tcPr>
            <w:tcW w:w="644" w:type="pct"/>
            <w:vAlign w:val="center"/>
          </w:tcPr>
          <w:p>
            <w:pPr>
              <w:pStyle w:val="14"/>
            </w:pPr>
            <w:r>
              <w:t>社会效益指标</w:t>
            </w:r>
          </w:p>
        </w:tc>
        <w:tc>
          <w:tcPr>
            <w:tcW w:w="673" w:type="pct"/>
            <w:vAlign w:val="center"/>
          </w:tcPr>
          <w:p>
            <w:pPr>
              <w:pStyle w:val="14"/>
            </w:pPr>
            <w:r>
              <w:t>义务教育高质量发展</w:t>
            </w:r>
          </w:p>
        </w:tc>
        <w:tc>
          <w:tcPr>
            <w:tcW w:w="1461" w:type="pct"/>
            <w:vAlign w:val="center"/>
          </w:tcPr>
          <w:p>
            <w:pPr>
              <w:pStyle w:val="14"/>
            </w:pPr>
            <w:r>
              <w:t>推动义务教育从数量扩张向质量提高转变</w:t>
            </w:r>
          </w:p>
        </w:tc>
        <w:tc>
          <w:tcPr>
            <w:tcW w:w="644" w:type="pct"/>
            <w:vAlign w:val="center"/>
          </w:tcPr>
          <w:p>
            <w:pPr>
              <w:pStyle w:val="14"/>
            </w:pPr>
            <w:r>
              <w:t>提高</w:t>
            </w:r>
          </w:p>
        </w:tc>
        <w:tc>
          <w:tcPr>
            <w:tcW w:w="931" w:type="pct"/>
            <w:vAlign w:val="center"/>
          </w:tcPr>
          <w:p>
            <w:pPr>
              <w:pStyle w:val="14"/>
            </w:pPr>
            <w:r>
              <w:rPr>
                <w:rFonts w:hint="eastAsia"/>
                <w:lang w:eastAsia="zh-CN"/>
              </w:rPr>
              <w:t>单位</w:t>
            </w:r>
            <w: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满意度指标</w:t>
            </w:r>
          </w:p>
        </w:tc>
        <w:tc>
          <w:tcPr>
            <w:tcW w:w="644" w:type="pct"/>
            <w:vAlign w:val="center"/>
          </w:tcPr>
          <w:p>
            <w:pPr>
              <w:pStyle w:val="14"/>
            </w:pPr>
            <w:r>
              <w:t>服务对象满意度指标</w:t>
            </w:r>
          </w:p>
        </w:tc>
        <w:tc>
          <w:tcPr>
            <w:tcW w:w="673" w:type="pct"/>
            <w:vAlign w:val="center"/>
          </w:tcPr>
          <w:p>
            <w:pPr>
              <w:pStyle w:val="14"/>
            </w:pPr>
            <w:r>
              <w:t>在校师生的满意程度</w:t>
            </w:r>
          </w:p>
        </w:tc>
        <w:tc>
          <w:tcPr>
            <w:tcW w:w="1461" w:type="pct"/>
            <w:vAlign w:val="center"/>
          </w:tcPr>
          <w:p>
            <w:pPr>
              <w:pStyle w:val="14"/>
            </w:pPr>
            <w:r>
              <w:t>在校师生的满意程度</w:t>
            </w:r>
          </w:p>
        </w:tc>
        <w:tc>
          <w:tcPr>
            <w:tcW w:w="644" w:type="pct"/>
            <w:vAlign w:val="center"/>
          </w:tcPr>
          <w:p>
            <w:pPr>
              <w:pStyle w:val="14"/>
            </w:pPr>
            <w:r>
              <w:t>≥95%</w:t>
            </w:r>
          </w:p>
        </w:tc>
        <w:tc>
          <w:tcPr>
            <w:tcW w:w="931" w:type="pct"/>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4"/>
            </w:pPr>
            <w:r>
              <w:t>服务对象满意度指标</w:t>
            </w:r>
          </w:p>
        </w:tc>
        <w:tc>
          <w:tcPr>
            <w:tcW w:w="673" w:type="pct"/>
            <w:vAlign w:val="center"/>
          </w:tcPr>
          <w:p>
            <w:pPr>
              <w:pStyle w:val="14"/>
            </w:pPr>
            <w:r>
              <w:t>家长的满意程度</w:t>
            </w:r>
          </w:p>
        </w:tc>
        <w:tc>
          <w:tcPr>
            <w:tcW w:w="1461" w:type="pct"/>
            <w:vAlign w:val="center"/>
          </w:tcPr>
          <w:p>
            <w:pPr>
              <w:pStyle w:val="14"/>
            </w:pPr>
            <w:r>
              <w:t>家长的满意程度</w:t>
            </w:r>
          </w:p>
        </w:tc>
        <w:tc>
          <w:tcPr>
            <w:tcW w:w="644" w:type="pct"/>
            <w:vAlign w:val="center"/>
          </w:tcPr>
          <w:p>
            <w:pPr>
              <w:pStyle w:val="14"/>
            </w:pPr>
            <w:r>
              <w:t>≥95%</w:t>
            </w:r>
          </w:p>
        </w:tc>
        <w:tc>
          <w:tcPr>
            <w:tcW w:w="931" w:type="pct"/>
            <w:vAlign w:val="center"/>
          </w:tcPr>
          <w:p>
            <w:pPr>
              <w:pStyle w:val="14"/>
            </w:pPr>
            <w:r>
              <w:t>调查问卷</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hint="eastAsia" w:ascii="仿宋_GB2312" w:hAnsi="仿宋_GB2312" w:eastAsia="仿宋_GB2312" w:cs="仿宋_GB2312"/>
          <w:color w:val="000000"/>
          <w:sz w:val="28"/>
        </w:rPr>
      </w:pPr>
      <w:bookmarkStart w:id="5" w:name="_Toc_4_4_0000000008"/>
      <w:r>
        <w:rPr>
          <w:rFonts w:hint="eastAsia" w:ascii="仿宋_GB2312" w:hAnsi="仿宋_GB2312" w:eastAsia="仿宋_GB2312" w:cs="仿宋_GB2312"/>
          <w:color w:val="000000"/>
          <w:sz w:val="28"/>
        </w:rPr>
        <w:t>5.幼儿园生均经费绩效目标表</w:t>
      </w:r>
      <w:bookmarkEnd w:id="5"/>
    </w:p>
    <w:tbl>
      <w:tblPr>
        <w:tblStyle w:val="8"/>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
        <w:gridCol w:w="1510"/>
        <w:gridCol w:w="2134"/>
        <w:gridCol w:w="1904"/>
        <w:gridCol w:w="4140"/>
        <w:gridCol w:w="1825"/>
        <w:gridCol w:w="264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gridSpan w:val="2"/>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绩效目标</w:t>
            </w:r>
          </w:p>
        </w:tc>
        <w:tc>
          <w:tcPr>
            <w:tcW w:w="4465" w:type="pct"/>
            <w:gridSpan w:val="5"/>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1.弥补办公经费不足，保障教育教学正常的进行。</w:t>
            </w:r>
          </w:p>
          <w:p>
            <w:pPr>
              <w:pStyle w:val="14"/>
              <w:keepNext w:val="0"/>
              <w:keepLines w:val="0"/>
              <w:pageBreakBefore w:val="0"/>
              <w:kinsoku/>
              <w:wordWrap/>
              <w:overflowPunct/>
              <w:topLinePunct w:val="0"/>
              <w:autoSpaceDE/>
              <w:autoSpaceDN/>
              <w:bidi w:val="0"/>
              <w:adjustRightInd/>
              <w:snapToGrid/>
              <w:spacing w:line="400" w:lineRule="exact"/>
              <w:textAlignment w:val="auto"/>
            </w:pPr>
            <w:r>
              <w:t>2.改善办学条件，提高教育教学环境。</w:t>
            </w:r>
          </w:p>
          <w:p>
            <w:pPr>
              <w:pStyle w:val="14"/>
              <w:keepNext w:val="0"/>
              <w:keepLines w:val="0"/>
              <w:pageBreakBefore w:val="0"/>
              <w:kinsoku/>
              <w:wordWrap/>
              <w:overflowPunct/>
              <w:topLinePunct w:val="0"/>
              <w:autoSpaceDE/>
              <w:autoSpaceDN/>
              <w:bidi w:val="0"/>
              <w:adjustRightInd/>
              <w:snapToGrid/>
              <w:spacing w:line="400" w:lineRule="exact"/>
              <w:textAlignment w:val="auto"/>
            </w:pPr>
            <w:r>
              <w:t>3.开展文化体育等社会活动，提高学校社会影响力。</w:t>
            </w:r>
          </w:p>
          <w:p>
            <w:pPr>
              <w:pStyle w:val="14"/>
              <w:keepNext w:val="0"/>
              <w:keepLines w:val="0"/>
              <w:pageBreakBefore w:val="0"/>
              <w:kinsoku/>
              <w:wordWrap/>
              <w:overflowPunct/>
              <w:topLinePunct w:val="0"/>
              <w:autoSpaceDE/>
              <w:autoSpaceDN/>
              <w:bidi w:val="0"/>
              <w:adjustRightInd/>
              <w:snapToGrid/>
              <w:spacing w:line="400" w:lineRule="exact"/>
              <w:textAlignment w:val="auto"/>
            </w:pPr>
            <w:r>
              <w:t>4.开展教师培训，提高教师队伍水平。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 w:type="pct"/>
          <w:trHeight w:val="397" w:hRule="atLeast"/>
          <w:tblHeader/>
          <w:jc w:val="center"/>
        </w:trPr>
        <w:tc>
          <w:tcPr>
            <w:tcW w:w="533"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一级指标</w:t>
            </w:r>
          </w:p>
        </w:tc>
        <w:tc>
          <w:tcPr>
            <w:tcW w:w="753"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二级指标</w:t>
            </w:r>
          </w:p>
        </w:tc>
        <w:tc>
          <w:tcPr>
            <w:tcW w:w="67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三级指标</w:t>
            </w:r>
          </w:p>
        </w:tc>
        <w:tc>
          <w:tcPr>
            <w:tcW w:w="1461"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绩效指标描述</w:t>
            </w:r>
          </w:p>
        </w:tc>
        <w:tc>
          <w:tcPr>
            <w:tcW w:w="644"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指标值</w:t>
            </w:r>
          </w:p>
        </w:tc>
        <w:tc>
          <w:tcPr>
            <w:tcW w:w="933"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 w:type="pct"/>
          <w:trHeight w:val="369" w:hRule="atLeast"/>
          <w:jc w:val="center"/>
        </w:trPr>
        <w:tc>
          <w:tcPr>
            <w:tcW w:w="533" w:type="pct"/>
            <w:vMerge w:val="restart"/>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pPr>
            <w:r>
              <w:t>产出指标</w:t>
            </w:r>
          </w:p>
        </w:tc>
        <w:tc>
          <w:tcPr>
            <w:tcW w:w="753"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数量指标</w:t>
            </w:r>
          </w:p>
        </w:tc>
        <w:tc>
          <w:tcPr>
            <w:tcW w:w="672"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保12个月教学正常运转</w:t>
            </w:r>
          </w:p>
        </w:tc>
        <w:tc>
          <w:tcPr>
            <w:tcW w:w="1461"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保障教学正常运转时长</w:t>
            </w:r>
          </w:p>
        </w:tc>
        <w:tc>
          <w:tcPr>
            <w:tcW w:w="64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12月</w:t>
            </w:r>
          </w:p>
        </w:tc>
        <w:tc>
          <w:tcPr>
            <w:tcW w:w="933"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 w:type="pct"/>
          <w:trHeight w:val="369" w:hRule="atLeast"/>
          <w:jc w:val="center"/>
        </w:trPr>
        <w:tc>
          <w:tcPr>
            <w:tcW w:w="533" w:type="pct"/>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pPr>
          </w:p>
        </w:tc>
        <w:tc>
          <w:tcPr>
            <w:tcW w:w="753"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质量指标</w:t>
            </w:r>
          </w:p>
        </w:tc>
        <w:tc>
          <w:tcPr>
            <w:tcW w:w="672"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物资采购合格率</w:t>
            </w:r>
          </w:p>
        </w:tc>
        <w:tc>
          <w:tcPr>
            <w:tcW w:w="1461"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保障日常教学器材及物资充裕</w:t>
            </w:r>
          </w:p>
        </w:tc>
        <w:tc>
          <w:tcPr>
            <w:tcW w:w="64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100%</w:t>
            </w:r>
          </w:p>
        </w:tc>
        <w:tc>
          <w:tcPr>
            <w:tcW w:w="933"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 w:type="pct"/>
          <w:trHeight w:val="369" w:hRule="atLeast"/>
          <w:jc w:val="center"/>
        </w:trPr>
        <w:tc>
          <w:tcPr>
            <w:tcW w:w="533" w:type="pct"/>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pPr>
          </w:p>
        </w:tc>
        <w:tc>
          <w:tcPr>
            <w:tcW w:w="753"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质量指标</w:t>
            </w:r>
          </w:p>
        </w:tc>
        <w:tc>
          <w:tcPr>
            <w:tcW w:w="672"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上级下达学校的各项工作任务完成率</w:t>
            </w:r>
          </w:p>
        </w:tc>
        <w:tc>
          <w:tcPr>
            <w:tcW w:w="1461"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保证完成上级下达学校的各项工作任务</w:t>
            </w:r>
          </w:p>
        </w:tc>
        <w:tc>
          <w:tcPr>
            <w:tcW w:w="64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100%</w:t>
            </w:r>
          </w:p>
        </w:tc>
        <w:tc>
          <w:tcPr>
            <w:tcW w:w="933"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 w:type="pct"/>
          <w:trHeight w:val="369" w:hRule="atLeast"/>
          <w:jc w:val="center"/>
        </w:trPr>
        <w:tc>
          <w:tcPr>
            <w:tcW w:w="533" w:type="pct"/>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pPr>
          </w:p>
        </w:tc>
        <w:tc>
          <w:tcPr>
            <w:tcW w:w="753"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时效指标</w:t>
            </w:r>
          </w:p>
        </w:tc>
        <w:tc>
          <w:tcPr>
            <w:tcW w:w="672"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用于保障学校正常运转项目完成及时率</w:t>
            </w:r>
          </w:p>
        </w:tc>
        <w:tc>
          <w:tcPr>
            <w:tcW w:w="1461"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及时提供的教学用品、保障教学设施、设备正常运行</w:t>
            </w:r>
          </w:p>
        </w:tc>
        <w:tc>
          <w:tcPr>
            <w:tcW w:w="64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100%</w:t>
            </w:r>
          </w:p>
        </w:tc>
        <w:tc>
          <w:tcPr>
            <w:tcW w:w="933"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 w:type="pct"/>
          <w:trHeight w:val="369" w:hRule="atLeast"/>
          <w:jc w:val="center"/>
        </w:trPr>
        <w:tc>
          <w:tcPr>
            <w:tcW w:w="533" w:type="pct"/>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pPr>
            <w:r>
              <w:t>效益指标</w:t>
            </w:r>
          </w:p>
        </w:tc>
        <w:tc>
          <w:tcPr>
            <w:tcW w:w="753"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社会效益指标</w:t>
            </w:r>
          </w:p>
        </w:tc>
        <w:tc>
          <w:tcPr>
            <w:tcW w:w="672"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义务教育高质量发展</w:t>
            </w:r>
          </w:p>
        </w:tc>
        <w:tc>
          <w:tcPr>
            <w:tcW w:w="1461"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推动义务教育从数量扩张向质量提高转变</w:t>
            </w:r>
          </w:p>
        </w:tc>
        <w:tc>
          <w:tcPr>
            <w:tcW w:w="64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提高</w:t>
            </w:r>
          </w:p>
        </w:tc>
        <w:tc>
          <w:tcPr>
            <w:tcW w:w="933"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rPr>
                <w:rFonts w:hint="eastAsia"/>
                <w:lang w:eastAsia="zh-CN"/>
              </w:rPr>
              <w:t>单位</w:t>
            </w:r>
            <w: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 w:type="pct"/>
          <w:trHeight w:val="369" w:hRule="atLeast"/>
          <w:jc w:val="center"/>
        </w:trPr>
        <w:tc>
          <w:tcPr>
            <w:tcW w:w="533" w:type="pct"/>
            <w:vMerge w:val="restart"/>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pPr>
            <w:r>
              <w:t>满意度指标</w:t>
            </w:r>
          </w:p>
        </w:tc>
        <w:tc>
          <w:tcPr>
            <w:tcW w:w="753"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服务对象满意度指标</w:t>
            </w:r>
          </w:p>
        </w:tc>
        <w:tc>
          <w:tcPr>
            <w:tcW w:w="672"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在校师生的满意程度</w:t>
            </w:r>
          </w:p>
        </w:tc>
        <w:tc>
          <w:tcPr>
            <w:tcW w:w="1461"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在校师生的满意程度</w:t>
            </w:r>
          </w:p>
        </w:tc>
        <w:tc>
          <w:tcPr>
            <w:tcW w:w="64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≥95%</w:t>
            </w:r>
          </w:p>
        </w:tc>
        <w:tc>
          <w:tcPr>
            <w:tcW w:w="933"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 w:type="pct"/>
          <w:trHeight w:val="369" w:hRule="atLeast"/>
          <w:jc w:val="center"/>
        </w:trPr>
        <w:tc>
          <w:tcPr>
            <w:tcW w:w="533" w:type="pct"/>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pPr>
          </w:p>
        </w:tc>
        <w:tc>
          <w:tcPr>
            <w:tcW w:w="753"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服务对象满意度指标</w:t>
            </w:r>
          </w:p>
        </w:tc>
        <w:tc>
          <w:tcPr>
            <w:tcW w:w="672"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家长的满意程度</w:t>
            </w:r>
          </w:p>
        </w:tc>
        <w:tc>
          <w:tcPr>
            <w:tcW w:w="1461"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家长的满意程度</w:t>
            </w:r>
          </w:p>
        </w:tc>
        <w:tc>
          <w:tcPr>
            <w:tcW w:w="64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≥95%</w:t>
            </w:r>
          </w:p>
        </w:tc>
        <w:tc>
          <w:tcPr>
            <w:tcW w:w="933"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调查问卷</w:t>
            </w:r>
          </w:p>
        </w:tc>
      </w:tr>
    </w:tbl>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6"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安排政府采购预算0万元。具体内容见下表。</w:t>
      </w:r>
    </w:p>
    <w:bookmarkEnd w:id="6"/>
    <w:p>
      <w:pPr>
        <w:jc w:val="center"/>
        <w:outlineLvl w:val="1"/>
        <w:rPr>
          <w:rFonts w:ascii="方正小标宋_GBK" w:eastAsia="方正小标宋_GBK" w:cs="Times New Roman"/>
          <w:sz w:val="32"/>
        </w:rPr>
      </w:pPr>
      <w:bookmarkStart w:id="7"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7"/>
    </w:p>
    <w:tbl>
      <w:tblPr>
        <w:tblStyle w:val="8"/>
        <w:tblpPr w:leftFromText="180" w:rightFromText="180" w:vertAnchor="text" w:horzAnchor="page" w:tblpXSpec="center" w:tblpY="612"/>
        <w:tblOverlap w:val="never"/>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7"/>
        <w:gridCol w:w="1040"/>
        <w:gridCol w:w="1040"/>
        <w:gridCol w:w="649"/>
        <w:gridCol w:w="780"/>
        <w:gridCol w:w="780"/>
        <w:gridCol w:w="884"/>
        <w:gridCol w:w="884"/>
        <w:gridCol w:w="884"/>
        <w:gridCol w:w="884"/>
        <w:gridCol w:w="884"/>
        <w:gridCol w:w="885"/>
        <w:gridCol w:w="885"/>
        <w:gridCol w:w="908"/>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8" w:type="pct"/>
            <w:gridSpan w:val="2"/>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r>
              <w:t>政府采购项目来源</w:t>
            </w:r>
          </w:p>
        </w:tc>
        <w:tc>
          <w:tcPr>
            <w:tcW w:w="367" w:type="pct"/>
            <w:vMerge w:val="restart"/>
            <w:vAlign w:val="center"/>
          </w:tcPr>
          <w:p>
            <w:pPr>
              <w:pStyle w:val="12"/>
            </w:pPr>
            <w:r>
              <w:t>采购物品名称</w:t>
            </w:r>
          </w:p>
        </w:tc>
        <w:tc>
          <w:tcPr>
            <w:tcW w:w="367" w:type="pct"/>
            <w:vMerge w:val="restart"/>
            <w:vAlign w:val="center"/>
          </w:tcPr>
          <w:p>
            <w:pPr>
              <w:pStyle w:val="12"/>
            </w:pPr>
            <w:r>
              <w:t>政府采购目录序号</w:t>
            </w:r>
          </w:p>
        </w:tc>
        <w:tc>
          <w:tcPr>
            <w:tcW w:w="229" w:type="pct"/>
            <w:vMerge w:val="restart"/>
            <w:vAlign w:val="center"/>
          </w:tcPr>
          <w:p>
            <w:pPr>
              <w:pStyle w:val="12"/>
            </w:pPr>
            <w:r>
              <w:t>计量  单位</w:t>
            </w:r>
          </w:p>
        </w:tc>
        <w:tc>
          <w:tcPr>
            <w:tcW w:w="275" w:type="pct"/>
            <w:vMerge w:val="restart"/>
            <w:vAlign w:val="center"/>
          </w:tcPr>
          <w:p>
            <w:pPr>
              <w:pStyle w:val="12"/>
            </w:pPr>
            <w:r>
              <w:t>数量</w:t>
            </w:r>
          </w:p>
        </w:tc>
        <w:tc>
          <w:tcPr>
            <w:tcW w:w="275" w:type="pct"/>
            <w:vMerge w:val="restart"/>
            <w:vAlign w:val="center"/>
          </w:tcPr>
          <w:p>
            <w:pPr>
              <w:pStyle w:val="12"/>
            </w:pPr>
            <w:r>
              <w:t>单价</w:t>
            </w:r>
          </w:p>
        </w:tc>
        <w:tc>
          <w:tcPr>
            <w:tcW w:w="2504" w:type="pct"/>
            <w:gridSpan w:val="8"/>
            <w:vAlign w:val="center"/>
          </w:tcPr>
          <w:p>
            <w:pPr>
              <w:pStyle w:val="12"/>
            </w:pPr>
            <w:r>
              <w:t>政府采购金额（当年</w:t>
            </w:r>
            <w:r>
              <w:rPr>
                <w:rFonts w:hint="eastAsia"/>
                <w:lang w:eastAsia="zh-CN"/>
              </w:rPr>
              <w:t>单位</w:t>
            </w:r>
            <w:r>
              <w:t>预算安排资金）</w:t>
            </w:r>
          </w:p>
        </w:tc>
        <w:tc>
          <w:tcPr>
            <w:tcW w:w="312"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5" w:type="pct"/>
            <w:vAlign w:val="center"/>
          </w:tcPr>
          <w:p>
            <w:pPr>
              <w:pStyle w:val="12"/>
            </w:pPr>
            <w:r>
              <w:t>项目名称</w:t>
            </w:r>
          </w:p>
        </w:tc>
        <w:tc>
          <w:tcPr>
            <w:tcW w:w="313" w:type="pct"/>
            <w:vAlign w:val="center"/>
          </w:tcPr>
          <w:p>
            <w:pPr>
              <w:pStyle w:val="12"/>
            </w:pPr>
            <w:r>
              <w:t>预算    资金</w:t>
            </w:r>
          </w:p>
        </w:tc>
        <w:tc>
          <w:tcPr>
            <w:tcW w:w="367" w:type="pct"/>
            <w:vMerge w:val="continue"/>
          </w:tcPr>
          <w:p/>
        </w:tc>
        <w:tc>
          <w:tcPr>
            <w:tcW w:w="367" w:type="pct"/>
            <w:vMerge w:val="continue"/>
          </w:tcPr>
          <w:p/>
        </w:tc>
        <w:tc>
          <w:tcPr>
            <w:tcW w:w="229" w:type="pct"/>
            <w:vMerge w:val="continue"/>
          </w:tcPr>
          <w:p/>
        </w:tc>
        <w:tc>
          <w:tcPr>
            <w:tcW w:w="275" w:type="pct"/>
            <w:vMerge w:val="continue"/>
          </w:tcPr>
          <w:p/>
        </w:tc>
        <w:tc>
          <w:tcPr>
            <w:tcW w:w="275" w:type="pct"/>
            <w:vMerge w:val="continue"/>
          </w:tcPr>
          <w:p/>
        </w:tc>
        <w:tc>
          <w:tcPr>
            <w:tcW w:w="312" w:type="pct"/>
            <w:vAlign w:val="center"/>
          </w:tcPr>
          <w:p>
            <w:pPr>
              <w:pStyle w:val="12"/>
            </w:pPr>
            <w:r>
              <w:t>合计</w:t>
            </w:r>
          </w:p>
        </w:tc>
        <w:tc>
          <w:tcPr>
            <w:tcW w:w="312" w:type="pct"/>
            <w:vAlign w:val="center"/>
          </w:tcPr>
          <w:p>
            <w:pPr>
              <w:pStyle w:val="12"/>
            </w:pPr>
            <w:r>
              <w:t>一般公共预算拨款</w:t>
            </w:r>
          </w:p>
        </w:tc>
        <w:tc>
          <w:tcPr>
            <w:tcW w:w="312" w:type="pct"/>
            <w:vAlign w:val="center"/>
          </w:tcPr>
          <w:p>
            <w:pPr>
              <w:pStyle w:val="12"/>
            </w:pPr>
            <w:r>
              <w:t>基金预算拨款</w:t>
            </w:r>
          </w:p>
        </w:tc>
        <w:tc>
          <w:tcPr>
            <w:tcW w:w="312" w:type="pct"/>
            <w:vAlign w:val="center"/>
          </w:tcPr>
          <w:p>
            <w:pPr>
              <w:pStyle w:val="12"/>
            </w:pPr>
            <w:r>
              <w:t>国有资本经营预算拨款</w:t>
            </w:r>
          </w:p>
        </w:tc>
        <w:tc>
          <w:tcPr>
            <w:tcW w:w="312" w:type="pct"/>
            <w:vAlign w:val="center"/>
          </w:tcPr>
          <w:p>
            <w:pPr>
              <w:pStyle w:val="12"/>
            </w:pPr>
            <w:r>
              <w:t>财政专户核拨</w:t>
            </w:r>
          </w:p>
        </w:tc>
        <w:tc>
          <w:tcPr>
            <w:tcW w:w="312" w:type="pct"/>
            <w:vAlign w:val="center"/>
          </w:tcPr>
          <w:p>
            <w:pPr>
              <w:pStyle w:val="12"/>
            </w:pPr>
            <w:r>
              <w:t>单位    资金</w:t>
            </w:r>
          </w:p>
        </w:tc>
        <w:tc>
          <w:tcPr>
            <w:tcW w:w="312" w:type="pct"/>
            <w:vAlign w:val="center"/>
          </w:tcPr>
          <w:p>
            <w:pPr>
              <w:pStyle w:val="12"/>
            </w:pPr>
            <w:r>
              <w:t>财政拨    款结转</w:t>
            </w:r>
          </w:p>
        </w:tc>
        <w:tc>
          <w:tcPr>
            <w:tcW w:w="318" w:type="pct"/>
            <w:vAlign w:val="center"/>
          </w:tcPr>
          <w:p>
            <w:pPr>
              <w:pStyle w:val="12"/>
            </w:pPr>
            <w:r>
              <w:t>非财政    拨款结    转结余</w:t>
            </w:r>
          </w:p>
        </w:tc>
        <w:tc>
          <w:tcPr>
            <w:tcW w:w="31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6"/>
            </w:pPr>
            <w:r>
              <w:t>合  计</w:t>
            </w:r>
          </w:p>
        </w:tc>
        <w:tc>
          <w:tcPr>
            <w:tcW w:w="313" w:type="pct"/>
            <w:vAlign w:val="center"/>
          </w:tcPr>
          <w:p>
            <w:pPr>
              <w:pStyle w:val="17"/>
            </w:pPr>
          </w:p>
        </w:tc>
        <w:tc>
          <w:tcPr>
            <w:tcW w:w="367" w:type="pct"/>
            <w:vAlign w:val="center"/>
          </w:tcPr>
          <w:p>
            <w:pPr>
              <w:pStyle w:val="18"/>
            </w:pPr>
          </w:p>
        </w:tc>
        <w:tc>
          <w:tcPr>
            <w:tcW w:w="367" w:type="pct"/>
            <w:vAlign w:val="center"/>
          </w:tcPr>
          <w:p>
            <w:pPr>
              <w:pStyle w:val="18"/>
            </w:pPr>
          </w:p>
        </w:tc>
        <w:tc>
          <w:tcPr>
            <w:tcW w:w="229" w:type="pct"/>
            <w:vAlign w:val="center"/>
          </w:tcPr>
          <w:p>
            <w:pPr>
              <w:pStyle w:val="16"/>
            </w:pPr>
          </w:p>
        </w:tc>
        <w:tc>
          <w:tcPr>
            <w:tcW w:w="275" w:type="pct"/>
            <w:vAlign w:val="center"/>
          </w:tcPr>
          <w:p>
            <w:pPr>
              <w:pStyle w:val="17"/>
            </w:pPr>
          </w:p>
        </w:tc>
        <w:tc>
          <w:tcPr>
            <w:tcW w:w="275"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8" w:type="pct"/>
            <w:vAlign w:val="center"/>
          </w:tcPr>
          <w:p>
            <w:pPr>
              <w:pStyle w:val="17"/>
            </w:pPr>
          </w:p>
        </w:tc>
        <w:tc>
          <w:tcPr>
            <w:tcW w:w="31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6"/>
            </w:pPr>
          </w:p>
        </w:tc>
        <w:tc>
          <w:tcPr>
            <w:tcW w:w="313" w:type="pct"/>
            <w:vAlign w:val="center"/>
          </w:tcPr>
          <w:p>
            <w:pPr>
              <w:pStyle w:val="17"/>
            </w:pPr>
          </w:p>
        </w:tc>
        <w:tc>
          <w:tcPr>
            <w:tcW w:w="367" w:type="pct"/>
            <w:vAlign w:val="center"/>
          </w:tcPr>
          <w:p>
            <w:pPr>
              <w:pStyle w:val="18"/>
            </w:pPr>
          </w:p>
        </w:tc>
        <w:tc>
          <w:tcPr>
            <w:tcW w:w="367" w:type="pct"/>
            <w:vAlign w:val="center"/>
          </w:tcPr>
          <w:p>
            <w:pPr>
              <w:pStyle w:val="18"/>
            </w:pPr>
          </w:p>
        </w:tc>
        <w:tc>
          <w:tcPr>
            <w:tcW w:w="229" w:type="pct"/>
            <w:vAlign w:val="center"/>
          </w:tcPr>
          <w:p>
            <w:pPr>
              <w:pStyle w:val="16"/>
            </w:pPr>
          </w:p>
        </w:tc>
        <w:tc>
          <w:tcPr>
            <w:tcW w:w="275" w:type="pct"/>
            <w:vAlign w:val="center"/>
          </w:tcPr>
          <w:p>
            <w:pPr>
              <w:pStyle w:val="17"/>
            </w:pPr>
          </w:p>
        </w:tc>
        <w:tc>
          <w:tcPr>
            <w:tcW w:w="275"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8" w:type="pct"/>
            <w:vAlign w:val="center"/>
          </w:tcPr>
          <w:p>
            <w:pPr>
              <w:pStyle w:val="17"/>
            </w:pPr>
          </w:p>
        </w:tc>
        <w:tc>
          <w:tcPr>
            <w:tcW w:w="312" w:type="pct"/>
            <w:vAlign w:val="center"/>
          </w:tcPr>
          <w:p>
            <w:pPr>
              <w:pStyle w:val="17"/>
            </w:pPr>
          </w:p>
        </w:tc>
      </w:tr>
    </w:tbl>
    <w:p>
      <w:pPr>
        <w:outlineLvl w:val="1"/>
        <w:rPr>
          <w:rFonts w:ascii="方正小标宋_GBK" w:eastAsia="方正小标宋_GBK" w:cs="Times New Roman"/>
          <w:sz w:val="32"/>
        </w:rPr>
      </w:pPr>
      <w:r>
        <w:t>廊坊市</w:t>
      </w:r>
      <w:r>
        <w:rPr>
          <w:rFonts w:hint="eastAsia"/>
        </w:rPr>
        <w:t>广阳区九州镇赵各庄中心小学</w:t>
      </w:r>
      <w:r>
        <w:t xml:space="preserve">                                                                                         单位：万元</w:t>
      </w:r>
    </w:p>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广阳区九州镇赵各庄中心小学</w:t>
      </w:r>
      <w:r>
        <w:rPr>
          <w:rFonts w:ascii="Times New Roman" w:hAnsi="Times New Roman" w:eastAsia="仿宋_GB2312" w:cs="Times New Roman"/>
          <w:sz w:val="32"/>
          <w:szCs w:val="32"/>
        </w:rPr>
        <w:t>（含所属单位）上年末固定资产金额为441.8万元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 xml:space="preserve"> </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广阳区九州镇赵各庄中心小学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411.8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1318</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411.8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1318</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411.8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D77B52E-C32E-4577-BC4C-C54155C30FA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auto"/>
    <w:pitch w:val="default"/>
    <w:sig w:usb0="00000000" w:usb1="00000000" w:usb2="00082016" w:usb3="00000000" w:csb0="00040001" w:csb1="00000000"/>
    <w:embedRegular r:id="rId2" w:fontKey="{73BC3150-D5A7-4F15-8E1D-7A0A807B5341}"/>
  </w:font>
  <w:font w:name="方正仿宋_GBK">
    <w:panose1 w:val="02000000000000000000"/>
    <w:charset w:val="86"/>
    <w:family w:val="auto"/>
    <w:pitch w:val="default"/>
    <w:sig w:usb0="A00002BF" w:usb1="38CF7CFA" w:usb2="00082016" w:usb3="00000000" w:csb0="00040001" w:csb1="00000000"/>
    <w:embedRegular r:id="rId3" w:fontKey="{D7BC7D66-DD35-4FBC-8622-50E50416206F}"/>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4" w:fontKey="{9100A870-0B1C-4F8F-964C-8801D18DEFF4}"/>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embedRegular r:id="rId5" w:fontKey="{2C498FD6-413D-4098-8D96-04FD107B823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g1MzJjNTBhNGFmZWFjOWNkNzBiMDRhNDMxMDgwZTEifQ=="/>
  </w:docVars>
  <w:rsids>
    <w:rsidRoot w:val="00D347CC"/>
    <w:rsid w:val="00016118"/>
    <w:rsid w:val="000230E6"/>
    <w:rsid w:val="000A3C6C"/>
    <w:rsid w:val="000B2358"/>
    <w:rsid w:val="000F6018"/>
    <w:rsid w:val="0015329E"/>
    <w:rsid w:val="001677D2"/>
    <w:rsid w:val="00191A26"/>
    <w:rsid w:val="001B32FB"/>
    <w:rsid w:val="002019FF"/>
    <w:rsid w:val="0025632D"/>
    <w:rsid w:val="00284C42"/>
    <w:rsid w:val="00287EF8"/>
    <w:rsid w:val="003059E0"/>
    <w:rsid w:val="00353843"/>
    <w:rsid w:val="00410413"/>
    <w:rsid w:val="00435D41"/>
    <w:rsid w:val="00451489"/>
    <w:rsid w:val="00454732"/>
    <w:rsid w:val="004669C5"/>
    <w:rsid w:val="004A54AA"/>
    <w:rsid w:val="00541E10"/>
    <w:rsid w:val="00692935"/>
    <w:rsid w:val="00723090"/>
    <w:rsid w:val="00730C32"/>
    <w:rsid w:val="008A540B"/>
    <w:rsid w:val="008A6F8C"/>
    <w:rsid w:val="00923F99"/>
    <w:rsid w:val="00944233"/>
    <w:rsid w:val="00A361A5"/>
    <w:rsid w:val="00AC1133"/>
    <w:rsid w:val="00B40732"/>
    <w:rsid w:val="00B80935"/>
    <w:rsid w:val="00BE0480"/>
    <w:rsid w:val="00C9411A"/>
    <w:rsid w:val="00CA26D3"/>
    <w:rsid w:val="00CE75E4"/>
    <w:rsid w:val="00D303EB"/>
    <w:rsid w:val="00D347CC"/>
    <w:rsid w:val="00D54A85"/>
    <w:rsid w:val="00D66106"/>
    <w:rsid w:val="00D91BFC"/>
    <w:rsid w:val="00DC72B4"/>
    <w:rsid w:val="00DF7CFA"/>
    <w:rsid w:val="00F114D2"/>
    <w:rsid w:val="00FA6161"/>
    <w:rsid w:val="00FE4772"/>
    <w:rsid w:val="0CEC1180"/>
    <w:rsid w:val="13B05C60"/>
    <w:rsid w:val="1D445335"/>
    <w:rsid w:val="255C1D13"/>
    <w:rsid w:val="27D6656B"/>
    <w:rsid w:val="378A2650"/>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1390</Words>
  <Characters>7926</Characters>
  <Lines>66</Lines>
  <Paragraphs>18</Paragraphs>
  <TotalTime>0</TotalTime>
  <ScaleCrop>false</ScaleCrop>
  <LinksUpToDate>false</LinksUpToDate>
  <CharactersWithSpaces>9298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2022-03-08T02:32:00Z</dcterms:created>
  <dc:creator>guest</dc:creator>
  <cp:lastModifiedBy>CXL</cp:lastModifiedBy>
  <cp:lastPrinted>2018-01-30T06:12:00Z</cp:lastPrinted>
  <dcterms:modified xsi:type="dcterms:W3CDTF">2023-08-01T09:19:15Z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723B94CEA18549CEB21E4047D023F36F</vt:lpwstr>
  </property>
</Properties>
</file>