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广阳区银河北路街道办事处</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广阳区银河北路</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根据《廊坊市广阳区银河北路街道办事处职能配置、内设机构和人员编制规定》， 廊坊市广阳区银河北路街道办事处的主要职责是：</w:t>
      </w:r>
    </w:p>
    <w:p>
      <w:pPr>
        <w:spacing w:line="584" w:lineRule="exact"/>
        <w:ind w:firstLine="643" w:firstLineChars="200"/>
        <w:rPr>
          <w:rFonts w:ascii="Times New Roman" w:hAnsi="Times New Roman" w:eastAsia="仿宋_GB2312" w:cs="Times New Roman"/>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党政综合办公室：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1.负责监督检查和指导所属单位和行政村的档案工作。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2.做好信访工作，畅通信访渠道、处理来信、接待来访。</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3.负责辖区内的统计工作。履行统计职责，广泛引导、动员和组织社会力量积极参与并认真配合做好国家规定的周期性普查工作。</w:t>
      </w:r>
    </w:p>
    <w:p>
      <w:pPr>
        <w:spacing w:line="584" w:lineRule="exact"/>
        <w:ind w:firstLine="640" w:firstLineChars="200"/>
        <w:rPr>
          <w:rFonts w:hint="eastAsia" w:ascii="楷体" w:hAnsi="楷体" w:eastAsia="楷体" w:cs="楷体"/>
          <w:b/>
          <w:bCs/>
          <w:sz w:val="32"/>
          <w:szCs w:val="32"/>
        </w:rPr>
      </w:pPr>
      <w:r>
        <w:rPr>
          <w:rFonts w:ascii="Times New Roman" w:hAnsi="Times New Roman" w:eastAsia="仿宋_GB2312" w:cs="Times New Roman"/>
          <w:sz w:val="32"/>
          <w:szCs w:val="32"/>
        </w:rPr>
        <w:t xml:space="preserve"> </w:t>
      </w:r>
      <w:r>
        <w:rPr>
          <w:rFonts w:hint="eastAsia" w:ascii="楷体" w:hAnsi="楷体" w:eastAsia="楷体" w:cs="楷体"/>
          <w:b/>
          <w:bCs/>
          <w:sz w:val="32"/>
          <w:szCs w:val="32"/>
        </w:rPr>
        <w:t>二、党建工作办公室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1.宣传执行党的路线、方针、政策，宣传和执行党中央、上级党组织和本级党组织的决议，团结、组织党内外的干部和群众，努力完成本单位所担负的任务。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维护和执行党的纪律，监督党员干部和其他任何工作人员严格遵守国家法律法规。</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负责乡镇和街道党（工）委自身建设和基层党组织建设，以及其他隶属乡镇和街道党（工）委的党组织建设。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负责下级党的基层组织选举工作、对下级党组织的成立或撤销作出决定。</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负责非公有制企业和社会组织党建工作、扩大新兴领域党建有效覆盖</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加强党员队伍建设，对党员进行教育、管理、监督和服务，做好经常性的发展党员工作。加强流动党员管理。</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做好人才服务工作，发现、培养、推荐党员和群众中的优秀人才。</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落实意识形态工作责任制，组织党员群众学习习近平新时代中国特色社会主义思想，培育和践行社会主义核心价值观，加强精神文明建设和文化建设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 落实统一战线工作任务要求，做好民族事务工作。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 领导辖区内人大工作，以及工会、共青团、妇联等工作。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 根据委托授权负责本辖区内的宗教事务管理工作。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 依照法定权限，做好本辖区的征兵、民兵、预备役、国防教育、国民经济动员、人民防空、国防交通、国防设施保护等工作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 负责联系街道辖区内的人民代表大会代表，组织代表开展活动，反映代表和群众的建议、批评和意见，办理常务委员会交办的监督、选举以及其他工作，并向常务委员会报告工作。</w:t>
      </w:r>
    </w:p>
    <w:p>
      <w:pPr>
        <w:spacing w:line="584"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三、应急管理办公室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负责辖区内的食品安全隐患排查、信息报告、协助执法和宣传教育等工作、做好本行政区域内小作坊、小餐饮、小摊点的监督管理工作。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加强本辖区生产经营单位安全生产状况的监督检查、协助上级有关</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依法履行安全生产监督管理职责。</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负责本辖区的消防工作、开展消防宣传、防火巡查、隐患查改。指导村（居）民委员会开展群众性的消防工作。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负责辖区防汛抗洪、抗旱等相关工作。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负责辖区防灾减灾等相关工作。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依法做好本辖区的突发事件应对工作，制定本级突发事件应急预案，组织开展应急演练。</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负责辖区应急管理工作，建立健全应急联动机制，严格落实应急管理责任，加强基层综合应急队伍建设和应急保障能力建设。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负责本辖区内自然灾害救助工作，做好自然灾害风险排查、隐患治理、救助准备、信息报告、先期处置、应急救助、灾后救助和救助款物管理等工作。</w:t>
      </w:r>
    </w:p>
    <w:p>
      <w:pPr>
        <w:spacing w:line="584" w:lineRule="exact"/>
        <w:ind w:firstLine="643" w:firstLineChars="200"/>
        <w:rPr>
          <w:rFonts w:ascii="Times New Roman" w:hAnsi="Times New Roman" w:eastAsia="仿宋_GB2312" w:cs="Times New Roman"/>
          <w:sz w:val="32"/>
          <w:szCs w:val="32"/>
        </w:rPr>
      </w:pPr>
      <w:r>
        <w:rPr>
          <w:rFonts w:hint="eastAsia" w:ascii="楷体" w:hAnsi="楷体" w:eastAsia="楷体" w:cs="楷体"/>
          <w:b/>
          <w:bCs/>
          <w:sz w:val="32"/>
          <w:szCs w:val="32"/>
        </w:rPr>
        <w:t>四、自然资源和生态环境办公室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动员和组织社会力量参与土地调查工作。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按照职责分工负责辖区市容、村容和环境卫生、农村生活污水管理责任。</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按照职责分工负责本辖区河湖的水资源保护、水域岸线管理、水污染防治、水环境治理等工作，协助上级人民政府及其有关</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做好地下水相关管理和监督工作。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根据本地区的实际，组织开展大气污染防治工作。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落实属地监管责任，做好禁止露天焚烧秸秆工作。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6．根据本地区的实际，组织开展扬尘污染防治工作。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按照职责分工做好“散乱污”企业综合整治工作。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按照职责分工和相关预案开展突发环境事件应急处置工作，按照有关规定向上级报告。</w:t>
      </w:r>
    </w:p>
    <w:p>
      <w:pPr>
        <w:spacing w:line="584"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五、综合行政执法队</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1.根据法律法规和省政府授权，承担综合行政执法工作。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2.协助有关</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查处传销行为。</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3.加大信用信息归集应用力度，落实守信联合激励和失信联合惩戒制度、推进信用分级分类监管。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4.制定本辖区社会治安综合治理规划、检查、推动社会治安综合治理措施的落实，协调和督促有关</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开展法制宣传教育工作、调解各类纠纷。</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5.组织群众开展各种形式的治安防范活动和军民、警民联防活动；指导、帮助村（居）民委员会做好社会治安综合治理工作。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6.组织协调辖区社会治安防控体系建设及普法工作，开展基层平安创建活动及各种形式的治安防范活动。加强群防群治组织建设，动员、组织人民群众维护社会治安和社会秩序，做好防范邪教工作。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7.承担民间纠纷调解相关工作。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8.协调有关</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做好未成年人的保护工作。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9.承担企业劳动争议调解相关工作。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10.组织相关单位开展社区矫正工作和对户籍或居住地在本辖区的刑满释放人员做好接收建档和安置帮教工作，做好重点帮教对象的衔接工作。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11.负责社区戒毒、社区康复工作。</w:t>
      </w:r>
    </w:p>
    <w:p>
      <w:pPr>
        <w:spacing w:line="584"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六、行政综合服务中心</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1.负责指导居民委员会的换届选举工作。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2.指导村（居）民委员会建立健全各项自治制度，并予以备案。</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3.按权限负责基层社区社会组织的分类指导和业务指导。</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4.负责加强本辖区健康教育工作及其专业人才培养、建立健康知识和技能核心信息发布制度、普及健康科学知识、向公众提供科学、准确的健康信息。</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5.负责本辖区健康中国建设，健全实施健康中国行动领导推进工作机制，逐项抓好任务落实。</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6.根据法律法规和省政府授权，承担行政审批服务工作。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7.开展就业政策宣传、就业援助等就业服务工作。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8.负责辖区内人口与计划生育工作。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9.组织开展全民健身活动，建立健全全民健身工作协调机制。</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10.负责本辖区爱国卫生日常工作。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11.按权限开展社会救助工作。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12.按权限做好残疾人保障工作。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13.负责组织开展预防精神障碍发生、促进精神障碍患者康复等工作。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14.按照职责分工负责做好辖区城乡居民基本养老保险工作。</w:t>
      </w:r>
    </w:p>
    <w:p>
      <w:pPr>
        <w:spacing w:line="584"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七、社区建设和物业监督管理办公室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1.组织实施居家养老服务工作，建设居家养老服务设施，落实政府购买服务、经费补贴等扶持政策措施、组织、指导社会各界参与居家养老和空巢、留守老年人关爱服务。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2.负责指导辖区内业主大会的成立和业主委员会的选举工作。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3.按权限负责社区工作者的日常管理工作。</w:t>
      </w:r>
    </w:p>
    <w:p>
      <w:pPr>
        <w:spacing w:line="584"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八、综合文化服务站</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1.组织开展本辖区科普活动，宣传科学、文明的生产和生活方式。</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2.负责本辖区综合文化站、新时代文明实践中心（所、站）建设和日常管理、实施免费开放。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九、退役军人服务站</w:t>
      </w:r>
    </w:p>
    <w:p>
      <w:pPr>
        <w:spacing w:line="584"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负责拥军优属、退役军人服务等工作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lang w:eastAsia="zh-CN"/>
              </w:rPr>
              <w:t>廊坊市广阳区银河北路街道办事处</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lang w:eastAsia="zh-CN"/>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lang w:eastAsia="zh-CN"/>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lang w:eastAsia="zh-C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lang w:eastAsia="zh-CN"/>
        </w:rPr>
        <w:t>广阳区银河北路</w:t>
      </w:r>
      <w:r>
        <w:rPr>
          <w:rFonts w:ascii="Times New Roman" w:hAnsi="Times New Roman" w:eastAsia="仿宋_GB2312" w:cs="Times New Roman"/>
          <w:sz w:val="32"/>
          <w:szCs w:val="32"/>
        </w:rPr>
        <w:t>机关的收支包含在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2386.83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2386.83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广阳区银河北路街道办事处</w:t>
      </w: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2386.83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1830.55</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1633.89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196.66</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556.28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社区人员经费</w:t>
      </w:r>
      <w:r>
        <w:rPr>
          <w:rFonts w:ascii="Times New Roman" w:hAnsi="Times New Roman" w:eastAsia="仿宋_GB2312" w:cs="Times New Roman"/>
          <w:sz w:val="32"/>
          <w:szCs w:val="32"/>
        </w:rPr>
        <w:t>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2386.83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140.57</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118.47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人员工资</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22.1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社区工作者</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196.66</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银河北路街道办事处</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4.8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highlight w:val="none"/>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无增减变化。</w:t>
      </w:r>
    </w:p>
    <w:p>
      <w:pPr>
        <w:spacing w:line="584"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1、</w:t>
      </w:r>
      <w:r>
        <w:rPr>
          <w:rFonts w:hint="eastAsia" w:ascii="仿宋_GB2312" w:eastAsia="仿宋_GB2312" w:cs="Times New Roman"/>
          <w:sz w:val="32"/>
          <w:szCs w:val="32"/>
        </w:rPr>
        <w:t>紧盯项目谋划，推动招商引资上台阶。</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一是强化组织领导，求真务实抓招商。每周组织班子会对招商进展进行调度，细化网格责任，明确奖惩措施，以项目论英雄，凭招商比能力。以社区为单位，广泛挖掘招商项目线索，形成“千方百计动脑筋，千山万水找项目，千辛万苦引资金”的浓厚氛围。二是深化理论学习，整合力量抓招商。邀请商务领域专家、企业家代表，每月对班子成员、招商小组进行业务培训；对辖区5000平米以上的8栋商业楼宇入驻企业逐个建立工作台账；组织辖区人大代表、政协委员和优秀企业家成立招商引资顾问团，做好域外招商。三是借助协会纽带，聚焦外贸抓招商。借助区外贸企业协会，搭建外贸行业朋友圈，以组织恳谈会、联谊会等多种形式，帮助企业协调出口渠道，集中货运订单，提高议价能力，与天津港海运公司洽谈压低货运价格，帮扶企业提高盈利水平，构建域内外贸行业新发展格局，以商招商助力我区打造“买世界、卖世界、服务世界”的区域贸易新模式。</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2、</w:t>
      </w:r>
      <w:r>
        <w:rPr>
          <w:rFonts w:hint="eastAsia" w:ascii="仿宋_GB2312" w:eastAsia="仿宋_GB2312" w:cs="Times New Roman"/>
          <w:sz w:val="32"/>
          <w:szCs w:val="32"/>
        </w:rPr>
        <w:t>发力万达商圈，打造城市经济新地标。</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充分发挥万达商圈强有力的经济辐射作用，把握地理位置优越、消费群体多元、商业业态丰富的特色优势，全力打造消费新地标。将现代化服务业列为重点发展领域，聚焦总部经济、科技研发、文化创意、金融服务、互联网服务等周期短、见效快的轻资产企业。针对万达部分外贸企业、软件企业反映的“就餐难”问题，寻找合适场地，核算运营成本，洽谈投建“企业职工食堂”，保证企业员工吃的实惠、吃的健康；针对“停车贵”问题，积极协调万达商管，为入驻企业停车提供包月服务，营造良好营商环境。</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3、</w:t>
      </w:r>
      <w:r>
        <w:rPr>
          <w:rFonts w:hint="eastAsia" w:ascii="仿宋_GB2312" w:eastAsia="仿宋_GB2312" w:cs="Times New Roman"/>
          <w:sz w:val="32"/>
          <w:szCs w:val="32"/>
        </w:rPr>
        <w:t>改造街道面貌，共筑美丽宜居新形象。</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将有限财力用在刀刃上，进一步提升社区综合服务站软硬件水平；深挖“老三角地”文化内涵，谋划网红打卡点；着力推进六小、大官庄片区改造，提高居民生活品质；助推万达商圈与天利得益商圈汇集连片，形成相互借力、共谋发展的商业氛围。</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开展大气治理，打好污染防控攻坚战。</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坚持科学管控，压实网格职责，强化餐饮油烟、VOCs企业、扬尘及散煤管控等日常污染源的常态化管控。建立街道巡查员和社区网格员双重巡查制度，发现问题第一时间处置到位，确保“五防”管控目标取得实效。</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落实管控政策，打赢疫情防控阻击战。</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按照“外防输入、内防扩散”工作要求，严格落实上级要求，强化网格化管理，确保社区防控、流调、消杀、健康教育等八支队伍管理无盲点。在做好常态化管控的基础上，定期组织演练，确保突发情况发生时，第一时间启动应急机制，实现快速响应，及时处置，妥善解决。</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lang w:val="en-US" w:eastAsia="zh-CN"/>
        </w:rPr>
        <w:t>6、</w:t>
      </w:r>
      <w:r>
        <w:rPr>
          <w:rFonts w:hint="eastAsia" w:ascii="仿宋_GB2312" w:eastAsia="仿宋_GB2312" w:cs="Times New Roman"/>
          <w:sz w:val="32"/>
          <w:szCs w:val="32"/>
        </w:rPr>
        <w:t>建设平安街道，织密安全生产防护网。</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聚焦安全生产、食药安全、金融安全、卫生防疫、环境安全和社区综治等重点领域，强化人防、物防和技防措施，建立健全消除隐患和解决问题的长效机制，全面创建平安街道。</w:t>
      </w:r>
    </w:p>
    <w:p>
      <w:pPr>
        <w:spacing w:line="584" w:lineRule="exact"/>
        <w:ind w:firstLine="643" w:firstLineChars="200"/>
        <w:rPr>
          <w:rFonts w:hint="eastAsia" w:ascii="仿宋_GB2312" w:eastAsia="仿宋_GB2312" w:cs="Times New Roman"/>
          <w:b/>
          <w:bCs/>
          <w:sz w:val="32"/>
          <w:szCs w:val="32"/>
        </w:rPr>
      </w:pPr>
      <w:r>
        <w:rPr>
          <w:rFonts w:hint="eastAsia" w:ascii="仿宋_GB2312" w:eastAsia="仿宋_GB2312" w:cs="Times New Roman"/>
          <w:b/>
          <w:bCs/>
          <w:sz w:val="32"/>
          <w:szCs w:val="32"/>
        </w:rPr>
        <w:t>（二）分项绩效目标</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1</w:t>
      </w:r>
      <w:r>
        <w:rPr>
          <w:rFonts w:hint="eastAsia" w:ascii="仿宋_GB2312" w:eastAsia="仿宋_GB2312" w:cs="Times New Roman"/>
          <w:sz w:val="32"/>
          <w:szCs w:val="32"/>
          <w:lang w:eastAsia="zh-CN"/>
        </w:rPr>
        <w:t>、</w:t>
      </w:r>
      <w:r>
        <w:rPr>
          <w:rFonts w:hint="eastAsia" w:ascii="仿宋_GB2312" w:eastAsia="仿宋_GB2312" w:cs="Times New Roman"/>
          <w:sz w:val="32"/>
          <w:szCs w:val="32"/>
        </w:rPr>
        <w:t>严防死守保卫平安，坚决打赢防疫攻坚。</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绩效目标：强化组织,全力做好疫情防控各项工作,落实责任,确保“六层包联”体系落实落地,严把关口,建立疫情防控线上平台、“一栋一档”及防控责任体系,核酸准备，科学设置核酸采集点</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绩效指标：通过开展不定期对街道各</w:t>
      </w:r>
      <w:r>
        <w:rPr>
          <w:rFonts w:hint="eastAsia" w:ascii="仿宋_GB2312" w:eastAsia="仿宋_GB2312" w:cs="Times New Roman"/>
          <w:sz w:val="32"/>
          <w:szCs w:val="32"/>
          <w:lang w:eastAsia="zh-CN"/>
        </w:rPr>
        <w:t>单位</w:t>
      </w:r>
      <w:r>
        <w:rPr>
          <w:rFonts w:hint="eastAsia" w:ascii="仿宋_GB2312" w:eastAsia="仿宋_GB2312" w:cs="Times New Roman"/>
          <w:sz w:val="32"/>
          <w:szCs w:val="32"/>
        </w:rPr>
        <w:t>疫情工作落实情况的检查，使街道各</w:t>
      </w:r>
      <w:r>
        <w:rPr>
          <w:rFonts w:hint="eastAsia" w:ascii="仿宋_GB2312" w:eastAsia="仿宋_GB2312" w:cs="Times New Roman"/>
          <w:sz w:val="32"/>
          <w:szCs w:val="32"/>
          <w:lang w:eastAsia="zh-CN"/>
        </w:rPr>
        <w:t>单位</w:t>
      </w:r>
      <w:r>
        <w:rPr>
          <w:rFonts w:hint="eastAsia" w:ascii="仿宋_GB2312" w:eastAsia="仿宋_GB2312" w:cs="Times New Roman"/>
          <w:sz w:val="32"/>
          <w:szCs w:val="32"/>
        </w:rPr>
        <w:t>事项完成率达85%以上，确保疫情排查工作区域100%覆盖，疫情防控体系100%运转。</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lang w:eastAsia="zh-CN"/>
        </w:rPr>
        <w:t>、</w:t>
      </w:r>
      <w:r>
        <w:rPr>
          <w:rFonts w:hint="eastAsia" w:ascii="仿宋_GB2312" w:eastAsia="仿宋_GB2312" w:cs="Times New Roman"/>
          <w:sz w:val="32"/>
          <w:szCs w:val="32"/>
        </w:rPr>
        <w:t>精准施策“秋冬防”，狠抓大气污染防治。</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绩效目标：按照区政府“双巡查”、“双包联”机制要求，采取责任追究制，抓VOCs企业治理，办事处对照市专家组制定的“一厂一策”制度，逐个进行帮扶与督导，确保发现问题立行立改，抓餐饮油烟整治，确保各家油烟净化装置正常使用，抓扬尘治理，保证辖区内裸土苫盖到位，抑尘到位，严查露天电焊、墙体涂刷，挖掘机未备案施工等行为，进行“散乱污”企业整治，加强散煤禁烧巡查力度</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绩效指标：“双联办”通报问题处理率90%以上，各辖区内餐饮门店油烟净化装置使用率100%，对“脏乱污”企业问题上报及时率85%以上，辖区散煤清零。</w:t>
      </w:r>
    </w:p>
    <w:p>
      <w:pPr>
        <w:spacing w:line="584" w:lineRule="exact"/>
        <w:ind w:firstLine="643" w:firstLineChars="200"/>
        <w:rPr>
          <w:rFonts w:hint="eastAsia" w:ascii="仿宋_GB2312" w:eastAsia="仿宋_GB2312" w:cs="Times New Roman"/>
          <w:b/>
          <w:bCs/>
          <w:sz w:val="32"/>
          <w:szCs w:val="32"/>
        </w:rPr>
      </w:pPr>
      <w:r>
        <w:rPr>
          <w:rFonts w:hint="eastAsia" w:ascii="仿宋_GB2312" w:eastAsia="仿宋_GB2312" w:cs="Times New Roman"/>
          <w:b/>
          <w:bCs/>
          <w:sz w:val="32"/>
          <w:szCs w:val="32"/>
        </w:rPr>
        <w:t>（三）工作保障措施</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1</w:t>
      </w:r>
      <w:r>
        <w:rPr>
          <w:rFonts w:hint="eastAsia" w:ascii="仿宋_GB2312" w:eastAsia="仿宋_GB2312" w:cs="Times New Roman"/>
          <w:sz w:val="32"/>
          <w:szCs w:val="32"/>
          <w:lang w:eastAsia="zh-CN"/>
        </w:rPr>
        <w:t>、</w:t>
      </w:r>
      <w:r>
        <w:rPr>
          <w:rFonts w:hint="eastAsia" w:ascii="仿宋_GB2312" w:eastAsia="仿宋_GB2312" w:cs="Times New Roman"/>
          <w:sz w:val="32"/>
          <w:szCs w:val="32"/>
        </w:rPr>
        <w:t>深度聚焦经济发展，着力促进项目建设。银河北路街道牢固树立新发展理念，坚持把楼宇经济作为突破发展瓶颈、实现动能转换、提升发展品质、服务全区发展大局的重要抓手，深入开展“四联系一对接”活动，深入推进项目建设。一是经济指标稳中向好。现有固定资产投资项目6个，10月完成固定资产投资占比7.9%，全区排名第5；限额以上商贸业11家，1-10月累计实现零售额8.1亿元；规模以上服务业14家，1-10月累计实现营业收入4.3亿元；规模以上工业1家，1-10月累计实现产值1.7亿元；规模以上建筑业1家，1-10月累计实现产值0.4亿元（增速39.1%，全区排名第二）；房地产销售面积全区占比7.5%，综合排名第四）。今年新申报科技型中小企业35家。二是招商引资持续发力。结合辖区楼宇集群辐射连片的特点，将现代化服务业作为重点发展领域，坚持把楼宇经济作为突破发展瓶颈、实现动能转换、提升发展品质、服务全区发展大局的重要抓手。目前，街道已成功引进项目2个（河北梓骁新材料科技有限公司-韩国LG公司家具贴膜产品独家代理；亚科进出口贸易有限公司-家具进出口贸易），在谈项目4个（易商集团-智能中央厨房生产加工中心及生鲜冷链物流园项目；二是航天振邦-军工零部件及医疗设备智慧服务产业中心项目；三是广州小鸡快跑公司-游戏手柄生产基地项目；四是随润燃气公司-天然气销售项目）。三是基础设施投资项目稳步推进。现有基础设施投资项目4个，总投资54.54亿元。其中在建项目2个（即：时代新居一期建设项目、苏宁广场A区项目），今年累计完成投资3.11亿元；谋划项目2个（即：大官庄城中村改造项目、六小周边区域改造项目），其中大官庄改造项目改造实施方案已获得市政府批准；六小片区改造项目中，老干部局搬迁已获批，热力公司也已同意参加改造，现正在沟通协调市发改委（12.5亩）搬迁事宜。四是京东七鲜超市如期开业。为做好区政府工作报告落实，推动七鲜超市在我街道落地开业，街道多次协助企业办理企业相关手续，解决企业落户难题。针对进口冷链食品防疫问题，街道执法队联合区市场监管局、防疫办对企业进行多次业务指导。12月30日，京东旗下七鲜超市廊坊大中广场店正式开业，有效实现辖区零售业态上档升级。</w:t>
      </w:r>
    </w:p>
    <w:p>
      <w:pPr>
        <w:spacing w:line="584" w:lineRule="exact"/>
        <w:ind w:firstLine="640" w:firstLineChars="200"/>
        <w:rPr>
          <w:rFonts w:hint="eastAsia"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lang w:eastAsia="zh-CN"/>
        </w:rPr>
        <w:t>、</w:t>
      </w:r>
      <w:r>
        <w:rPr>
          <w:rFonts w:hint="eastAsia" w:ascii="仿宋_GB2312" w:eastAsia="仿宋_GB2312" w:cs="Times New Roman"/>
          <w:sz w:val="32"/>
          <w:szCs w:val="32"/>
        </w:rPr>
        <w:t>立足大局服务民生，提升群众幸福指数。着力解决好群众最关心、最直接、最现实的利益问题，不断增强人民群众获得感、幸福感、安全感。一是实现行政大厅服务升级。街道进一步加强窗口人员管理，转变机关作风，提高办事效率，严格落实“只进一扇门，最多跑一次”模式，审批集中化办理零差错，承诺期限内手续全办结，群众满意率达到百分百。今年累计办理新设个体工商户622户，注销登记445户，变更登记189户，换照补照20份，办理小摊点备案卡89份。二是强基惠民多措并举。今年累计为辖区居民办理养老保险885人，封存养老保险账户111人，新增养老金领取30人，发放残疾人基本型辅助器具6台，发放残疾人补贴11人，更新残疾人动态258人；办理一、二胎及再生育登记证140件，办理独生子女证22件；采集退役军人信息8人，更换伤残军人伤残证26人，走访慰问重点优抚对象51人。三是老旧小区升级改造。配合区住建局对辖区内11个小区、25栋楼的外墙、楼梯间、单元门口等重点部位进行了全面改善提升，投资1350万元，改造面积达12.67万平方米，受益人群近4000人。四是集中开展飞线治理。银河北路街道老旧小区多，农贸市场多，为切实解决强弱电飞线问题，全面提升辖区整体形象，街道协调物业、移动、电力等相关</w:t>
      </w:r>
      <w:r>
        <w:rPr>
          <w:rFonts w:hint="eastAsia" w:ascii="仿宋_GB2312" w:eastAsia="仿宋_GB2312" w:cs="Times New Roman"/>
          <w:sz w:val="32"/>
          <w:szCs w:val="32"/>
          <w:lang w:eastAsia="zh-CN"/>
        </w:rPr>
        <w:t>单位</w:t>
      </w:r>
      <w:r>
        <w:rPr>
          <w:rFonts w:hint="eastAsia" w:ascii="仿宋_GB2312" w:eastAsia="仿宋_GB2312" w:cs="Times New Roman"/>
          <w:sz w:val="32"/>
          <w:szCs w:val="32"/>
        </w:rPr>
        <w:t>，主要通过入地埋设、线缆梳理、清除私搭乱接等三种方式，对辖区8个社区，116个小区飞线进行了集中治理，目前已初步治理完成。</w:t>
      </w:r>
    </w:p>
    <w:p>
      <w:pPr>
        <w:spacing w:line="584" w:lineRule="exact"/>
        <w:ind w:firstLine="640" w:firstLineChars="200"/>
        <w:rPr>
          <w:rFonts w:hint="eastAsia" w:ascii="楷体_GB2312" w:eastAsia="楷体_GB2312" w:cs="Times New Roman"/>
          <w:b w:val="0"/>
          <w:bCs/>
          <w:sz w:val="32"/>
          <w:szCs w:val="32"/>
        </w:rPr>
      </w:pPr>
      <w:r>
        <w:rPr>
          <w:rFonts w:hint="eastAsia" w:ascii="仿宋_GB2312" w:eastAsia="仿宋_GB2312" w:cs="Times New Roman"/>
          <w:sz w:val="32"/>
          <w:szCs w:val="32"/>
        </w:rPr>
        <w:t>3</w:t>
      </w:r>
      <w:r>
        <w:rPr>
          <w:rFonts w:hint="eastAsia" w:ascii="仿宋_GB2312" w:eastAsia="仿宋_GB2312" w:cs="Times New Roman"/>
          <w:sz w:val="32"/>
          <w:szCs w:val="32"/>
          <w:lang w:eastAsia="zh-CN"/>
        </w:rPr>
        <w:t>、</w:t>
      </w:r>
      <w:r>
        <w:rPr>
          <w:rFonts w:hint="eastAsia" w:ascii="仿宋_GB2312" w:eastAsia="仿宋_GB2312" w:cs="Times New Roman"/>
          <w:sz w:val="32"/>
          <w:szCs w:val="32"/>
        </w:rPr>
        <w:t>防范化解重大隐患，护航社会稳定发展。街道始终落实生产属地责任，加强隐患排查治理，确保做到底线不失、底线必保。一是强化安全生产。组织辖区企业、门店负责人、物业公司、居民代表共计1100余人次参加安全生产和消防安全集中培训，同时，将市安全警示宣传片链接、安全知识网络竞答二维码转发至各居民群和企业群，提高居民安全意识。二是打击非法传销。发放打击传销宣传单2600份，打击传销小册子1500份，远离传销明白纸900份，通过举报查抄传销窝点10余个，共解救遣返300余人，有效增强群众识别、防范、抵制传销的法治意识和法治能力。在疫情期间两次发现中高风险地区来廊参于传销，经与有关</w:t>
      </w:r>
      <w:r>
        <w:rPr>
          <w:rFonts w:hint="eastAsia" w:ascii="仿宋_GB2312" w:eastAsia="仿宋_GB2312" w:cs="Times New Roman"/>
          <w:sz w:val="32"/>
          <w:szCs w:val="32"/>
          <w:lang w:eastAsia="zh-CN"/>
        </w:rPr>
        <w:t>单位</w:t>
      </w:r>
      <w:r>
        <w:rPr>
          <w:rFonts w:hint="eastAsia" w:ascii="仿宋_GB2312" w:eastAsia="仿宋_GB2312" w:cs="Times New Roman"/>
          <w:sz w:val="32"/>
          <w:szCs w:val="32"/>
        </w:rPr>
        <w:t>联系，把主要人员进行了集中隔离，其他人员进行了居家隔离，按期遣返。三是做好暑期防汛。按照“防重于抢、立足于防”的原则，组建80人的完备防汛抢险队伍，严格按照分工把守各个要害部位，对辖区重点老旧平房及重点街巷进行多次防汛检查，对于存在问题隐患的房屋，及时劝导居民撤离。今年汛期未发生人员伤亡等事故。四是监管食品安全。召开食品安全工作会议，细化职责分工，签订目标责任书，形成“责任到人，不留死角”的食品安全工作网络格局。出动8支检查分队，联合派出所对辖区内农贸市场、小作坊、小摊贩、小餐饮店等开展食品药品安全大检查，共计检查商户290家，查出隐患59条，均已整改完毕。</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2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619"/>
        <w:gridCol w:w="885"/>
        <w:gridCol w:w="1627"/>
        <w:gridCol w:w="3795"/>
        <w:gridCol w:w="1428"/>
        <w:gridCol w:w="560"/>
        <w:gridCol w:w="506"/>
        <w:gridCol w:w="762"/>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61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8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62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79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2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828"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238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619" w:type="dxa"/>
            <w:vMerge w:val="continue"/>
            <w:tcBorders>
              <w:tl2br w:val="nil"/>
              <w:tr2bl w:val="nil"/>
            </w:tcBorders>
            <w:vAlign w:val="center"/>
          </w:tcPr>
          <w:p/>
        </w:tc>
        <w:tc>
          <w:tcPr>
            <w:tcW w:w="885" w:type="dxa"/>
            <w:vMerge w:val="continue"/>
            <w:tcBorders>
              <w:tl2br w:val="nil"/>
              <w:tr2bl w:val="nil"/>
            </w:tcBorders>
            <w:vAlign w:val="center"/>
          </w:tcPr>
          <w:p/>
        </w:tc>
        <w:tc>
          <w:tcPr>
            <w:tcW w:w="1627" w:type="dxa"/>
            <w:vMerge w:val="continue"/>
            <w:tcBorders>
              <w:tl2br w:val="nil"/>
              <w:tr2bl w:val="nil"/>
            </w:tcBorders>
            <w:vAlign w:val="center"/>
          </w:tcPr>
          <w:p/>
        </w:tc>
        <w:tc>
          <w:tcPr>
            <w:tcW w:w="3795" w:type="dxa"/>
            <w:vMerge w:val="continue"/>
            <w:tcBorders>
              <w:tl2br w:val="nil"/>
              <w:tr2bl w:val="nil"/>
            </w:tcBorders>
            <w:vAlign w:val="center"/>
          </w:tcPr>
          <w:p/>
        </w:tc>
        <w:tc>
          <w:tcPr>
            <w:tcW w:w="1428" w:type="dxa"/>
            <w:vMerge w:val="continue"/>
            <w:tcBorders>
              <w:tl2br w:val="nil"/>
              <w:tr2bl w:val="nil"/>
            </w:tcBorders>
            <w:vAlign w:val="center"/>
          </w:tcPr>
          <w:p/>
        </w:tc>
        <w:tc>
          <w:tcPr>
            <w:tcW w:w="56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06"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762"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238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619" w:type="dxa"/>
            <w:vMerge w:val="restart"/>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单位产出</w:t>
            </w:r>
          </w:p>
        </w:tc>
        <w:tc>
          <w:tcPr>
            <w:tcW w:w="885"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数量</w:t>
            </w:r>
          </w:p>
        </w:tc>
        <w:tc>
          <w:tcPr>
            <w:tcW w:w="1627"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保障人数</w:t>
            </w:r>
          </w:p>
        </w:tc>
        <w:tc>
          <w:tcPr>
            <w:tcW w:w="3795"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此项15分，每少一人扣0.6分</w:t>
            </w:r>
          </w:p>
        </w:tc>
        <w:tc>
          <w:tcPr>
            <w:tcW w:w="1428"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反映保障人数</w:t>
            </w:r>
          </w:p>
        </w:tc>
        <w:tc>
          <w:tcPr>
            <w:tcW w:w="560"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tc>
        <w:tc>
          <w:tcPr>
            <w:tcW w:w="506"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w:t>
            </w:r>
          </w:p>
        </w:tc>
        <w:tc>
          <w:tcPr>
            <w:tcW w:w="762"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人</w:t>
            </w:r>
          </w:p>
        </w:tc>
        <w:tc>
          <w:tcPr>
            <w:tcW w:w="2388"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廊组字【2020】48号 廊广组字【2020】18号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19" w:type="dxa"/>
            <w:vMerge w:val="continue"/>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885"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质量</w:t>
            </w:r>
          </w:p>
        </w:tc>
        <w:tc>
          <w:tcPr>
            <w:tcW w:w="1627"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工资发放准确率</w:t>
            </w:r>
          </w:p>
        </w:tc>
        <w:tc>
          <w:tcPr>
            <w:tcW w:w="3795"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此项15分，每少1%扣0.2分</w:t>
            </w:r>
          </w:p>
        </w:tc>
        <w:tc>
          <w:tcPr>
            <w:tcW w:w="1428"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反映工资发放精准情况</w:t>
            </w:r>
          </w:p>
        </w:tc>
        <w:tc>
          <w:tcPr>
            <w:tcW w:w="560"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tc>
        <w:tc>
          <w:tcPr>
            <w:tcW w:w="506"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762"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tc>
        <w:tc>
          <w:tcPr>
            <w:tcW w:w="2388"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廊组字【2020】48号 廊广组字【2020】18号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619" w:type="dxa"/>
            <w:vMerge w:val="continue"/>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885"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时效</w:t>
            </w:r>
          </w:p>
        </w:tc>
        <w:tc>
          <w:tcPr>
            <w:tcW w:w="1627"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工资发放及时率</w:t>
            </w:r>
          </w:p>
        </w:tc>
        <w:tc>
          <w:tcPr>
            <w:tcW w:w="3795"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此项15分，每少1%扣0.2分</w:t>
            </w:r>
          </w:p>
        </w:tc>
        <w:tc>
          <w:tcPr>
            <w:tcW w:w="1428"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反映工资发放的时效情况</w:t>
            </w:r>
          </w:p>
        </w:tc>
        <w:tc>
          <w:tcPr>
            <w:tcW w:w="560"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tc>
        <w:tc>
          <w:tcPr>
            <w:tcW w:w="506"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95</w:t>
            </w:r>
          </w:p>
        </w:tc>
        <w:tc>
          <w:tcPr>
            <w:tcW w:w="762"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tc>
        <w:tc>
          <w:tcPr>
            <w:tcW w:w="2388"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廊组字【2020】48号 廊广组字【2020】18号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19" w:type="dxa"/>
            <w:vMerge w:val="continue"/>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885"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成本</w:t>
            </w:r>
          </w:p>
        </w:tc>
        <w:tc>
          <w:tcPr>
            <w:tcW w:w="1627"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月平均经费</w:t>
            </w:r>
          </w:p>
        </w:tc>
        <w:tc>
          <w:tcPr>
            <w:tcW w:w="3795"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此项15分，每增1%，扣0.15分</w:t>
            </w:r>
          </w:p>
        </w:tc>
        <w:tc>
          <w:tcPr>
            <w:tcW w:w="1428"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反映月平均经费</w:t>
            </w:r>
          </w:p>
        </w:tc>
        <w:tc>
          <w:tcPr>
            <w:tcW w:w="560"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w:t>
            </w:r>
          </w:p>
        </w:tc>
        <w:tc>
          <w:tcPr>
            <w:tcW w:w="506"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30.24</w:t>
            </w:r>
          </w:p>
        </w:tc>
        <w:tc>
          <w:tcPr>
            <w:tcW w:w="762"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万元/月</w:t>
            </w:r>
          </w:p>
        </w:tc>
        <w:tc>
          <w:tcPr>
            <w:tcW w:w="2388"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廊组字【2020】48号 廊广组字【2020】18号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19" w:type="dxa"/>
            <w:vMerge w:val="restart"/>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单位效果</w:t>
            </w:r>
          </w:p>
        </w:tc>
        <w:tc>
          <w:tcPr>
            <w:tcW w:w="885"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效益</w:t>
            </w:r>
          </w:p>
        </w:tc>
        <w:tc>
          <w:tcPr>
            <w:tcW w:w="1627"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确保人员稳定，实现进一步提升</w:t>
            </w:r>
          </w:p>
        </w:tc>
        <w:tc>
          <w:tcPr>
            <w:tcW w:w="3795"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20分 基本实现目标80%-100%，部分实现目标60%-80%，实现目标较低不得分</w:t>
            </w:r>
          </w:p>
        </w:tc>
        <w:tc>
          <w:tcPr>
            <w:tcW w:w="1428"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反映人员稳定提升情况</w:t>
            </w:r>
          </w:p>
        </w:tc>
        <w:tc>
          <w:tcPr>
            <w:tcW w:w="560"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文字描述</w:t>
            </w:r>
          </w:p>
        </w:tc>
        <w:tc>
          <w:tcPr>
            <w:tcW w:w="506"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762"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进一步提升</w:t>
            </w:r>
          </w:p>
        </w:tc>
        <w:tc>
          <w:tcPr>
            <w:tcW w:w="2388" w:type="dxa"/>
            <w:tcBorders>
              <w:tl2br w:val="nil"/>
              <w:tr2bl w:val="nil"/>
            </w:tcBorders>
            <w:vAlign w:val="top"/>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年度考核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619" w:type="dxa"/>
            <w:vMerge w:val="continue"/>
            <w:tcBorders>
              <w:tl2br w:val="nil"/>
              <w:tr2bl w:val="nil"/>
            </w:tcBorders>
            <w:vAlign w:val="center"/>
          </w:tcPr>
          <w:p>
            <w:pPr>
              <w:keepNext w:val="0"/>
              <w:keepLines w:val="0"/>
              <w:widowControl/>
              <w:suppressLineNumbers w:val="0"/>
              <w:jc w:val="center"/>
              <w:textAlignment w:val="top"/>
              <w:rPr>
                <w:rFonts w:hint="default" w:ascii="Calibri" w:hAnsi="Calibri" w:eastAsia="宋体" w:cs="Calibri"/>
                <w:i w:val="0"/>
                <w:color w:val="000000"/>
                <w:kern w:val="0"/>
                <w:sz w:val="22"/>
                <w:szCs w:val="22"/>
                <w:u w:val="none"/>
                <w:lang w:val="en-US" w:eastAsia="zh-CN" w:bidi="ar"/>
              </w:rPr>
            </w:pPr>
          </w:p>
        </w:tc>
        <w:tc>
          <w:tcPr>
            <w:tcW w:w="885" w:type="dxa"/>
            <w:tcBorders>
              <w:tl2br w:val="nil"/>
              <w:tr2bl w:val="nil"/>
            </w:tcBorders>
            <w:vAlign w:val="center"/>
          </w:tcPr>
          <w:p>
            <w:pPr>
              <w:keepNext w:val="0"/>
              <w:keepLines w:val="0"/>
              <w:widowControl/>
              <w:suppressLineNumbers w:val="0"/>
              <w:jc w:val="center"/>
              <w:textAlignment w:val="top"/>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满意度</w:t>
            </w:r>
          </w:p>
        </w:tc>
        <w:tc>
          <w:tcPr>
            <w:tcW w:w="1627" w:type="dxa"/>
            <w:tcBorders>
              <w:tl2br w:val="nil"/>
              <w:tr2bl w:val="nil"/>
            </w:tcBorders>
            <w:noWrap/>
            <w:vAlign w:val="top"/>
          </w:tcPr>
          <w:p>
            <w:pPr>
              <w:keepNext w:val="0"/>
              <w:keepLines w:val="0"/>
              <w:widowControl/>
              <w:suppressLineNumbers w:val="0"/>
              <w:jc w:val="center"/>
              <w:textAlignment w:val="top"/>
              <w:rPr>
                <w:rFonts w:hint="default"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社区聘用人员的满意度</w:t>
            </w:r>
          </w:p>
        </w:tc>
        <w:tc>
          <w:tcPr>
            <w:tcW w:w="3795" w:type="dxa"/>
            <w:tcBorders>
              <w:tl2br w:val="nil"/>
              <w:tr2bl w:val="nil"/>
            </w:tcBorders>
            <w:noWrap/>
            <w:vAlign w:val="top"/>
          </w:tcPr>
          <w:p>
            <w:pPr>
              <w:keepNext w:val="0"/>
              <w:keepLines w:val="0"/>
              <w:widowControl/>
              <w:suppressLineNumbers w:val="0"/>
              <w:jc w:val="center"/>
              <w:textAlignment w:val="top"/>
              <w:rPr>
                <w:rFonts w:hint="default"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此项20分，每少1%扣0.2分</w:t>
            </w:r>
          </w:p>
        </w:tc>
        <w:tc>
          <w:tcPr>
            <w:tcW w:w="1428" w:type="dxa"/>
            <w:tcBorders>
              <w:tl2br w:val="nil"/>
              <w:tr2bl w:val="nil"/>
            </w:tcBorders>
            <w:noWrap/>
            <w:vAlign w:val="top"/>
          </w:tcPr>
          <w:p>
            <w:pPr>
              <w:keepNext w:val="0"/>
              <w:keepLines w:val="0"/>
              <w:widowControl/>
              <w:suppressLineNumbers w:val="0"/>
              <w:jc w:val="center"/>
              <w:textAlignment w:val="top"/>
              <w:rPr>
                <w:rFonts w:hint="default"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社区聘用人员满意的占总人数的比例</w:t>
            </w:r>
          </w:p>
        </w:tc>
        <w:tc>
          <w:tcPr>
            <w:tcW w:w="560" w:type="dxa"/>
            <w:tcBorders>
              <w:tl2br w:val="nil"/>
              <w:tr2bl w:val="nil"/>
            </w:tcBorders>
            <w:vAlign w:val="top"/>
          </w:tcPr>
          <w:p>
            <w:pPr>
              <w:keepNext w:val="0"/>
              <w:keepLines w:val="0"/>
              <w:widowControl/>
              <w:suppressLineNumbers w:val="0"/>
              <w:jc w:val="center"/>
              <w:textAlignment w:val="top"/>
              <w:rPr>
                <w:rFonts w:hint="default"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506" w:type="dxa"/>
            <w:tcBorders>
              <w:tl2br w:val="nil"/>
              <w:tr2bl w:val="nil"/>
            </w:tcBorders>
            <w:vAlign w:val="top"/>
          </w:tcPr>
          <w:p>
            <w:pPr>
              <w:keepNext w:val="0"/>
              <w:keepLines w:val="0"/>
              <w:widowControl/>
              <w:suppressLineNumbers w:val="0"/>
              <w:jc w:val="center"/>
              <w:textAlignment w:val="top"/>
              <w:rPr>
                <w:rFonts w:hint="default"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90</w:t>
            </w:r>
          </w:p>
        </w:tc>
        <w:tc>
          <w:tcPr>
            <w:tcW w:w="762" w:type="dxa"/>
            <w:tcBorders>
              <w:tl2br w:val="nil"/>
              <w:tr2bl w:val="nil"/>
            </w:tcBorders>
            <w:vAlign w:val="top"/>
          </w:tcPr>
          <w:p>
            <w:pPr>
              <w:keepNext w:val="0"/>
              <w:keepLines w:val="0"/>
              <w:widowControl/>
              <w:suppressLineNumbers w:val="0"/>
              <w:jc w:val="center"/>
              <w:textAlignment w:val="top"/>
              <w:rPr>
                <w:rFonts w:hint="default"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w:t>
            </w:r>
          </w:p>
        </w:tc>
        <w:tc>
          <w:tcPr>
            <w:tcW w:w="2388" w:type="dxa"/>
            <w:tcBorders>
              <w:tl2br w:val="nil"/>
              <w:tr2bl w:val="nil"/>
            </w:tcBorders>
            <w:vAlign w:val="top"/>
          </w:tcPr>
          <w:p>
            <w:pPr>
              <w:keepNext w:val="0"/>
              <w:keepLines w:val="0"/>
              <w:widowControl/>
              <w:suppressLineNumbers w:val="0"/>
              <w:jc w:val="center"/>
              <w:textAlignment w:val="top"/>
              <w:rPr>
                <w:rFonts w:hint="default" w:ascii="仿宋_GB2312" w:hAnsi="仿宋_GB2312" w:eastAsia="仿宋_GB2312" w:cs="仿宋_GB2312"/>
                <w:i w:val="0"/>
                <w:color w:val="000000"/>
                <w:kern w:val="0"/>
                <w:sz w:val="22"/>
                <w:szCs w:val="22"/>
                <w:u w:val="none"/>
                <w:lang w:val="en-US" w:eastAsia="zh-CN" w:bidi="ar"/>
              </w:rPr>
            </w:pPr>
            <w:r>
              <w:rPr>
                <w:rFonts w:hint="default" w:ascii="仿宋_GB2312" w:hAnsi="仿宋_GB2312" w:eastAsia="仿宋_GB2312" w:cs="仿宋_GB2312"/>
                <w:i w:val="0"/>
                <w:color w:val="000000"/>
                <w:kern w:val="0"/>
                <w:sz w:val="22"/>
                <w:szCs w:val="22"/>
                <w:u w:val="none"/>
                <w:lang w:val="en-US" w:eastAsia="zh-CN" w:bidi="ar"/>
              </w:rPr>
              <w:t>满意度调查表</w:t>
            </w:r>
          </w:p>
        </w:tc>
      </w:tr>
    </w:tbl>
    <w:p>
      <w:pPr>
        <w:numPr>
          <w:ilvl w:val="0"/>
          <w:numId w:val="1"/>
        </w:numPr>
        <w:spacing w:line="584"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资金绩效目标</w:t>
      </w:r>
    </w:p>
    <w:p>
      <w:pPr>
        <w:numPr>
          <w:ilvl w:val="0"/>
          <w:numId w:val="0"/>
        </w:numPr>
        <w:spacing w:line="584"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1.</w:t>
      </w:r>
      <w:bookmarkStart w:id="0" w:name="_Toc29799657"/>
      <w:bookmarkEnd w:id="0"/>
      <w:r>
        <w:rPr>
          <w:rFonts w:hint="eastAsia" w:ascii="仿宋_GB2312" w:hAnsi="仿宋_GB2312" w:eastAsia="仿宋_GB2312" w:cs="仿宋_GB2312"/>
          <w:sz w:val="28"/>
        </w:rPr>
        <w:t>机关事务管理经费绩效目标表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1"/>
        <w:gridCol w:w="1450"/>
        <w:gridCol w:w="2425"/>
        <w:gridCol w:w="2175"/>
        <w:gridCol w:w="2100"/>
        <w:gridCol w:w="44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3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631"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1.保障机关水电、办公经费、日常维修维护，使机关正常运转。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31"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一级指标</w:t>
            </w:r>
          </w:p>
        </w:tc>
        <w:tc>
          <w:tcPr>
            <w:tcW w:w="1450"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二级指标</w:t>
            </w:r>
          </w:p>
        </w:tc>
        <w:tc>
          <w:tcPr>
            <w:tcW w:w="2425"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三级指标</w:t>
            </w:r>
          </w:p>
        </w:tc>
        <w:tc>
          <w:tcPr>
            <w:tcW w:w="2175"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绩效指标描述</w:t>
            </w:r>
          </w:p>
        </w:tc>
        <w:tc>
          <w:tcPr>
            <w:tcW w:w="2100"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指标值</w:t>
            </w:r>
          </w:p>
        </w:tc>
        <w:tc>
          <w:tcPr>
            <w:tcW w:w="4481"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8" w:hRule="atLeast"/>
          <w:jc w:val="center"/>
        </w:trPr>
        <w:tc>
          <w:tcPr>
            <w:tcW w:w="1431" w:type="dxa"/>
            <w:vMerge w:val="restart"/>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产出指标</w:t>
            </w:r>
          </w:p>
        </w:tc>
        <w:tc>
          <w:tcPr>
            <w:tcW w:w="14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数量指标</w:t>
            </w:r>
          </w:p>
        </w:tc>
        <w:tc>
          <w:tcPr>
            <w:tcW w:w="24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保障办公人数</w:t>
            </w:r>
          </w:p>
        </w:tc>
        <w:tc>
          <w:tcPr>
            <w:tcW w:w="217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保障办公人数</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≥140人</w:t>
            </w:r>
          </w:p>
        </w:tc>
        <w:tc>
          <w:tcPr>
            <w:tcW w:w="44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反映保障办公人数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1" w:hRule="atLeast"/>
          <w:jc w:val="center"/>
        </w:trPr>
        <w:tc>
          <w:tcPr>
            <w:tcW w:w="1431"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4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质量指标</w:t>
            </w:r>
          </w:p>
        </w:tc>
        <w:tc>
          <w:tcPr>
            <w:tcW w:w="24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运转保障率</w:t>
            </w:r>
          </w:p>
        </w:tc>
        <w:tc>
          <w:tcPr>
            <w:tcW w:w="217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运转保障率</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44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反映各项日常工作保障率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1" w:hRule="atLeast"/>
          <w:jc w:val="center"/>
        </w:trPr>
        <w:tc>
          <w:tcPr>
            <w:tcW w:w="1431"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4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成本指标</w:t>
            </w:r>
          </w:p>
        </w:tc>
        <w:tc>
          <w:tcPr>
            <w:tcW w:w="24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日常公用支出</w:t>
            </w:r>
          </w:p>
        </w:tc>
        <w:tc>
          <w:tcPr>
            <w:tcW w:w="217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日常公用支出</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18万</w:t>
            </w:r>
          </w:p>
        </w:tc>
        <w:tc>
          <w:tcPr>
            <w:tcW w:w="44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反映办公费及其他公用经费的开支标准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9" w:hRule="atLeast"/>
          <w:jc w:val="center"/>
        </w:trPr>
        <w:tc>
          <w:tcPr>
            <w:tcW w:w="1431"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4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时效指标</w:t>
            </w:r>
          </w:p>
        </w:tc>
        <w:tc>
          <w:tcPr>
            <w:tcW w:w="24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经费保障及时性</w:t>
            </w:r>
          </w:p>
        </w:tc>
        <w:tc>
          <w:tcPr>
            <w:tcW w:w="217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经费保障及时性</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及时</w:t>
            </w:r>
          </w:p>
        </w:tc>
        <w:tc>
          <w:tcPr>
            <w:tcW w:w="44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反映及时保障各项日常工作保障率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5" w:hRule="atLeast"/>
          <w:jc w:val="center"/>
        </w:trPr>
        <w:tc>
          <w:tcPr>
            <w:tcW w:w="143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效果指标</w:t>
            </w:r>
          </w:p>
        </w:tc>
        <w:tc>
          <w:tcPr>
            <w:tcW w:w="14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社会效益指标</w:t>
            </w:r>
          </w:p>
        </w:tc>
        <w:tc>
          <w:tcPr>
            <w:tcW w:w="24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保障日常办公需要，维持单位正常运转</w:t>
            </w:r>
          </w:p>
        </w:tc>
        <w:tc>
          <w:tcPr>
            <w:tcW w:w="217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保障单位正常运转</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维持单位正常运转</w:t>
            </w:r>
          </w:p>
        </w:tc>
        <w:tc>
          <w:tcPr>
            <w:tcW w:w="44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反映保障日常办公需要，维持单位正常运转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72" w:hRule="atLeast"/>
          <w:jc w:val="center"/>
        </w:trPr>
        <w:tc>
          <w:tcPr>
            <w:tcW w:w="143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满意度指标</w:t>
            </w:r>
          </w:p>
        </w:tc>
        <w:tc>
          <w:tcPr>
            <w:tcW w:w="14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服务对象满意度指标</w:t>
            </w:r>
          </w:p>
        </w:tc>
        <w:tc>
          <w:tcPr>
            <w:tcW w:w="24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日常办公保障职工满意度（%）</w:t>
            </w:r>
          </w:p>
        </w:tc>
        <w:tc>
          <w:tcPr>
            <w:tcW w:w="217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机关工作人员对日常办公保障满意度（%）</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w:t>
            </w:r>
          </w:p>
        </w:tc>
        <w:tc>
          <w:tcPr>
            <w:tcW w:w="44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问询</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2.社区党组织服务群众专项经费[区级]绩效目标表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1400"/>
        <w:gridCol w:w="1725"/>
        <w:gridCol w:w="2325"/>
        <w:gridCol w:w="1900"/>
        <w:gridCol w:w="51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3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531"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1.通过项目的开展解决好关系群众切身利益问题和联系服务群众工作，促进社区基层党建工作顺利开展。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31"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一级指标</w:t>
            </w:r>
          </w:p>
        </w:tc>
        <w:tc>
          <w:tcPr>
            <w:tcW w:w="1400"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二级指标</w:t>
            </w:r>
          </w:p>
        </w:tc>
        <w:tc>
          <w:tcPr>
            <w:tcW w:w="1725"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三级指标</w:t>
            </w:r>
          </w:p>
        </w:tc>
        <w:tc>
          <w:tcPr>
            <w:tcW w:w="2325"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绩效指标描述</w:t>
            </w:r>
          </w:p>
        </w:tc>
        <w:tc>
          <w:tcPr>
            <w:tcW w:w="1900"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指标值</w:t>
            </w:r>
          </w:p>
        </w:tc>
        <w:tc>
          <w:tcPr>
            <w:tcW w:w="5181" w:type="dxa"/>
            <w:shd w:val="clear" w:color="auto" w:fill="auto"/>
            <w:vAlign w:val="center"/>
          </w:tcPr>
          <w:p>
            <w:pPr>
              <w:pStyle w:val="12"/>
              <w:rPr>
                <w:rFonts w:hint="eastAsia" w:ascii="仿宋_GB2312" w:hAnsi="仿宋_GB2312" w:eastAsia="仿宋_GB2312" w:cs="仿宋_GB2312"/>
                <w:b/>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1" w:type="dxa"/>
            <w:vMerge w:val="restart"/>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产出指标</w:t>
            </w:r>
          </w:p>
        </w:tc>
        <w:tc>
          <w:tcPr>
            <w:tcW w:w="14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数量指标</w:t>
            </w:r>
          </w:p>
        </w:tc>
        <w:tc>
          <w:tcPr>
            <w:tcW w:w="17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项目保障社区数</w:t>
            </w:r>
          </w:p>
        </w:tc>
        <w:tc>
          <w:tcPr>
            <w:tcW w:w="23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反映项目保障服务人数</w:t>
            </w:r>
          </w:p>
        </w:tc>
        <w:tc>
          <w:tcPr>
            <w:tcW w:w="19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≥8个</w:t>
            </w:r>
          </w:p>
        </w:tc>
        <w:tc>
          <w:tcPr>
            <w:tcW w:w="51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1"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4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质量指标</w:t>
            </w:r>
          </w:p>
        </w:tc>
        <w:tc>
          <w:tcPr>
            <w:tcW w:w="17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运转保障率</w:t>
            </w:r>
          </w:p>
        </w:tc>
        <w:tc>
          <w:tcPr>
            <w:tcW w:w="23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反映党组织日常工作保障情况</w:t>
            </w:r>
          </w:p>
        </w:tc>
        <w:tc>
          <w:tcPr>
            <w:tcW w:w="19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51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1"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4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时效指标</w:t>
            </w:r>
          </w:p>
        </w:tc>
        <w:tc>
          <w:tcPr>
            <w:tcW w:w="17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经费保障及时率</w:t>
            </w:r>
          </w:p>
        </w:tc>
        <w:tc>
          <w:tcPr>
            <w:tcW w:w="23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反应工作完成及时率</w:t>
            </w:r>
          </w:p>
        </w:tc>
        <w:tc>
          <w:tcPr>
            <w:tcW w:w="19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≥95%</w:t>
            </w:r>
          </w:p>
        </w:tc>
        <w:tc>
          <w:tcPr>
            <w:tcW w:w="51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1"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4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成本指标</w:t>
            </w:r>
          </w:p>
        </w:tc>
        <w:tc>
          <w:tcPr>
            <w:tcW w:w="17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资金成本</w:t>
            </w:r>
          </w:p>
        </w:tc>
        <w:tc>
          <w:tcPr>
            <w:tcW w:w="23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反映单位资金成本</w:t>
            </w:r>
          </w:p>
        </w:tc>
        <w:tc>
          <w:tcPr>
            <w:tcW w:w="19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≤20万元/社区/年</w:t>
            </w:r>
          </w:p>
        </w:tc>
        <w:tc>
          <w:tcPr>
            <w:tcW w:w="51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3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效果指标</w:t>
            </w:r>
          </w:p>
        </w:tc>
        <w:tc>
          <w:tcPr>
            <w:tcW w:w="14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社会效益指标</w:t>
            </w:r>
          </w:p>
        </w:tc>
        <w:tc>
          <w:tcPr>
            <w:tcW w:w="17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提升专业化服务水平</w:t>
            </w:r>
          </w:p>
        </w:tc>
        <w:tc>
          <w:tcPr>
            <w:tcW w:w="23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反映专业化服务水平情况</w:t>
            </w:r>
          </w:p>
        </w:tc>
        <w:tc>
          <w:tcPr>
            <w:tcW w:w="19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进一步提升</w:t>
            </w:r>
          </w:p>
        </w:tc>
        <w:tc>
          <w:tcPr>
            <w:tcW w:w="51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3" w:hRule="atLeast"/>
          <w:jc w:val="center"/>
        </w:trPr>
        <w:tc>
          <w:tcPr>
            <w:tcW w:w="153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满意度指标</w:t>
            </w:r>
          </w:p>
        </w:tc>
        <w:tc>
          <w:tcPr>
            <w:tcW w:w="14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服务对象满意度指标</w:t>
            </w:r>
          </w:p>
        </w:tc>
        <w:tc>
          <w:tcPr>
            <w:tcW w:w="17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社区居民对社区服务的满意度</w:t>
            </w:r>
          </w:p>
        </w:tc>
        <w:tc>
          <w:tcPr>
            <w:tcW w:w="232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社区居民对社区当年工作满意度</w:t>
            </w:r>
          </w:p>
        </w:tc>
        <w:tc>
          <w:tcPr>
            <w:tcW w:w="19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w:t>
            </w:r>
          </w:p>
        </w:tc>
        <w:tc>
          <w:tcPr>
            <w:tcW w:w="5181"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调查问卷</w:t>
            </w:r>
          </w:p>
        </w:tc>
      </w:tr>
    </w:tbl>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p>
      <w:pPr>
        <w:numPr>
          <w:ilvl w:val="0"/>
          <w:numId w:val="0"/>
        </w:numPr>
        <w:ind w:firstLine="1120" w:firstLineChars="400"/>
        <w:jc w:val="left"/>
        <w:outlineLvl w:val="1"/>
        <w:rPr>
          <w:rFonts w:hint="eastAsia" w:ascii="仿宋_GB2312" w:hAnsi="仿宋_GB2312" w:eastAsia="仿宋_GB2312" w:cs="仿宋_GB2312"/>
          <w:sz w:val="28"/>
          <w:lang w:val="en-US" w:eastAsia="zh-CN"/>
        </w:rPr>
      </w:pPr>
    </w:p>
    <w:p>
      <w:pPr>
        <w:numPr>
          <w:ilvl w:val="0"/>
          <w:numId w:val="0"/>
        </w:numPr>
        <w:ind w:firstLine="1120" w:firstLineChars="400"/>
        <w:jc w:val="left"/>
        <w:outlineLvl w:val="1"/>
        <w:rPr>
          <w:rFonts w:hint="eastAsia" w:ascii="仿宋_GB2312" w:hAnsi="仿宋_GB2312" w:eastAsia="仿宋_GB2312" w:cs="仿宋_GB2312"/>
          <w:sz w:val="28"/>
          <w:lang w:val="en-US" w:eastAsia="zh-CN"/>
        </w:rPr>
      </w:pPr>
    </w:p>
    <w:p>
      <w:pPr>
        <w:numPr>
          <w:ilvl w:val="0"/>
          <w:numId w:val="0"/>
        </w:numPr>
        <w:jc w:val="left"/>
        <w:outlineLvl w:val="1"/>
        <w:rPr>
          <w:rFonts w:hint="eastAsia" w:ascii="仿宋_GB2312" w:hAnsi="仿宋_GB2312" w:eastAsia="仿宋_GB2312" w:cs="仿宋_GB2312"/>
          <w:sz w:val="28"/>
          <w:lang w:val="en-US" w:eastAsia="zh-CN"/>
        </w:rPr>
      </w:pPr>
    </w:p>
    <w:p>
      <w:pPr>
        <w:numPr>
          <w:ilvl w:val="0"/>
          <w:numId w:val="0"/>
        </w:numPr>
        <w:ind w:firstLine="1120" w:firstLineChars="400"/>
        <w:jc w:val="left"/>
        <w:outlineLvl w:val="1"/>
        <w:rPr>
          <w:rFonts w:hint="eastAsia" w:ascii="仿宋_GB2312" w:hAnsi="仿宋_GB2312" w:eastAsia="仿宋_GB2312" w:cs="仿宋_GB2312"/>
          <w:sz w:val="28"/>
          <w:lang w:val="en-US" w:eastAsia="zh-CN"/>
        </w:rPr>
      </w:pPr>
      <w:r>
        <w:rPr>
          <w:rFonts w:hint="eastAsia" w:ascii="仿宋_GB2312" w:hAnsi="仿宋_GB2312" w:eastAsia="仿宋_GB2312" w:cs="仿宋_GB2312"/>
          <w:sz w:val="28"/>
          <w:lang w:val="en-US" w:eastAsia="zh-CN"/>
        </w:rPr>
        <w:t xml:space="preserve">3.社区工作经费[区级]绩效目标表 </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3"/>
        <w:gridCol w:w="1650"/>
        <w:gridCol w:w="2079"/>
        <w:gridCol w:w="2957"/>
        <w:gridCol w:w="1586"/>
        <w:gridCol w:w="44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5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709"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1.通过社区各项日常办公费用支出，达到社区各项日常工作正常运转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5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65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07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95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58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43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5" w:hRule="atLeast"/>
          <w:jc w:val="center"/>
        </w:trPr>
        <w:tc>
          <w:tcPr>
            <w:tcW w:w="1353" w:type="dxa"/>
            <w:vMerge w:val="restart"/>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产出指标</w:t>
            </w:r>
          </w:p>
        </w:tc>
        <w:tc>
          <w:tcPr>
            <w:tcW w:w="16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数量指标</w:t>
            </w:r>
          </w:p>
        </w:tc>
        <w:tc>
          <w:tcPr>
            <w:tcW w:w="20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经费保障社区个数</w:t>
            </w:r>
          </w:p>
        </w:tc>
        <w:tc>
          <w:tcPr>
            <w:tcW w:w="295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反映经费保障社区个数</w:t>
            </w:r>
          </w:p>
        </w:tc>
        <w:tc>
          <w:tcPr>
            <w:tcW w:w="158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≥8个</w:t>
            </w:r>
          </w:p>
        </w:tc>
        <w:tc>
          <w:tcPr>
            <w:tcW w:w="443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0" w:hRule="atLeast"/>
          <w:jc w:val="center"/>
        </w:trPr>
        <w:tc>
          <w:tcPr>
            <w:tcW w:w="1353"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6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质量指标</w:t>
            </w:r>
          </w:p>
        </w:tc>
        <w:tc>
          <w:tcPr>
            <w:tcW w:w="20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运转保障率</w:t>
            </w:r>
          </w:p>
        </w:tc>
        <w:tc>
          <w:tcPr>
            <w:tcW w:w="295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反映各项日常工作保障情况</w:t>
            </w:r>
          </w:p>
        </w:tc>
        <w:tc>
          <w:tcPr>
            <w:tcW w:w="158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443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8" w:hRule="atLeast"/>
          <w:jc w:val="center"/>
        </w:trPr>
        <w:tc>
          <w:tcPr>
            <w:tcW w:w="1353"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6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时效指标</w:t>
            </w:r>
          </w:p>
        </w:tc>
        <w:tc>
          <w:tcPr>
            <w:tcW w:w="20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经费保障及时率</w:t>
            </w:r>
          </w:p>
        </w:tc>
        <w:tc>
          <w:tcPr>
            <w:tcW w:w="295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反映及时保障各项日常办公需要</w:t>
            </w:r>
          </w:p>
        </w:tc>
        <w:tc>
          <w:tcPr>
            <w:tcW w:w="158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≥95%</w:t>
            </w:r>
          </w:p>
        </w:tc>
        <w:tc>
          <w:tcPr>
            <w:tcW w:w="443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94" w:hRule="atLeast"/>
          <w:jc w:val="center"/>
        </w:trPr>
        <w:tc>
          <w:tcPr>
            <w:tcW w:w="1353"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6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成本指标</w:t>
            </w:r>
          </w:p>
        </w:tc>
        <w:tc>
          <w:tcPr>
            <w:tcW w:w="20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资金成本</w:t>
            </w:r>
          </w:p>
        </w:tc>
        <w:tc>
          <w:tcPr>
            <w:tcW w:w="295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反映单位资金成本</w:t>
            </w:r>
          </w:p>
        </w:tc>
        <w:tc>
          <w:tcPr>
            <w:tcW w:w="158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≤10万元/社区/年</w:t>
            </w:r>
          </w:p>
        </w:tc>
        <w:tc>
          <w:tcPr>
            <w:tcW w:w="443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92" w:hRule="atLeast"/>
          <w:jc w:val="center"/>
        </w:trPr>
        <w:tc>
          <w:tcPr>
            <w:tcW w:w="1353"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效果指标</w:t>
            </w:r>
          </w:p>
        </w:tc>
        <w:tc>
          <w:tcPr>
            <w:tcW w:w="16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社会效益指标</w:t>
            </w:r>
          </w:p>
        </w:tc>
        <w:tc>
          <w:tcPr>
            <w:tcW w:w="20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保障日常办公需要，维持社区正常运转</w:t>
            </w:r>
          </w:p>
        </w:tc>
        <w:tc>
          <w:tcPr>
            <w:tcW w:w="295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反映保障日常办公需要，维持社区正常运转</w:t>
            </w:r>
          </w:p>
        </w:tc>
        <w:tc>
          <w:tcPr>
            <w:tcW w:w="158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维持社区正常运转</w:t>
            </w:r>
          </w:p>
        </w:tc>
        <w:tc>
          <w:tcPr>
            <w:tcW w:w="443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4" w:hRule="atLeast"/>
          <w:jc w:val="center"/>
        </w:trPr>
        <w:tc>
          <w:tcPr>
            <w:tcW w:w="1353"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满意度指标</w:t>
            </w:r>
          </w:p>
        </w:tc>
        <w:tc>
          <w:tcPr>
            <w:tcW w:w="165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服务对象满意度指标</w:t>
            </w:r>
          </w:p>
        </w:tc>
        <w:tc>
          <w:tcPr>
            <w:tcW w:w="20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社区居民对社区服务的满意度</w:t>
            </w:r>
          </w:p>
        </w:tc>
        <w:tc>
          <w:tcPr>
            <w:tcW w:w="295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社区居民对社区当年工作满意度</w:t>
            </w:r>
          </w:p>
        </w:tc>
        <w:tc>
          <w:tcPr>
            <w:tcW w:w="158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w:t>
            </w:r>
          </w:p>
        </w:tc>
        <w:tc>
          <w:tcPr>
            <w:tcW w:w="443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调查问卷</w:t>
            </w:r>
          </w:p>
        </w:tc>
      </w:tr>
    </w:tbl>
    <w:p>
      <w:pPr>
        <w:numPr>
          <w:ilvl w:val="0"/>
          <w:numId w:val="0"/>
        </w:numPr>
        <w:jc w:val="left"/>
        <w:outlineLvl w:val="1"/>
        <w:rPr>
          <w:rFonts w:hint="eastAsia" w:ascii="仿宋_GB2312" w:hAnsi="仿宋_GB2312" w:eastAsia="仿宋_GB2312" w:cs="仿宋_GB2312"/>
          <w:sz w:val="28"/>
          <w:lang w:val="en-US" w:eastAsia="zh-CN"/>
        </w:rPr>
      </w:pPr>
    </w:p>
    <w:p>
      <w:pPr>
        <w:numPr>
          <w:ilvl w:val="0"/>
          <w:numId w:val="0"/>
        </w:num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4.社区楼门长工作经费绩效目标表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5"/>
        <w:gridCol w:w="1735"/>
        <w:gridCol w:w="2100"/>
        <w:gridCol w:w="2679"/>
        <w:gridCol w:w="1307"/>
        <w:gridCol w:w="45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7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387"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1.通过引领基层党建，推进社区治理体系建设，切实发挥楼门长作用，保障社区服务水平提升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7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73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10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67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30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56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75" w:type="dxa"/>
            <w:vMerge w:val="restart"/>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产出指标</w:t>
            </w:r>
          </w:p>
        </w:tc>
        <w:tc>
          <w:tcPr>
            <w:tcW w:w="173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数量指标</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保障社区数量数</w:t>
            </w:r>
          </w:p>
        </w:tc>
        <w:tc>
          <w:tcPr>
            <w:tcW w:w="26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反映保障社区的数量</w:t>
            </w:r>
          </w:p>
        </w:tc>
        <w:tc>
          <w:tcPr>
            <w:tcW w:w="130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8个</w:t>
            </w:r>
          </w:p>
        </w:tc>
        <w:tc>
          <w:tcPr>
            <w:tcW w:w="456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廊广办发【2020】</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1号</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75"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73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质量指标</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补贴发放准确率</w:t>
            </w:r>
          </w:p>
        </w:tc>
        <w:tc>
          <w:tcPr>
            <w:tcW w:w="26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反映发放人员的精准性和数据的准确性</w:t>
            </w:r>
          </w:p>
        </w:tc>
        <w:tc>
          <w:tcPr>
            <w:tcW w:w="130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456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廊广办发【2020】</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1号</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75"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73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时效指标</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补贴发放及时率</w:t>
            </w:r>
          </w:p>
        </w:tc>
        <w:tc>
          <w:tcPr>
            <w:tcW w:w="26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反映发放的时效情况</w:t>
            </w:r>
          </w:p>
        </w:tc>
        <w:tc>
          <w:tcPr>
            <w:tcW w:w="130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≥95%</w:t>
            </w:r>
          </w:p>
        </w:tc>
        <w:tc>
          <w:tcPr>
            <w:tcW w:w="456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廊广办发【2020】</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1号</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75"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173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成本指标</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有物业小区楼门长补贴标准</w:t>
            </w:r>
          </w:p>
        </w:tc>
        <w:tc>
          <w:tcPr>
            <w:tcW w:w="26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有物业小区楼门长补贴标准</w:t>
            </w:r>
          </w:p>
        </w:tc>
        <w:tc>
          <w:tcPr>
            <w:tcW w:w="130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100元/月/人</w:t>
            </w:r>
          </w:p>
        </w:tc>
        <w:tc>
          <w:tcPr>
            <w:tcW w:w="456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廊广办发【2020】</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1号</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7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效果指标</w:t>
            </w:r>
          </w:p>
        </w:tc>
        <w:tc>
          <w:tcPr>
            <w:tcW w:w="173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社会效益指标</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加强楼门长的归属感，保障楼门长队伍稳</w:t>
            </w:r>
          </w:p>
        </w:tc>
        <w:tc>
          <w:tcPr>
            <w:tcW w:w="26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提升社区群防群治水平</w:t>
            </w:r>
          </w:p>
        </w:tc>
        <w:tc>
          <w:tcPr>
            <w:tcW w:w="130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有效保障</w:t>
            </w:r>
          </w:p>
        </w:tc>
        <w:tc>
          <w:tcPr>
            <w:tcW w:w="456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廊广办发【2020】</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1号</w:t>
            </w:r>
          </w:p>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4" w:hRule="atLeast"/>
          <w:jc w:val="center"/>
        </w:trPr>
        <w:tc>
          <w:tcPr>
            <w:tcW w:w="167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满意度指标</w:t>
            </w:r>
          </w:p>
        </w:tc>
        <w:tc>
          <w:tcPr>
            <w:tcW w:w="173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服务对象满意度指标</w:t>
            </w:r>
          </w:p>
        </w:tc>
        <w:tc>
          <w:tcPr>
            <w:tcW w:w="2100"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楼门长满意度</w:t>
            </w:r>
          </w:p>
        </w:tc>
        <w:tc>
          <w:tcPr>
            <w:tcW w:w="267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对当年补贴发放工作的满意度</w:t>
            </w:r>
          </w:p>
        </w:tc>
        <w:tc>
          <w:tcPr>
            <w:tcW w:w="1307"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w:t>
            </w:r>
          </w:p>
        </w:tc>
        <w:tc>
          <w:tcPr>
            <w:tcW w:w="4566"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满意度调查问卷</w:t>
            </w:r>
          </w:p>
        </w:tc>
      </w:tr>
    </w:tbl>
    <w:p>
      <w:pPr>
        <w:numPr>
          <w:ilvl w:val="0"/>
          <w:numId w:val="0"/>
        </w:numPr>
        <w:jc w:val="left"/>
        <w:outlineLvl w:val="1"/>
        <w:rPr>
          <w:rFonts w:hint="eastAsia" w:ascii="仿宋_GB2312" w:hAnsi="仿宋_GB2312" w:eastAsia="仿宋_GB2312" w:cs="仿宋_GB2312"/>
          <w:sz w:val="28"/>
        </w:rPr>
      </w:pPr>
    </w:p>
    <w:p>
      <w:pPr>
        <w:numPr>
          <w:ilvl w:val="0"/>
          <w:numId w:val="0"/>
        </w:numPr>
        <w:ind w:left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5.社区招聘人员经费[区级]绩效目标表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2"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1.通过按时发放社区聘用人员工资，缴纳各项保险，确保人员稳定，达到加强和完善社区治理，基层和谐稳定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产出指标</w:t>
            </w:r>
          </w:p>
        </w:tc>
        <w:tc>
          <w:tcPr>
            <w:tcW w:w="2268"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数量指标</w:t>
            </w:r>
          </w:p>
        </w:tc>
        <w:tc>
          <w:tcPr>
            <w:tcW w:w="198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保障人数</w:t>
            </w:r>
          </w:p>
        </w:tc>
        <w:tc>
          <w:tcPr>
            <w:tcW w:w="3402"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反映保障人数</w:t>
            </w:r>
          </w:p>
        </w:tc>
        <w:tc>
          <w:tcPr>
            <w:tcW w:w="1843"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≥41人</w:t>
            </w:r>
          </w:p>
        </w:tc>
        <w:tc>
          <w:tcPr>
            <w:tcW w:w="215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2268"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质量指标</w:t>
            </w:r>
          </w:p>
        </w:tc>
        <w:tc>
          <w:tcPr>
            <w:tcW w:w="198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工资发放准确率</w:t>
            </w:r>
          </w:p>
        </w:tc>
        <w:tc>
          <w:tcPr>
            <w:tcW w:w="3402"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反映工资发放精准情况</w:t>
            </w:r>
          </w:p>
        </w:tc>
        <w:tc>
          <w:tcPr>
            <w:tcW w:w="1843"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w:t>
            </w:r>
          </w:p>
        </w:tc>
        <w:tc>
          <w:tcPr>
            <w:tcW w:w="215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2268"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时效指标</w:t>
            </w:r>
          </w:p>
        </w:tc>
        <w:tc>
          <w:tcPr>
            <w:tcW w:w="198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工资发放及时率</w:t>
            </w:r>
          </w:p>
        </w:tc>
        <w:tc>
          <w:tcPr>
            <w:tcW w:w="3402"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反映工资发放的时效情况</w:t>
            </w:r>
          </w:p>
        </w:tc>
        <w:tc>
          <w:tcPr>
            <w:tcW w:w="1843"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≥95%</w:t>
            </w:r>
          </w:p>
        </w:tc>
        <w:tc>
          <w:tcPr>
            <w:tcW w:w="215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p>
        </w:tc>
        <w:tc>
          <w:tcPr>
            <w:tcW w:w="2268"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成本指标</w:t>
            </w:r>
          </w:p>
        </w:tc>
        <w:tc>
          <w:tcPr>
            <w:tcW w:w="198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月平均经费</w:t>
            </w:r>
          </w:p>
        </w:tc>
        <w:tc>
          <w:tcPr>
            <w:tcW w:w="3402"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反映月平均经费</w:t>
            </w:r>
          </w:p>
        </w:tc>
        <w:tc>
          <w:tcPr>
            <w:tcW w:w="1843"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≤30.24万元/月</w:t>
            </w:r>
          </w:p>
        </w:tc>
        <w:tc>
          <w:tcPr>
            <w:tcW w:w="215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效果指标</w:t>
            </w:r>
          </w:p>
        </w:tc>
        <w:tc>
          <w:tcPr>
            <w:tcW w:w="2268"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社会效益指标</w:t>
            </w:r>
          </w:p>
        </w:tc>
        <w:tc>
          <w:tcPr>
            <w:tcW w:w="198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确保人员稳定，实现进一步提升</w:t>
            </w:r>
          </w:p>
        </w:tc>
        <w:tc>
          <w:tcPr>
            <w:tcW w:w="3402"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反映人员稳定提升情况</w:t>
            </w:r>
          </w:p>
        </w:tc>
        <w:tc>
          <w:tcPr>
            <w:tcW w:w="1843"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进一步提升</w:t>
            </w:r>
          </w:p>
        </w:tc>
        <w:tc>
          <w:tcPr>
            <w:tcW w:w="215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0" w:hRule="atLeast"/>
          <w:jc w:val="center"/>
        </w:trPr>
        <w:tc>
          <w:tcPr>
            <w:tcW w:w="2409"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满意度指标</w:t>
            </w:r>
          </w:p>
        </w:tc>
        <w:tc>
          <w:tcPr>
            <w:tcW w:w="2268"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服务对象满意度指标</w:t>
            </w:r>
          </w:p>
        </w:tc>
        <w:tc>
          <w:tcPr>
            <w:tcW w:w="198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社区聘用人员的满意度</w:t>
            </w:r>
          </w:p>
        </w:tc>
        <w:tc>
          <w:tcPr>
            <w:tcW w:w="3402"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社区聘用人员满意的占总人数的比例</w:t>
            </w:r>
          </w:p>
        </w:tc>
        <w:tc>
          <w:tcPr>
            <w:tcW w:w="1843"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≥90%</w:t>
            </w:r>
          </w:p>
        </w:tc>
        <w:tc>
          <w:tcPr>
            <w:tcW w:w="2155" w:type="dxa"/>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满意度调查表</w:t>
            </w:r>
          </w:p>
        </w:tc>
      </w:tr>
    </w:tbl>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t>***廊坊市</w:t>
      </w:r>
      <w:r>
        <w:rPr>
          <w:rFonts w:hint="eastAsia"/>
          <w:lang w:eastAsia="zh-CN"/>
        </w:rPr>
        <w:t>广阳区</w:t>
      </w:r>
      <w:r>
        <w:rPr>
          <w:rFonts w:hint="eastAsia"/>
        </w:rPr>
        <w:t>*</w:t>
      </w:r>
      <w:r>
        <w:t>**                                                                                                         单位：万元</w:t>
      </w:r>
    </w:p>
    <w:tbl>
      <w:tblPr>
        <w:tblStyle w:val="8"/>
        <w:tblW w:w="154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0"/>
        <w:gridCol w:w="967"/>
        <w:gridCol w:w="1137"/>
        <w:gridCol w:w="1137"/>
        <w:gridCol w:w="711"/>
        <w:gridCol w:w="852"/>
        <w:gridCol w:w="852"/>
        <w:gridCol w:w="966"/>
        <w:gridCol w:w="966"/>
        <w:gridCol w:w="966"/>
        <w:gridCol w:w="966"/>
        <w:gridCol w:w="966"/>
        <w:gridCol w:w="966"/>
        <w:gridCol w:w="966"/>
        <w:gridCol w:w="973"/>
        <w:gridCol w:w="9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0" w:hRule="atLeast"/>
          <w:tblHeader/>
          <w:jc w:val="center"/>
        </w:trPr>
        <w:tc>
          <w:tcPr>
            <w:tcW w:w="2067" w:type="dxa"/>
            <w:gridSpan w:val="2"/>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政府采购项目来源</w:t>
            </w:r>
          </w:p>
        </w:tc>
        <w:tc>
          <w:tcPr>
            <w:tcW w:w="1137"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采购物品名称</w:t>
            </w:r>
          </w:p>
        </w:tc>
        <w:tc>
          <w:tcPr>
            <w:tcW w:w="1137"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政府采购目录序号</w:t>
            </w:r>
          </w:p>
        </w:tc>
        <w:tc>
          <w:tcPr>
            <w:tcW w:w="711"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计量  单位</w:t>
            </w:r>
          </w:p>
        </w:tc>
        <w:tc>
          <w:tcPr>
            <w:tcW w:w="852"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数量</w:t>
            </w:r>
          </w:p>
        </w:tc>
        <w:tc>
          <w:tcPr>
            <w:tcW w:w="852"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单价</w:t>
            </w:r>
          </w:p>
        </w:tc>
        <w:tc>
          <w:tcPr>
            <w:tcW w:w="7735" w:type="dxa"/>
            <w:gridSpan w:val="8"/>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政府采购金额（当年</w:t>
            </w:r>
            <w:r>
              <w:rPr>
                <w:rFonts w:hint="eastAsia"/>
                <w:lang w:eastAsia="zh-CN"/>
              </w:rPr>
              <w:t>单位</w:t>
            </w:r>
            <w:r>
              <w:t>预算安排资金）</w:t>
            </w:r>
          </w:p>
        </w:tc>
        <w:tc>
          <w:tcPr>
            <w:tcW w:w="966"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62" w:hRule="atLeast"/>
          <w:tblHeader/>
          <w:jc w:val="center"/>
        </w:trPr>
        <w:tc>
          <w:tcPr>
            <w:tcW w:w="1100" w:type="dxa"/>
            <w:vAlign w:val="center"/>
          </w:tcPr>
          <w:p>
            <w:pPr>
              <w:pStyle w:val="12"/>
            </w:pPr>
            <w:r>
              <w:t>项目名称</w:t>
            </w:r>
          </w:p>
        </w:tc>
        <w:tc>
          <w:tcPr>
            <w:tcW w:w="967" w:type="dxa"/>
            <w:vAlign w:val="center"/>
          </w:tcPr>
          <w:p>
            <w:pPr>
              <w:pStyle w:val="12"/>
            </w:pPr>
            <w:r>
              <w:t>预算    资金</w:t>
            </w:r>
          </w:p>
        </w:tc>
        <w:tc>
          <w:tcPr>
            <w:tcW w:w="1137" w:type="dxa"/>
            <w:vMerge w:val="continue"/>
          </w:tcPr>
          <w:p/>
        </w:tc>
        <w:tc>
          <w:tcPr>
            <w:tcW w:w="1137" w:type="dxa"/>
            <w:vMerge w:val="continue"/>
          </w:tcPr>
          <w:p/>
        </w:tc>
        <w:tc>
          <w:tcPr>
            <w:tcW w:w="711" w:type="dxa"/>
            <w:vMerge w:val="continue"/>
          </w:tcPr>
          <w:p/>
        </w:tc>
        <w:tc>
          <w:tcPr>
            <w:tcW w:w="852" w:type="dxa"/>
            <w:vMerge w:val="continue"/>
          </w:tcPr>
          <w:p/>
        </w:tc>
        <w:tc>
          <w:tcPr>
            <w:tcW w:w="852" w:type="dxa"/>
            <w:vMerge w:val="continue"/>
          </w:tcPr>
          <w:p/>
        </w:tc>
        <w:tc>
          <w:tcPr>
            <w:tcW w:w="966" w:type="dxa"/>
            <w:vAlign w:val="center"/>
          </w:tcPr>
          <w:p>
            <w:pPr>
              <w:pStyle w:val="12"/>
            </w:pPr>
            <w:r>
              <w:t>合计</w:t>
            </w:r>
          </w:p>
        </w:tc>
        <w:tc>
          <w:tcPr>
            <w:tcW w:w="966" w:type="dxa"/>
            <w:vAlign w:val="center"/>
          </w:tcPr>
          <w:p>
            <w:pPr>
              <w:pStyle w:val="12"/>
            </w:pPr>
            <w:r>
              <w:t>一般公共预算拨款</w:t>
            </w:r>
          </w:p>
        </w:tc>
        <w:tc>
          <w:tcPr>
            <w:tcW w:w="966" w:type="dxa"/>
            <w:vAlign w:val="center"/>
          </w:tcPr>
          <w:p>
            <w:pPr>
              <w:pStyle w:val="12"/>
            </w:pPr>
            <w:r>
              <w:t>基金预算拨款</w:t>
            </w:r>
          </w:p>
        </w:tc>
        <w:tc>
          <w:tcPr>
            <w:tcW w:w="966" w:type="dxa"/>
            <w:vAlign w:val="center"/>
          </w:tcPr>
          <w:p>
            <w:pPr>
              <w:pStyle w:val="12"/>
            </w:pPr>
            <w:r>
              <w:t>国有资本经营预算拨款</w:t>
            </w:r>
          </w:p>
        </w:tc>
        <w:tc>
          <w:tcPr>
            <w:tcW w:w="966" w:type="dxa"/>
            <w:vAlign w:val="center"/>
          </w:tcPr>
          <w:p>
            <w:pPr>
              <w:pStyle w:val="12"/>
            </w:pPr>
            <w:r>
              <w:t>财政专户核拨</w:t>
            </w:r>
          </w:p>
        </w:tc>
        <w:tc>
          <w:tcPr>
            <w:tcW w:w="966" w:type="dxa"/>
            <w:vAlign w:val="center"/>
          </w:tcPr>
          <w:p>
            <w:pPr>
              <w:pStyle w:val="12"/>
            </w:pPr>
            <w:r>
              <w:t>单位    资金</w:t>
            </w:r>
          </w:p>
        </w:tc>
        <w:tc>
          <w:tcPr>
            <w:tcW w:w="966" w:type="dxa"/>
            <w:vAlign w:val="center"/>
          </w:tcPr>
          <w:p>
            <w:pPr>
              <w:pStyle w:val="12"/>
            </w:pPr>
            <w:r>
              <w:t>财政拨    款结转</w:t>
            </w:r>
          </w:p>
        </w:tc>
        <w:tc>
          <w:tcPr>
            <w:tcW w:w="973" w:type="dxa"/>
            <w:vAlign w:val="center"/>
          </w:tcPr>
          <w:p>
            <w:pPr>
              <w:pStyle w:val="12"/>
            </w:pPr>
            <w:r>
              <w:t>非财政    拨款结    转结余</w:t>
            </w:r>
          </w:p>
        </w:tc>
        <w:tc>
          <w:tcPr>
            <w:tcW w:w="9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6" w:hRule="atLeast"/>
          <w:jc w:val="center"/>
        </w:trPr>
        <w:tc>
          <w:tcPr>
            <w:tcW w:w="1100" w:type="dxa"/>
            <w:vAlign w:val="center"/>
          </w:tcPr>
          <w:p>
            <w:pPr>
              <w:pStyle w:val="16"/>
            </w:pPr>
            <w:r>
              <w:t>合  计</w:t>
            </w:r>
          </w:p>
        </w:tc>
        <w:tc>
          <w:tcPr>
            <w:tcW w:w="967" w:type="dxa"/>
            <w:vAlign w:val="center"/>
          </w:tcPr>
          <w:p>
            <w:pPr>
              <w:pStyle w:val="17"/>
            </w:pPr>
          </w:p>
        </w:tc>
        <w:tc>
          <w:tcPr>
            <w:tcW w:w="1137" w:type="dxa"/>
            <w:vAlign w:val="center"/>
          </w:tcPr>
          <w:p>
            <w:pPr>
              <w:pStyle w:val="18"/>
            </w:pPr>
          </w:p>
        </w:tc>
        <w:tc>
          <w:tcPr>
            <w:tcW w:w="1137" w:type="dxa"/>
            <w:vAlign w:val="center"/>
          </w:tcPr>
          <w:p>
            <w:pPr>
              <w:pStyle w:val="18"/>
            </w:pPr>
          </w:p>
        </w:tc>
        <w:tc>
          <w:tcPr>
            <w:tcW w:w="711" w:type="dxa"/>
            <w:vAlign w:val="center"/>
          </w:tcPr>
          <w:p>
            <w:pPr>
              <w:pStyle w:val="16"/>
            </w:pPr>
          </w:p>
        </w:tc>
        <w:tc>
          <w:tcPr>
            <w:tcW w:w="852" w:type="dxa"/>
            <w:vAlign w:val="center"/>
          </w:tcPr>
          <w:p>
            <w:pPr>
              <w:pStyle w:val="17"/>
            </w:pPr>
          </w:p>
        </w:tc>
        <w:tc>
          <w:tcPr>
            <w:tcW w:w="852" w:type="dxa"/>
            <w:vAlign w:val="center"/>
          </w:tcPr>
          <w:p>
            <w:pPr>
              <w:pStyle w:val="17"/>
            </w:pPr>
          </w:p>
        </w:tc>
        <w:tc>
          <w:tcPr>
            <w:tcW w:w="966" w:type="dxa"/>
            <w:vAlign w:val="center"/>
          </w:tcPr>
          <w:p>
            <w:pPr>
              <w:pStyle w:val="17"/>
            </w:pPr>
          </w:p>
        </w:tc>
        <w:tc>
          <w:tcPr>
            <w:tcW w:w="966" w:type="dxa"/>
            <w:vAlign w:val="center"/>
          </w:tcPr>
          <w:p>
            <w:pPr>
              <w:pStyle w:val="17"/>
            </w:pPr>
          </w:p>
        </w:tc>
        <w:tc>
          <w:tcPr>
            <w:tcW w:w="966" w:type="dxa"/>
            <w:vAlign w:val="center"/>
          </w:tcPr>
          <w:p>
            <w:pPr>
              <w:pStyle w:val="17"/>
            </w:pPr>
          </w:p>
        </w:tc>
        <w:tc>
          <w:tcPr>
            <w:tcW w:w="966" w:type="dxa"/>
            <w:vAlign w:val="center"/>
          </w:tcPr>
          <w:p>
            <w:pPr>
              <w:pStyle w:val="17"/>
            </w:pPr>
          </w:p>
        </w:tc>
        <w:tc>
          <w:tcPr>
            <w:tcW w:w="966" w:type="dxa"/>
            <w:vAlign w:val="center"/>
          </w:tcPr>
          <w:p>
            <w:pPr>
              <w:pStyle w:val="17"/>
            </w:pPr>
          </w:p>
        </w:tc>
        <w:tc>
          <w:tcPr>
            <w:tcW w:w="966" w:type="dxa"/>
            <w:vAlign w:val="center"/>
          </w:tcPr>
          <w:p>
            <w:pPr>
              <w:pStyle w:val="17"/>
            </w:pPr>
          </w:p>
        </w:tc>
        <w:tc>
          <w:tcPr>
            <w:tcW w:w="966" w:type="dxa"/>
            <w:vAlign w:val="center"/>
          </w:tcPr>
          <w:p>
            <w:pPr>
              <w:pStyle w:val="17"/>
            </w:pPr>
          </w:p>
        </w:tc>
        <w:tc>
          <w:tcPr>
            <w:tcW w:w="973" w:type="dxa"/>
            <w:vAlign w:val="center"/>
          </w:tcPr>
          <w:p>
            <w:pPr>
              <w:pStyle w:val="17"/>
            </w:pPr>
          </w:p>
        </w:tc>
        <w:tc>
          <w:tcPr>
            <w:tcW w:w="96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6" w:hRule="atLeast"/>
          <w:jc w:val="center"/>
        </w:trPr>
        <w:tc>
          <w:tcPr>
            <w:tcW w:w="1100" w:type="dxa"/>
            <w:vAlign w:val="center"/>
          </w:tcPr>
          <w:p>
            <w:pPr>
              <w:pStyle w:val="16"/>
            </w:pPr>
          </w:p>
        </w:tc>
        <w:tc>
          <w:tcPr>
            <w:tcW w:w="967" w:type="dxa"/>
            <w:vAlign w:val="center"/>
          </w:tcPr>
          <w:p>
            <w:pPr>
              <w:pStyle w:val="17"/>
            </w:pPr>
          </w:p>
        </w:tc>
        <w:tc>
          <w:tcPr>
            <w:tcW w:w="1137" w:type="dxa"/>
            <w:vAlign w:val="center"/>
          </w:tcPr>
          <w:p>
            <w:pPr>
              <w:pStyle w:val="18"/>
            </w:pPr>
          </w:p>
        </w:tc>
        <w:tc>
          <w:tcPr>
            <w:tcW w:w="1137" w:type="dxa"/>
            <w:vAlign w:val="center"/>
          </w:tcPr>
          <w:p>
            <w:pPr>
              <w:pStyle w:val="18"/>
            </w:pPr>
          </w:p>
        </w:tc>
        <w:tc>
          <w:tcPr>
            <w:tcW w:w="711" w:type="dxa"/>
            <w:vAlign w:val="center"/>
          </w:tcPr>
          <w:p>
            <w:pPr>
              <w:pStyle w:val="16"/>
            </w:pPr>
          </w:p>
        </w:tc>
        <w:tc>
          <w:tcPr>
            <w:tcW w:w="852" w:type="dxa"/>
            <w:vAlign w:val="center"/>
          </w:tcPr>
          <w:p>
            <w:pPr>
              <w:pStyle w:val="17"/>
            </w:pPr>
          </w:p>
        </w:tc>
        <w:tc>
          <w:tcPr>
            <w:tcW w:w="852" w:type="dxa"/>
            <w:vAlign w:val="center"/>
          </w:tcPr>
          <w:p>
            <w:pPr>
              <w:pStyle w:val="17"/>
            </w:pPr>
          </w:p>
        </w:tc>
        <w:tc>
          <w:tcPr>
            <w:tcW w:w="966" w:type="dxa"/>
            <w:vAlign w:val="center"/>
          </w:tcPr>
          <w:p>
            <w:pPr>
              <w:pStyle w:val="17"/>
            </w:pPr>
          </w:p>
        </w:tc>
        <w:tc>
          <w:tcPr>
            <w:tcW w:w="966" w:type="dxa"/>
            <w:vAlign w:val="center"/>
          </w:tcPr>
          <w:p>
            <w:pPr>
              <w:pStyle w:val="17"/>
            </w:pPr>
          </w:p>
        </w:tc>
        <w:tc>
          <w:tcPr>
            <w:tcW w:w="966" w:type="dxa"/>
            <w:vAlign w:val="center"/>
          </w:tcPr>
          <w:p>
            <w:pPr>
              <w:pStyle w:val="17"/>
            </w:pPr>
          </w:p>
        </w:tc>
        <w:tc>
          <w:tcPr>
            <w:tcW w:w="966" w:type="dxa"/>
            <w:vAlign w:val="center"/>
          </w:tcPr>
          <w:p>
            <w:pPr>
              <w:pStyle w:val="17"/>
            </w:pPr>
          </w:p>
        </w:tc>
        <w:tc>
          <w:tcPr>
            <w:tcW w:w="966" w:type="dxa"/>
            <w:vAlign w:val="center"/>
          </w:tcPr>
          <w:p>
            <w:pPr>
              <w:pStyle w:val="17"/>
            </w:pPr>
          </w:p>
        </w:tc>
        <w:tc>
          <w:tcPr>
            <w:tcW w:w="966" w:type="dxa"/>
            <w:vAlign w:val="center"/>
          </w:tcPr>
          <w:p>
            <w:pPr>
              <w:pStyle w:val="17"/>
            </w:pPr>
          </w:p>
        </w:tc>
        <w:tc>
          <w:tcPr>
            <w:tcW w:w="966" w:type="dxa"/>
            <w:vAlign w:val="center"/>
          </w:tcPr>
          <w:p>
            <w:pPr>
              <w:pStyle w:val="17"/>
            </w:pPr>
          </w:p>
        </w:tc>
        <w:tc>
          <w:tcPr>
            <w:tcW w:w="973" w:type="dxa"/>
            <w:vAlign w:val="center"/>
          </w:tcPr>
          <w:p>
            <w:pPr>
              <w:pStyle w:val="17"/>
            </w:pPr>
          </w:p>
        </w:tc>
        <w:tc>
          <w:tcPr>
            <w:tcW w:w="96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6" w:hRule="atLeast"/>
          <w:jc w:val="center"/>
        </w:trPr>
        <w:tc>
          <w:tcPr>
            <w:tcW w:w="1100" w:type="dxa"/>
            <w:vAlign w:val="center"/>
          </w:tcPr>
          <w:p>
            <w:pPr>
              <w:pStyle w:val="14"/>
            </w:pPr>
          </w:p>
        </w:tc>
        <w:tc>
          <w:tcPr>
            <w:tcW w:w="967" w:type="dxa"/>
            <w:vAlign w:val="center"/>
          </w:tcPr>
          <w:p>
            <w:pPr>
              <w:pStyle w:val="13"/>
            </w:pPr>
          </w:p>
        </w:tc>
        <w:tc>
          <w:tcPr>
            <w:tcW w:w="1137" w:type="dxa"/>
            <w:vAlign w:val="center"/>
          </w:tcPr>
          <w:p>
            <w:pPr>
              <w:pStyle w:val="14"/>
            </w:pPr>
          </w:p>
        </w:tc>
        <w:tc>
          <w:tcPr>
            <w:tcW w:w="1137" w:type="dxa"/>
            <w:vAlign w:val="center"/>
          </w:tcPr>
          <w:p>
            <w:pPr>
              <w:pStyle w:val="14"/>
            </w:pPr>
          </w:p>
        </w:tc>
        <w:tc>
          <w:tcPr>
            <w:tcW w:w="711" w:type="dxa"/>
            <w:vAlign w:val="center"/>
          </w:tcPr>
          <w:p>
            <w:pPr>
              <w:pStyle w:val="15"/>
            </w:pPr>
          </w:p>
        </w:tc>
        <w:tc>
          <w:tcPr>
            <w:tcW w:w="852" w:type="dxa"/>
            <w:vAlign w:val="center"/>
          </w:tcPr>
          <w:p>
            <w:pPr>
              <w:pStyle w:val="13"/>
            </w:pPr>
          </w:p>
        </w:tc>
        <w:tc>
          <w:tcPr>
            <w:tcW w:w="852" w:type="dxa"/>
            <w:vAlign w:val="center"/>
          </w:tcPr>
          <w:p>
            <w:pPr>
              <w:pStyle w:val="13"/>
            </w:pPr>
          </w:p>
        </w:tc>
        <w:tc>
          <w:tcPr>
            <w:tcW w:w="966" w:type="dxa"/>
            <w:vAlign w:val="center"/>
          </w:tcPr>
          <w:p>
            <w:pPr>
              <w:pStyle w:val="13"/>
            </w:pPr>
          </w:p>
        </w:tc>
        <w:tc>
          <w:tcPr>
            <w:tcW w:w="966" w:type="dxa"/>
            <w:vAlign w:val="center"/>
          </w:tcPr>
          <w:p>
            <w:pPr>
              <w:pStyle w:val="13"/>
            </w:pPr>
          </w:p>
        </w:tc>
        <w:tc>
          <w:tcPr>
            <w:tcW w:w="966" w:type="dxa"/>
            <w:vAlign w:val="center"/>
          </w:tcPr>
          <w:p>
            <w:pPr>
              <w:pStyle w:val="13"/>
            </w:pPr>
          </w:p>
        </w:tc>
        <w:tc>
          <w:tcPr>
            <w:tcW w:w="966" w:type="dxa"/>
            <w:vAlign w:val="center"/>
          </w:tcPr>
          <w:p>
            <w:pPr>
              <w:pStyle w:val="13"/>
            </w:pPr>
          </w:p>
        </w:tc>
        <w:tc>
          <w:tcPr>
            <w:tcW w:w="966" w:type="dxa"/>
            <w:vAlign w:val="center"/>
          </w:tcPr>
          <w:p>
            <w:pPr>
              <w:pStyle w:val="13"/>
            </w:pPr>
          </w:p>
        </w:tc>
        <w:tc>
          <w:tcPr>
            <w:tcW w:w="966" w:type="dxa"/>
            <w:vAlign w:val="center"/>
          </w:tcPr>
          <w:p>
            <w:pPr>
              <w:pStyle w:val="13"/>
            </w:pPr>
          </w:p>
        </w:tc>
        <w:tc>
          <w:tcPr>
            <w:tcW w:w="966" w:type="dxa"/>
            <w:vAlign w:val="center"/>
          </w:tcPr>
          <w:p>
            <w:pPr>
              <w:pStyle w:val="13"/>
            </w:pPr>
          </w:p>
        </w:tc>
        <w:tc>
          <w:tcPr>
            <w:tcW w:w="973" w:type="dxa"/>
            <w:vAlign w:val="center"/>
          </w:tcPr>
          <w:p>
            <w:pPr>
              <w:pStyle w:val="13"/>
            </w:pPr>
          </w:p>
        </w:tc>
        <w:tc>
          <w:tcPr>
            <w:tcW w:w="9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6" w:hRule="atLeast"/>
          <w:jc w:val="center"/>
        </w:trPr>
        <w:tc>
          <w:tcPr>
            <w:tcW w:w="1100" w:type="dxa"/>
            <w:vAlign w:val="center"/>
          </w:tcPr>
          <w:p>
            <w:pPr>
              <w:pStyle w:val="14"/>
            </w:pPr>
          </w:p>
        </w:tc>
        <w:tc>
          <w:tcPr>
            <w:tcW w:w="967" w:type="dxa"/>
            <w:vAlign w:val="center"/>
          </w:tcPr>
          <w:p>
            <w:pPr>
              <w:pStyle w:val="13"/>
            </w:pPr>
          </w:p>
        </w:tc>
        <w:tc>
          <w:tcPr>
            <w:tcW w:w="1137" w:type="dxa"/>
            <w:vAlign w:val="center"/>
          </w:tcPr>
          <w:p>
            <w:pPr>
              <w:pStyle w:val="14"/>
            </w:pPr>
          </w:p>
        </w:tc>
        <w:tc>
          <w:tcPr>
            <w:tcW w:w="1137" w:type="dxa"/>
            <w:vAlign w:val="center"/>
          </w:tcPr>
          <w:p>
            <w:pPr>
              <w:pStyle w:val="14"/>
            </w:pPr>
          </w:p>
        </w:tc>
        <w:tc>
          <w:tcPr>
            <w:tcW w:w="711" w:type="dxa"/>
            <w:vAlign w:val="center"/>
          </w:tcPr>
          <w:p>
            <w:pPr>
              <w:pStyle w:val="15"/>
            </w:pPr>
          </w:p>
        </w:tc>
        <w:tc>
          <w:tcPr>
            <w:tcW w:w="852" w:type="dxa"/>
            <w:vAlign w:val="center"/>
          </w:tcPr>
          <w:p>
            <w:pPr>
              <w:pStyle w:val="13"/>
            </w:pPr>
          </w:p>
        </w:tc>
        <w:tc>
          <w:tcPr>
            <w:tcW w:w="852" w:type="dxa"/>
            <w:vAlign w:val="center"/>
          </w:tcPr>
          <w:p>
            <w:pPr>
              <w:pStyle w:val="13"/>
            </w:pPr>
          </w:p>
        </w:tc>
        <w:tc>
          <w:tcPr>
            <w:tcW w:w="966" w:type="dxa"/>
            <w:vAlign w:val="center"/>
          </w:tcPr>
          <w:p>
            <w:pPr>
              <w:pStyle w:val="13"/>
            </w:pPr>
          </w:p>
        </w:tc>
        <w:tc>
          <w:tcPr>
            <w:tcW w:w="966" w:type="dxa"/>
            <w:vAlign w:val="center"/>
          </w:tcPr>
          <w:p>
            <w:pPr>
              <w:pStyle w:val="13"/>
            </w:pPr>
          </w:p>
        </w:tc>
        <w:tc>
          <w:tcPr>
            <w:tcW w:w="966" w:type="dxa"/>
            <w:vAlign w:val="center"/>
          </w:tcPr>
          <w:p>
            <w:pPr>
              <w:pStyle w:val="13"/>
            </w:pPr>
          </w:p>
        </w:tc>
        <w:tc>
          <w:tcPr>
            <w:tcW w:w="966" w:type="dxa"/>
            <w:vAlign w:val="center"/>
          </w:tcPr>
          <w:p>
            <w:pPr>
              <w:pStyle w:val="13"/>
            </w:pPr>
          </w:p>
        </w:tc>
        <w:tc>
          <w:tcPr>
            <w:tcW w:w="966" w:type="dxa"/>
            <w:vAlign w:val="center"/>
          </w:tcPr>
          <w:p>
            <w:pPr>
              <w:pStyle w:val="13"/>
            </w:pPr>
          </w:p>
        </w:tc>
        <w:tc>
          <w:tcPr>
            <w:tcW w:w="966" w:type="dxa"/>
            <w:vAlign w:val="center"/>
          </w:tcPr>
          <w:p>
            <w:pPr>
              <w:pStyle w:val="13"/>
            </w:pPr>
          </w:p>
        </w:tc>
        <w:tc>
          <w:tcPr>
            <w:tcW w:w="966" w:type="dxa"/>
            <w:vAlign w:val="center"/>
          </w:tcPr>
          <w:p>
            <w:pPr>
              <w:pStyle w:val="13"/>
            </w:pPr>
          </w:p>
        </w:tc>
        <w:tc>
          <w:tcPr>
            <w:tcW w:w="973" w:type="dxa"/>
            <w:vAlign w:val="center"/>
          </w:tcPr>
          <w:p>
            <w:pPr>
              <w:pStyle w:val="13"/>
            </w:pPr>
          </w:p>
        </w:tc>
        <w:tc>
          <w:tcPr>
            <w:tcW w:w="966"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广阳区银河北路街道办事处</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159.40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广阳区</w:t>
            </w:r>
            <w:r>
              <w:rPr>
                <w:rFonts w:hint="eastAsia" w:ascii="Times New Roman" w:hAnsi="Times New Roman" w:eastAsia="仿宋_GB2312" w:cs="Times New Roman"/>
                <w:kern w:val="0"/>
                <w:sz w:val="22"/>
                <w:lang w:val="en-US" w:eastAsia="zh-CN"/>
              </w:rPr>
              <w:t>银河北路街道办事处</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159.40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23.88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135.52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5F3ABC-EECC-4AE8-ABF1-16A89FB293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AF096376-C53B-4FB3-B6BB-084C0B2A811B}"/>
  </w:font>
  <w:font w:name="仿宋_GB2312">
    <w:panose1 w:val="02010609030101010101"/>
    <w:charset w:val="86"/>
    <w:family w:val="modern"/>
    <w:pitch w:val="default"/>
    <w:sig w:usb0="00000001" w:usb1="080E0000" w:usb2="00000000" w:usb3="00000000" w:csb0="00040000" w:csb1="00000000"/>
    <w:embedRegular r:id="rId3" w:fontKey="{C4D1C9C4-3666-45D7-A474-ED4E9F60B196}"/>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AFA05"/>
    <w:multiLevelType w:val="singleLevel"/>
    <w:tmpl w:val="C69AFA05"/>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172A27"/>
    <w:rsid w:val="000230E6"/>
    <w:rsid w:val="000F6018"/>
    <w:rsid w:val="0025632D"/>
    <w:rsid w:val="003059E0"/>
    <w:rsid w:val="004A54AA"/>
    <w:rsid w:val="00944233"/>
    <w:rsid w:val="00B40732"/>
    <w:rsid w:val="00B80935"/>
    <w:rsid w:val="00D347CC"/>
    <w:rsid w:val="00DC72B4"/>
    <w:rsid w:val="025258DE"/>
    <w:rsid w:val="0A670E4E"/>
    <w:rsid w:val="0B403E3E"/>
    <w:rsid w:val="0CEC1180"/>
    <w:rsid w:val="1726414F"/>
    <w:rsid w:val="1D6D160A"/>
    <w:rsid w:val="32AF4970"/>
    <w:rsid w:val="44636911"/>
    <w:rsid w:val="61D95197"/>
    <w:rsid w:val="68075759"/>
    <w:rsid w:val="689E7711"/>
    <w:rsid w:val="69230C5D"/>
    <w:rsid w:val="69562677"/>
    <w:rsid w:val="73693C55"/>
    <w:rsid w:val="7815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504</Words>
  <Characters>2877</Characters>
  <Lines>1</Lines>
  <Paragraphs>1</Paragraphs>
  <TotalTime>60</TotalTime>
  <ScaleCrop>false</ScaleCrop>
  <LinksUpToDate>false</LinksUpToDate>
  <CharactersWithSpaces>3375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2023-08-02T02:19:24Z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C1FC6C4F337C4FE58F389CEB21C6404A</vt:lpwstr>
  </property>
</Properties>
</file>