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逸夫小</w:t>
      </w:r>
      <w:r>
        <w:rPr>
          <w:rFonts w:ascii="Times New Roman" w:hAnsi="Times New Roman" w:eastAsia="方正小标宋简体" w:cs="Times New Roman"/>
          <w:sz w:val="44"/>
          <w:szCs w:val="44"/>
        </w:rPr>
        <w:t>学20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逸夫小</w:t>
      </w:r>
      <w:r>
        <w:rPr>
          <w:rFonts w:ascii="Times New Roman" w:hAnsi="Times New Roman" w:eastAsia="仿宋_GB2312" w:cs="Times New Roman"/>
          <w:sz w:val="32"/>
          <w:szCs w:val="32"/>
        </w:rPr>
        <w:t>学20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1、贯彻执行党和国家的教育方针、政策、法律法规，制定我校的长远规划和年度计划，并组织实施。</w:t>
      </w:r>
      <w:bookmarkStart w:id="6" w:name="_GoBack"/>
      <w:bookmarkEnd w:id="6"/>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2、负责教育基本信息的统计、分析。</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3、推进义务教育均衡发展和促进教育公平，全面实施素质教育。</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4、负责学校教师队伍的建设和管理，提高教师队伍素质</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5、负责本</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教育经费的统筹管理，教育经费预决算工作，教育经费的管理和使用；统筹规划和管理学校基本建设和设施的配置及计划统计工作。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6、管理学校的党建、思想政治、宣传统战和维护稳定以及德育、体育、卫生防疫与艺术教育、国防教育工作。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7、负责做好学校的学生综合评价工作；负责管理本校教师学历教育及培训工作。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8、负责组织开展学校教育的督导评估、检查验收、质量监测等工作。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9、负责学校党的政治建设、思想建设、组织建设、作风建设、纪律建设和制度建设。</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10、负责学校学生和教师的思想政治工作，学校思想政治队伍建设和学校校本课程教育教学。</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11、负责学校安全稳定工作。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12、做好上级</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交办的其他事项。</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11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02"/>
        <w:gridCol w:w="1857"/>
        <w:gridCol w:w="1687"/>
        <w:gridCol w:w="41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4" w:hRule="atLeast"/>
          <w:tblHeader/>
          <w:jc w:val="center"/>
        </w:trPr>
        <w:tc>
          <w:tcPr>
            <w:tcW w:w="42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857"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687"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411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blHeader/>
          <w:jc w:val="center"/>
        </w:trPr>
        <w:tc>
          <w:tcPr>
            <w:tcW w:w="4202" w:type="dxa"/>
            <w:vMerge w:val="continue"/>
            <w:shd w:val="clear" w:color="auto" w:fill="auto"/>
            <w:vAlign w:val="center"/>
          </w:tcPr>
          <w:p/>
        </w:tc>
        <w:tc>
          <w:tcPr>
            <w:tcW w:w="1857" w:type="dxa"/>
            <w:vMerge w:val="continue"/>
            <w:shd w:val="clear" w:color="auto" w:fill="auto"/>
            <w:vAlign w:val="center"/>
          </w:tcPr>
          <w:p/>
        </w:tc>
        <w:tc>
          <w:tcPr>
            <w:tcW w:w="1687" w:type="dxa"/>
            <w:vMerge w:val="continue"/>
            <w:shd w:val="clear" w:color="auto" w:fill="auto"/>
            <w:vAlign w:val="center"/>
          </w:tcPr>
          <w:p/>
        </w:tc>
        <w:tc>
          <w:tcPr>
            <w:tcW w:w="411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2" w:hRule="atLeast"/>
          <w:jc w:val="center"/>
        </w:trPr>
        <w:tc>
          <w:tcPr>
            <w:tcW w:w="42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廊坊市逸夫小学</w:t>
            </w:r>
          </w:p>
        </w:tc>
        <w:tc>
          <w:tcPr>
            <w:tcW w:w="1857"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事业</w:t>
            </w:r>
          </w:p>
        </w:tc>
        <w:tc>
          <w:tcPr>
            <w:tcW w:w="1687" w:type="dxa"/>
            <w:shd w:val="clear" w:color="auto" w:fill="auto"/>
            <w:vAlign w:val="center"/>
          </w:tcPr>
          <w:p>
            <w:pPr>
              <w:spacing w:line="584" w:lineRule="exact"/>
              <w:rPr>
                <w:rFonts w:ascii="Times New Roman" w:hAnsi="Times New Roman" w:eastAsia="仿宋_GB2312" w:cs="Times New Roman"/>
                <w:b/>
              </w:rPr>
            </w:pPr>
          </w:p>
        </w:tc>
        <w:tc>
          <w:tcPr>
            <w:tcW w:w="4112" w:type="dxa"/>
            <w:shd w:val="clear" w:color="auto" w:fill="auto"/>
            <w:vAlign w:val="center"/>
          </w:tcPr>
          <w:p>
            <w:pPr>
              <w:spacing w:line="584" w:lineRule="exact"/>
              <w:jc w:val="center"/>
              <w:rPr>
                <w:rFonts w:ascii="仿宋_GB2312" w:hAnsi="Times New Roman" w:eastAsia="仿宋_GB2312" w:cs="Times New Roman"/>
                <w:b/>
                <w:szCs w:val="21"/>
              </w:rPr>
            </w:pPr>
            <w:r>
              <w:rPr>
                <w:rFonts w:hint="eastAsia" w:ascii="仿宋_GB2312" w:hAnsi="Times New Roman" w:eastAsia="仿宋_GB2312" w:cs="Times New Roman"/>
                <w:b/>
                <w:szCs w:val="21"/>
              </w:rPr>
              <w:t>财政性资金基本保证（全额事业）</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逸夫小</w:t>
      </w:r>
      <w:r>
        <w:rPr>
          <w:rFonts w:ascii="Times New Roman" w:hAnsi="Times New Roman" w:eastAsia="仿宋_GB2312" w:cs="Times New Roman"/>
          <w:sz w:val="32"/>
          <w:szCs w:val="32"/>
        </w:rPr>
        <w:t>学的收支包含在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1043.04</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1043.04</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逸夫小</w:t>
      </w:r>
      <w:r>
        <w:rPr>
          <w:rFonts w:ascii="Times New Roman" w:hAnsi="Times New Roman" w:eastAsia="仿宋_GB2312" w:cs="Times New Roman"/>
          <w:sz w:val="32"/>
          <w:szCs w:val="32"/>
        </w:rPr>
        <w:t>学</w:t>
      </w:r>
      <w:r>
        <w:rPr>
          <w:rFonts w:hint="eastAsia" w:ascii="Times New Roman" w:hAnsi="Times New Roman" w:eastAsia="仿宋_GB2312" w:cs="Times New Roman"/>
          <w:sz w:val="32"/>
          <w:szCs w:val="32"/>
        </w:rPr>
        <w:t>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1043.04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818.2</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807.33</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10.87</w:t>
      </w:r>
      <w:r>
        <w:rPr>
          <w:rFonts w:ascii="Times New Roman" w:hAnsi="Times New Roman" w:eastAsia="仿宋_GB2312" w:cs="Times New Roman"/>
          <w:sz w:val="32"/>
          <w:szCs w:val="32"/>
        </w:rPr>
        <w:t>万元；运转类其他及特定目标类项目支</w:t>
      </w:r>
      <w:r>
        <w:rPr>
          <w:rFonts w:hint="eastAsia" w:ascii="Times New Roman" w:hAnsi="Times New Roman" w:eastAsia="仿宋_GB2312" w:cs="Times New Roman"/>
          <w:sz w:val="32"/>
          <w:szCs w:val="32"/>
        </w:rPr>
        <w:t>出224.84</w:t>
      </w:r>
      <w:r>
        <w:rPr>
          <w:rFonts w:ascii="Times New Roman" w:hAnsi="Times New Roman" w:eastAsia="仿宋_GB2312" w:cs="Times New Roman"/>
          <w:sz w:val="32"/>
          <w:szCs w:val="32"/>
        </w:rPr>
        <w:t>万元</w:t>
      </w:r>
      <w:r>
        <w:rPr>
          <w:rFonts w:ascii="Times New Roman" w:hAnsi="Times New Roman" w:eastAsia="仿宋_GB2312" w:cs="Times New Roman"/>
          <w:color w:val="000000" w:themeColor="text1"/>
          <w:sz w:val="32"/>
          <w:szCs w:val="32"/>
          <w14:textFill>
            <w14:solidFill>
              <w14:schemeClr w14:val="tx1"/>
            </w14:solidFill>
          </w14:textFill>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1043.04</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w:t>
      </w:r>
      <w:r>
        <w:rPr>
          <w:rFonts w:hint="eastAsia" w:ascii="Times New Roman" w:hAnsi="Times New Roman" w:eastAsia="仿宋_GB2312" w:cs="Times New Roman"/>
          <w:sz w:val="32"/>
          <w:szCs w:val="32"/>
        </w:rPr>
        <w:t>增加91.23</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rPr>
        <w:t>74.49</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165.72</w:t>
      </w:r>
      <w:r>
        <w:rPr>
          <w:rFonts w:ascii="Times New Roman" w:hAnsi="Times New Roman" w:eastAsia="仿宋_GB2312" w:cs="Times New Roman"/>
          <w:sz w:val="32"/>
          <w:szCs w:val="32"/>
        </w:rPr>
        <w:t>万元，主要为</w:t>
      </w:r>
      <w:r>
        <w:rPr>
          <w:rFonts w:hint="eastAsia" w:ascii="Times New Roman" w:hAnsi="Times New Roman" w:eastAsia="仿宋_GB2312" w:cs="Times New Roman"/>
          <w:color w:val="000000" w:themeColor="text1"/>
          <w:sz w:val="32"/>
          <w:szCs w:val="32"/>
          <w14:textFill>
            <w14:solidFill>
              <w14:schemeClr w14:val="tx1"/>
            </w14:solidFill>
          </w14:textFill>
        </w:rPr>
        <w:t>教育经费、合同制教师人员经费</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84" w:lineRule="exact"/>
        <w:ind w:firstLine="627" w:firstLineChars="196"/>
        <w:jc w:val="left"/>
        <w:rPr>
          <w:rFonts w:ascii="黑体" w:hAnsi="黑体" w:eastAsia="黑体" w:cs="Times New Roman"/>
          <w:bCs/>
          <w:sz w:val="32"/>
          <w:szCs w:val="32"/>
        </w:rPr>
      </w:pPr>
      <w:r>
        <w:rPr>
          <w:rFonts w:ascii="黑体" w:hAnsi="黑体" w:eastAsia="黑体" w:cs="Times New Roman"/>
          <w:bCs/>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color w:val="000000" w:themeColor="text1"/>
          <w:sz w:val="32"/>
          <w:szCs w:val="32"/>
          <w14:textFill>
            <w14:solidFill>
              <w14:schemeClr w14:val="tx1"/>
            </w14:solidFill>
          </w14:textFill>
        </w:rPr>
        <w:t>与20</w:t>
      </w: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1年相比</w:t>
      </w:r>
      <w:r>
        <w:rPr>
          <w:rFonts w:hint="eastAsia" w:ascii="Times New Roman" w:hAnsi="Times New Roman" w:eastAsia="仿宋_GB2312" w:cs="Times New Roman"/>
          <w:color w:val="000000" w:themeColor="text1"/>
          <w:sz w:val="32"/>
          <w:szCs w:val="32"/>
          <w14:textFill>
            <w14:solidFill>
              <w14:schemeClr w14:val="tx1"/>
            </w14:solidFill>
          </w14:textFill>
        </w:rPr>
        <w:t>持平，</w:t>
      </w:r>
      <w:r>
        <w:rPr>
          <w:rFonts w:ascii="Times New Roman" w:hAnsi="Times New Roman" w:eastAsia="仿宋_GB2312" w:cs="Times New Roman"/>
          <w:color w:val="000000" w:themeColor="text1"/>
          <w:sz w:val="32"/>
          <w:szCs w:val="32"/>
          <w14:textFill>
            <w14:solidFill>
              <w14:schemeClr w14:val="tx1"/>
            </w14:solidFill>
          </w14:textFill>
        </w:rPr>
        <w:t>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1、提高义务教育水平，免除城市区中小学生学杂费，提供免费教科书，解决大班额问题及入学难问题。对贫困中小学生进行补助。</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2、按质按量完成教育教学方面的各项任务，稳步提升学校的教育教学质量，学生综合素质评价优秀率达到85%,合格率达到100%。</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4、提升学校基础设施设备的整体水平。加强学校基础设施设备的维护,确保校园安全,落实校园防火及其他安全隐患的预防工作。确保校园各设施设备的正常运行。</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6、学校的文化宣传整体布局,建成学校校史馆,完成各班级、各科室及教师办公室的文化宣传布置。加大学校办学理念、目标的宣传,形成具有特色的校园文化氛围。</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7、办人民满意的学校,教师、学生、家长整体满意度达到90%以上。</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1、成立学校监督小组，监督学校工作，强化工作落实。</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8、加强政治理论学习，强化党风廉政建设。做好师德传承活动，落实老中青传帮带。弘扬办学精神。加强师德宣传与学习活动。开展形式多样、扎实有效的师德教育活动。</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逐步制订、完善相关制度，规范教师师德。加强校本培训和继续教育工作，提升教师能力。落实教师评价工作，完善考核机制。搭建教师发展平台。</w:t>
      </w:r>
    </w:p>
    <w:p>
      <w:pPr>
        <w:overflowPunct w:val="0"/>
        <w:adjustRightInd w:val="0"/>
        <w:snapToGrid w:val="0"/>
        <w:spacing w:after="120" w:afterLines="50" w:line="580" w:lineRule="exact"/>
        <w:ind w:firstLine="627" w:firstLineChars="196"/>
        <w:jc w:val="left"/>
        <w:rPr>
          <w:rFonts w:ascii="Times New Roman" w:hAnsi="Times New Roman" w:eastAsia="仿宋_GB2312" w:cs="Times New Roman"/>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50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608"/>
        <w:gridCol w:w="1613"/>
        <w:gridCol w:w="2089"/>
        <w:gridCol w:w="3560"/>
        <w:gridCol w:w="718"/>
        <w:gridCol w:w="707"/>
        <w:gridCol w:w="1329"/>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000" w:type="pct"/>
            <w:gridSpan w:val="9"/>
            <w:shd w:val="clear" w:color="auto" w:fill="auto"/>
            <w:vAlign w:val="center"/>
          </w:tcPr>
          <w:p>
            <w:pPr>
              <w:widowControl/>
              <w:jc w:val="center"/>
              <w:textAlignment w:val="center"/>
              <w:rPr>
                <w:rFonts w:ascii="normal" w:hAnsi="normal" w:eastAsia="normal" w:cs="normal"/>
                <w:b/>
                <w:bCs/>
                <w:color w:val="000000"/>
                <w:sz w:val="33"/>
                <w:szCs w:val="33"/>
              </w:rPr>
            </w:pPr>
            <w:r>
              <w:rPr>
                <w:rFonts w:hint="eastAsia" w:ascii="normal" w:hAnsi="normal" w:cs="normal"/>
                <w:b/>
                <w:bCs/>
                <w:color w:val="000000"/>
                <w:kern w:val="0"/>
                <w:sz w:val="33"/>
                <w:szCs w:val="33"/>
                <w:lang w:eastAsia="zh-CN" w:bidi="ar"/>
              </w:rPr>
              <w:t>单位</w:t>
            </w:r>
            <w:r>
              <w:rPr>
                <w:rFonts w:ascii="normal" w:hAnsi="normal" w:eastAsia="normal" w:cs="normal"/>
                <w:b/>
                <w:bCs/>
                <w:color w:val="000000"/>
                <w:kern w:val="0"/>
                <w:sz w:val="33"/>
                <w:szCs w:val="33"/>
                <w:lang w:bidi="ar"/>
              </w:rPr>
              <w:t>整体支出绩效指标情况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03" w:type="pct"/>
            <w:vMerge w:val="restar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一级指标</w:t>
            </w:r>
          </w:p>
        </w:tc>
        <w:tc>
          <w:tcPr>
            <w:tcW w:w="571" w:type="pct"/>
            <w:vMerge w:val="restar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二级指标</w:t>
            </w:r>
          </w:p>
        </w:tc>
        <w:tc>
          <w:tcPr>
            <w:tcW w:w="572" w:type="pct"/>
            <w:vMerge w:val="restar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三级指标</w:t>
            </w:r>
          </w:p>
        </w:tc>
        <w:tc>
          <w:tcPr>
            <w:tcW w:w="742" w:type="pct"/>
            <w:vMerge w:val="restar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绩效指标描述</w:t>
            </w:r>
          </w:p>
        </w:tc>
        <w:tc>
          <w:tcPr>
            <w:tcW w:w="1264" w:type="pct"/>
            <w:vMerge w:val="restar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评（扣）分标准</w:t>
            </w:r>
          </w:p>
        </w:tc>
        <w:tc>
          <w:tcPr>
            <w:tcW w:w="978" w:type="pct"/>
            <w:gridSpan w:val="3"/>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指标值</w:t>
            </w:r>
          </w:p>
        </w:tc>
        <w:tc>
          <w:tcPr>
            <w:tcW w:w="467" w:type="pct"/>
            <w:vMerge w:val="restar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03" w:type="pct"/>
            <w:vMerge w:val="continue"/>
            <w:shd w:val="clear" w:color="auto" w:fill="auto"/>
            <w:vAlign w:val="center"/>
          </w:tcPr>
          <w:p>
            <w:pPr>
              <w:jc w:val="center"/>
              <w:rPr>
                <w:rFonts w:ascii="宋体" w:hAnsi="宋体" w:cs="宋体"/>
                <w:color w:val="000000"/>
                <w:sz w:val="22"/>
              </w:rPr>
            </w:pPr>
          </w:p>
        </w:tc>
        <w:tc>
          <w:tcPr>
            <w:tcW w:w="571" w:type="pct"/>
            <w:vMerge w:val="continue"/>
            <w:shd w:val="clear" w:color="auto" w:fill="auto"/>
            <w:vAlign w:val="center"/>
          </w:tcPr>
          <w:p>
            <w:pPr>
              <w:jc w:val="center"/>
              <w:rPr>
                <w:rFonts w:ascii="宋体" w:hAnsi="宋体" w:cs="宋体"/>
                <w:color w:val="000000"/>
                <w:sz w:val="22"/>
              </w:rPr>
            </w:pPr>
          </w:p>
        </w:tc>
        <w:tc>
          <w:tcPr>
            <w:tcW w:w="572" w:type="pct"/>
            <w:vMerge w:val="continue"/>
            <w:shd w:val="clear" w:color="auto" w:fill="auto"/>
            <w:vAlign w:val="center"/>
          </w:tcPr>
          <w:p>
            <w:pPr>
              <w:jc w:val="center"/>
              <w:rPr>
                <w:rFonts w:ascii="宋体" w:hAnsi="宋体" w:cs="宋体"/>
                <w:color w:val="000000"/>
                <w:sz w:val="22"/>
              </w:rPr>
            </w:pPr>
          </w:p>
        </w:tc>
        <w:tc>
          <w:tcPr>
            <w:tcW w:w="742" w:type="pct"/>
            <w:vMerge w:val="continue"/>
            <w:shd w:val="clear" w:color="auto" w:fill="auto"/>
            <w:vAlign w:val="center"/>
          </w:tcPr>
          <w:p>
            <w:pPr>
              <w:jc w:val="center"/>
              <w:rPr>
                <w:rFonts w:ascii="宋体" w:hAnsi="宋体" w:cs="宋体"/>
                <w:color w:val="000000"/>
                <w:sz w:val="22"/>
              </w:rPr>
            </w:pPr>
          </w:p>
        </w:tc>
        <w:tc>
          <w:tcPr>
            <w:tcW w:w="1264" w:type="pct"/>
            <w:vMerge w:val="continue"/>
            <w:shd w:val="clear" w:color="auto" w:fill="auto"/>
            <w:vAlign w:val="center"/>
          </w:tcPr>
          <w:p>
            <w:pPr>
              <w:jc w:val="center"/>
              <w:rPr>
                <w:rFonts w:ascii="宋体" w:hAnsi="宋体" w:cs="宋体"/>
                <w:color w:val="000000"/>
                <w:sz w:val="22"/>
              </w:rPr>
            </w:pPr>
          </w:p>
        </w:tc>
        <w:tc>
          <w:tcPr>
            <w:tcW w:w="255" w:type="pc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符号</w:t>
            </w:r>
          </w:p>
        </w:tc>
        <w:tc>
          <w:tcPr>
            <w:tcW w:w="251" w:type="pc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值</w:t>
            </w:r>
          </w:p>
        </w:tc>
        <w:tc>
          <w:tcPr>
            <w:tcW w:w="472" w:type="pc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单位（文字描述）</w:t>
            </w:r>
          </w:p>
        </w:tc>
        <w:tc>
          <w:tcPr>
            <w:tcW w:w="467" w:type="pct"/>
            <w:vMerge w:val="continue"/>
            <w:shd w:val="clear" w:color="auto" w:fill="auto"/>
            <w:vAlign w:val="center"/>
          </w:tcPr>
          <w:p>
            <w:pPr>
              <w:jc w:val="center"/>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03" w:type="pct"/>
            <w:vMerge w:val="restart"/>
            <w:shd w:val="clear" w:color="auto" w:fill="auto"/>
            <w:noWrap/>
          </w:tcPr>
          <w:p>
            <w:pPr>
              <w:widowControl/>
              <w:jc w:val="left"/>
              <w:textAlignment w:val="top"/>
              <w:rPr>
                <w:rFonts w:cs="Calibri"/>
                <w:color w:val="000000"/>
                <w:sz w:val="22"/>
              </w:rPr>
            </w:pPr>
            <w:r>
              <w:rPr>
                <w:rFonts w:cs="Calibri"/>
                <w:color w:val="000000"/>
                <w:kern w:val="0"/>
                <w:sz w:val="22"/>
                <w:lang w:bidi="ar"/>
              </w:rPr>
              <w:t>产出指标</w:t>
            </w:r>
          </w:p>
        </w:tc>
        <w:tc>
          <w:tcPr>
            <w:tcW w:w="571" w:type="pct"/>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数量指标</w:t>
            </w:r>
          </w:p>
        </w:tc>
        <w:tc>
          <w:tcPr>
            <w:tcW w:w="5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小学生毕业生合格率</w:t>
            </w:r>
          </w:p>
        </w:tc>
        <w:tc>
          <w:tcPr>
            <w:tcW w:w="74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小学生毕业生合格率</w:t>
            </w:r>
          </w:p>
        </w:tc>
        <w:tc>
          <w:tcPr>
            <w:tcW w:w="1264"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20分毕业生合格率100%得满分，否则不得分</w:t>
            </w:r>
          </w:p>
        </w:tc>
        <w:tc>
          <w:tcPr>
            <w:tcW w:w="25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251"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100</w:t>
            </w:r>
          </w:p>
        </w:tc>
        <w:tc>
          <w:tcPr>
            <w:tcW w:w="4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467"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03" w:type="pct"/>
            <w:vMerge w:val="continue"/>
            <w:shd w:val="clear" w:color="auto" w:fill="auto"/>
            <w:noWrap/>
          </w:tcPr>
          <w:p>
            <w:pPr>
              <w:jc w:val="left"/>
              <w:rPr>
                <w:rFonts w:cs="Calibri"/>
                <w:color w:val="000000"/>
                <w:sz w:val="22"/>
              </w:rPr>
            </w:pPr>
          </w:p>
        </w:tc>
        <w:tc>
          <w:tcPr>
            <w:tcW w:w="571" w:type="pct"/>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数量指标</w:t>
            </w:r>
          </w:p>
        </w:tc>
        <w:tc>
          <w:tcPr>
            <w:tcW w:w="5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重点工作实际完成率</w:t>
            </w:r>
          </w:p>
        </w:tc>
        <w:tc>
          <w:tcPr>
            <w:tcW w:w="74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重点工作实际完成率</w:t>
            </w:r>
          </w:p>
        </w:tc>
        <w:tc>
          <w:tcPr>
            <w:tcW w:w="1264"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10分不低于95%得满分，否则不得分5每减少1%扣1分，扣完为止</w:t>
            </w:r>
          </w:p>
        </w:tc>
        <w:tc>
          <w:tcPr>
            <w:tcW w:w="25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251"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95</w:t>
            </w:r>
          </w:p>
        </w:tc>
        <w:tc>
          <w:tcPr>
            <w:tcW w:w="4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467"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03" w:type="pct"/>
            <w:vMerge w:val="continue"/>
            <w:shd w:val="clear" w:color="auto" w:fill="auto"/>
            <w:noWrap/>
          </w:tcPr>
          <w:p>
            <w:pPr>
              <w:jc w:val="left"/>
              <w:rPr>
                <w:rFonts w:cs="Calibri"/>
                <w:color w:val="000000"/>
                <w:sz w:val="22"/>
              </w:rPr>
            </w:pPr>
          </w:p>
        </w:tc>
        <w:tc>
          <w:tcPr>
            <w:tcW w:w="571" w:type="pct"/>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质量指标</w:t>
            </w:r>
          </w:p>
        </w:tc>
        <w:tc>
          <w:tcPr>
            <w:tcW w:w="5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采购物资、建设工程合格率</w:t>
            </w:r>
          </w:p>
        </w:tc>
        <w:tc>
          <w:tcPr>
            <w:tcW w:w="74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采购物资、建设工程合格率</w:t>
            </w:r>
          </w:p>
        </w:tc>
        <w:tc>
          <w:tcPr>
            <w:tcW w:w="1264" w:type="pct"/>
            <w:shd w:val="clear" w:color="auto" w:fill="auto"/>
            <w:noWrap/>
          </w:tcPr>
          <w:p>
            <w:pPr>
              <w:widowControl/>
              <w:tabs>
                <w:tab w:val="left" w:pos="7560"/>
                <w:tab w:val="left" w:pos="8820"/>
              </w:tabs>
              <w:ind w:left="420" w:leftChars="200"/>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20分合格率100%得满分，否则不得分</w:t>
            </w:r>
          </w:p>
        </w:tc>
        <w:tc>
          <w:tcPr>
            <w:tcW w:w="25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251"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100</w:t>
            </w:r>
          </w:p>
        </w:tc>
        <w:tc>
          <w:tcPr>
            <w:tcW w:w="4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467"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03" w:type="pct"/>
            <w:vMerge w:val="continue"/>
            <w:shd w:val="clear" w:color="auto" w:fill="auto"/>
            <w:noWrap/>
          </w:tcPr>
          <w:p>
            <w:pPr>
              <w:jc w:val="left"/>
              <w:rPr>
                <w:rFonts w:cs="Calibri"/>
                <w:color w:val="000000"/>
                <w:sz w:val="22"/>
              </w:rPr>
            </w:pPr>
          </w:p>
        </w:tc>
        <w:tc>
          <w:tcPr>
            <w:tcW w:w="571" w:type="pct"/>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时效指标</w:t>
            </w:r>
          </w:p>
        </w:tc>
        <w:tc>
          <w:tcPr>
            <w:tcW w:w="5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学校的各项工作任务及时完成情况</w:t>
            </w:r>
          </w:p>
        </w:tc>
        <w:tc>
          <w:tcPr>
            <w:tcW w:w="74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学校的各项工作任务及时完成情况</w:t>
            </w:r>
          </w:p>
        </w:tc>
        <w:tc>
          <w:tcPr>
            <w:tcW w:w="1264"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10分及时完成得满分，否则不得分</w:t>
            </w:r>
          </w:p>
        </w:tc>
        <w:tc>
          <w:tcPr>
            <w:tcW w:w="25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文字描述</w:t>
            </w:r>
          </w:p>
        </w:tc>
        <w:tc>
          <w:tcPr>
            <w:tcW w:w="251" w:type="pct"/>
            <w:shd w:val="clear" w:color="auto" w:fill="auto"/>
            <w:noWrap/>
          </w:tcPr>
          <w:p>
            <w:pPr>
              <w:jc w:val="left"/>
              <w:rPr>
                <w:rFonts w:hint="eastAsia" w:ascii="仿宋_GB2312" w:hAnsi="仿宋_GB2312" w:eastAsia="仿宋_GB2312" w:cs="仿宋_GB2312"/>
                <w:color w:val="000000"/>
                <w:sz w:val="22"/>
              </w:rPr>
            </w:pPr>
          </w:p>
        </w:tc>
        <w:tc>
          <w:tcPr>
            <w:tcW w:w="4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及时</w:t>
            </w:r>
          </w:p>
        </w:tc>
        <w:tc>
          <w:tcPr>
            <w:tcW w:w="467"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03" w:type="pct"/>
            <w:vMerge w:val="continue"/>
            <w:shd w:val="clear" w:color="auto" w:fill="auto"/>
            <w:noWrap/>
          </w:tcPr>
          <w:p>
            <w:pPr>
              <w:jc w:val="left"/>
              <w:rPr>
                <w:rFonts w:cs="Calibri"/>
                <w:color w:val="000000"/>
                <w:sz w:val="22"/>
              </w:rPr>
            </w:pPr>
          </w:p>
        </w:tc>
        <w:tc>
          <w:tcPr>
            <w:tcW w:w="571" w:type="pct"/>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成本指标</w:t>
            </w:r>
          </w:p>
        </w:tc>
        <w:tc>
          <w:tcPr>
            <w:tcW w:w="5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教育经费使用控制率</w:t>
            </w:r>
          </w:p>
        </w:tc>
        <w:tc>
          <w:tcPr>
            <w:tcW w:w="74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支出的公用经费总额与预算安排的比率</w:t>
            </w:r>
          </w:p>
        </w:tc>
        <w:tc>
          <w:tcPr>
            <w:tcW w:w="1264"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10分教育经费决算数不大于调整预算数得满分，否则不得分</w:t>
            </w:r>
          </w:p>
        </w:tc>
        <w:tc>
          <w:tcPr>
            <w:tcW w:w="25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文字描述</w:t>
            </w:r>
          </w:p>
        </w:tc>
        <w:tc>
          <w:tcPr>
            <w:tcW w:w="251" w:type="pct"/>
            <w:shd w:val="clear" w:color="auto" w:fill="auto"/>
            <w:noWrap/>
          </w:tcPr>
          <w:p>
            <w:pPr>
              <w:jc w:val="left"/>
              <w:rPr>
                <w:rFonts w:hint="eastAsia" w:ascii="仿宋_GB2312" w:hAnsi="仿宋_GB2312" w:eastAsia="仿宋_GB2312" w:cs="仿宋_GB2312"/>
                <w:color w:val="000000"/>
                <w:sz w:val="22"/>
              </w:rPr>
            </w:pPr>
          </w:p>
        </w:tc>
        <w:tc>
          <w:tcPr>
            <w:tcW w:w="4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教育经费决算数不大于调整预算数</w:t>
            </w:r>
          </w:p>
        </w:tc>
        <w:tc>
          <w:tcPr>
            <w:tcW w:w="467"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03" w:type="pct"/>
            <w:shd w:val="clear" w:color="auto" w:fill="auto"/>
            <w:noWrap/>
          </w:tcPr>
          <w:p>
            <w:pPr>
              <w:widowControl/>
              <w:jc w:val="left"/>
              <w:textAlignment w:val="top"/>
              <w:rPr>
                <w:rFonts w:cs="Calibri"/>
                <w:color w:val="000000"/>
                <w:sz w:val="22"/>
              </w:rPr>
            </w:pPr>
            <w:r>
              <w:rPr>
                <w:rFonts w:cs="Calibri"/>
                <w:color w:val="000000"/>
                <w:kern w:val="0"/>
                <w:sz w:val="22"/>
                <w:lang w:bidi="ar"/>
              </w:rPr>
              <w:t>效益指标</w:t>
            </w:r>
          </w:p>
        </w:tc>
        <w:tc>
          <w:tcPr>
            <w:tcW w:w="571" w:type="pct"/>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社会效益指标</w:t>
            </w:r>
          </w:p>
        </w:tc>
        <w:tc>
          <w:tcPr>
            <w:tcW w:w="5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义务教育高质量发展</w:t>
            </w:r>
          </w:p>
        </w:tc>
        <w:tc>
          <w:tcPr>
            <w:tcW w:w="74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推动义务教育从数量扩张向质量提高转变</w:t>
            </w:r>
          </w:p>
        </w:tc>
        <w:tc>
          <w:tcPr>
            <w:tcW w:w="1264"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10分学生、家长、社会对学校整体满意度达到95%得满分，每降低1%扣1分，扣完为止。</w:t>
            </w:r>
          </w:p>
        </w:tc>
        <w:tc>
          <w:tcPr>
            <w:tcW w:w="25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251"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95</w:t>
            </w:r>
          </w:p>
        </w:tc>
        <w:tc>
          <w:tcPr>
            <w:tcW w:w="4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467"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eastAsia="zh-CN" w:bidi="ar"/>
              </w:rPr>
              <w:t>单位</w:t>
            </w:r>
            <w:r>
              <w:rPr>
                <w:rFonts w:hint="eastAsia" w:ascii="仿宋_GB2312" w:hAnsi="仿宋_GB2312" w:eastAsia="仿宋_GB2312" w:cs="仿宋_GB2312"/>
                <w:color w:val="000000"/>
                <w:kern w:val="0"/>
                <w:sz w:val="22"/>
                <w:lang w:bidi="ar"/>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03" w:type="pct"/>
            <w:vMerge w:val="restart"/>
            <w:shd w:val="clear" w:color="auto" w:fill="auto"/>
            <w:noWrap/>
          </w:tcPr>
          <w:p>
            <w:pPr>
              <w:widowControl/>
              <w:jc w:val="left"/>
              <w:textAlignment w:val="top"/>
              <w:rPr>
                <w:rFonts w:cs="Calibri"/>
                <w:color w:val="000000"/>
                <w:sz w:val="22"/>
              </w:rPr>
            </w:pPr>
            <w:r>
              <w:rPr>
                <w:rFonts w:cs="Calibri"/>
                <w:color w:val="000000"/>
                <w:kern w:val="0"/>
                <w:sz w:val="22"/>
                <w:lang w:bidi="ar"/>
              </w:rPr>
              <w:t>满意度指标</w:t>
            </w:r>
          </w:p>
        </w:tc>
        <w:tc>
          <w:tcPr>
            <w:tcW w:w="571" w:type="pct"/>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服务对象满意度指标</w:t>
            </w:r>
          </w:p>
        </w:tc>
        <w:tc>
          <w:tcPr>
            <w:tcW w:w="5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在校师生的满意程度</w:t>
            </w:r>
          </w:p>
        </w:tc>
        <w:tc>
          <w:tcPr>
            <w:tcW w:w="74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在校师生的满意程度</w:t>
            </w:r>
          </w:p>
        </w:tc>
        <w:tc>
          <w:tcPr>
            <w:tcW w:w="1264"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10分在校师生的满意度达到95%得满分，每降低1%扣1分，扣完为止。</w:t>
            </w:r>
          </w:p>
        </w:tc>
        <w:tc>
          <w:tcPr>
            <w:tcW w:w="25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251"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95</w:t>
            </w:r>
          </w:p>
        </w:tc>
        <w:tc>
          <w:tcPr>
            <w:tcW w:w="4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467"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03" w:type="pct"/>
            <w:vMerge w:val="continue"/>
            <w:shd w:val="clear" w:color="auto" w:fill="auto"/>
            <w:noWrap/>
          </w:tcPr>
          <w:p>
            <w:pPr>
              <w:jc w:val="left"/>
              <w:rPr>
                <w:rFonts w:cs="Calibri"/>
                <w:color w:val="000000"/>
                <w:sz w:val="22"/>
              </w:rPr>
            </w:pPr>
          </w:p>
        </w:tc>
        <w:tc>
          <w:tcPr>
            <w:tcW w:w="571" w:type="pct"/>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服务对象满意度指标</w:t>
            </w:r>
          </w:p>
        </w:tc>
        <w:tc>
          <w:tcPr>
            <w:tcW w:w="5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家长的满意程度</w:t>
            </w:r>
          </w:p>
        </w:tc>
        <w:tc>
          <w:tcPr>
            <w:tcW w:w="74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家长的满意程度</w:t>
            </w:r>
          </w:p>
        </w:tc>
        <w:tc>
          <w:tcPr>
            <w:tcW w:w="1264"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10分家长的满意度达到95%得满分，每降低1%扣1分，扣完为止。</w:t>
            </w:r>
          </w:p>
        </w:tc>
        <w:tc>
          <w:tcPr>
            <w:tcW w:w="25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251"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95</w:t>
            </w:r>
          </w:p>
        </w:tc>
        <w:tc>
          <w:tcPr>
            <w:tcW w:w="4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467"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调查问卷</w:t>
            </w:r>
          </w:p>
        </w:tc>
      </w:tr>
    </w:tbl>
    <w:p>
      <w:pPr>
        <w:numPr>
          <w:ilvl w:val="0"/>
          <w:numId w:val="0"/>
        </w:numPr>
        <w:spacing w:line="584" w:lineRule="exact"/>
        <w:rPr>
          <w:rFonts w:hint="eastAsia" w:ascii="Times New Roman" w:hAnsi="Times New Roman" w:eastAsia="黑体" w:cs="Times New Roman"/>
          <w:sz w:val="32"/>
          <w:szCs w:val="32"/>
        </w:rPr>
      </w:pPr>
    </w:p>
    <w:p>
      <w:pPr>
        <w:numPr>
          <w:ilvl w:val="0"/>
          <w:numId w:val="0"/>
        </w:numPr>
        <w:spacing w:line="584" w:lineRule="exact"/>
        <w:rPr>
          <w:rFonts w:hint="eastAsia" w:ascii="Times New Roman" w:hAnsi="Times New Roman" w:eastAsia="黑体" w:cs="Times New Roman"/>
          <w:sz w:val="32"/>
          <w:szCs w:val="32"/>
        </w:rPr>
      </w:pPr>
    </w:p>
    <w:p>
      <w:pPr>
        <w:numPr>
          <w:ilvl w:val="0"/>
          <w:numId w:val="0"/>
        </w:num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第二部分</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rPr>
        <w:t>资金绩效目标</w:t>
      </w:r>
    </w:p>
    <w:p>
      <w:pPr>
        <w:ind w:firstLine="560"/>
        <w:jc w:val="left"/>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1.城乡义务教育生均公用经费[区级]绩效目标表</w:t>
      </w:r>
      <w:bookmarkEnd w:id="0"/>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按照义务教育生均公用经费标准申请财政预算资金，通过合理、合规使用资金达到保证学校正常运转，改善办学条件，促进义务教育发展。2.改善办学条件，提升教育环境。3.开展教师培训，提高教师队伍水平。4.开展文体活动，提高学生综合素质。</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2252"/>
        <w:gridCol w:w="2428"/>
        <w:gridCol w:w="3476"/>
        <w:gridCol w:w="1104"/>
        <w:gridCol w:w="26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80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87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247"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396"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80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87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12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39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eastAsia="zh-CN"/>
              </w:rPr>
              <w:t>780</w:t>
            </w:r>
            <w:r>
              <w:rPr>
                <w:rFonts w:hint="eastAsia" w:ascii="仿宋_GB2312" w:hAnsi="仿宋_GB2312" w:eastAsia="仿宋_GB2312" w:cs="仿宋_GB2312"/>
              </w:rPr>
              <w:t>人</w:t>
            </w:r>
          </w:p>
        </w:tc>
        <w:tc>
          <w:tcPr>
            <w:tcW w:w="9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80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87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12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39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80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87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2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39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80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87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12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39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735元</w:t>
            </w:r>
          </w:p>
        </w:tc>
        <w:tc>
          <w:tcPr>
            <w:tcW w:w="9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80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87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12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该资金用于学校正常运转，改善办学条件，促进义务教育均衡发展及学生素质提高</w:t>
            </w:r>
          </w:p>
        </w:tc>
        <w:tc>
          <w:tcPr>
            <w:tcW w:w="39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9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80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7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39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9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ind w:firstLine="560"/>
        <w:jc w:val="left"/>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2.城乡义务教育生均公用经费[中央]绩效目标表</w:t>
      </w:r>
      <w:bookmarkEnd w:id="1"/>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24"/>
        <w:gridCol w:w="1240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7"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45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1.廊坊市</w:t>
            </w:r>
            <w:r>
              <w:rPr>
                <w:rFonts w:hint="eastAsia" w:ascii="仿宋_GB2312" w:hAnsi="仿宋_GB2312" w:eastAsia="仿宋_GB2312" w:cs="仿宋_GB2312"/>
                <w:lang w:eastAsia="zh-CN"/>
              </w:rPr>
              <w:t>逸夫</w:t>
            </w:r>
            <w:r>
              <w:rPr>
                <w:rFonts w:hint="eastAsia" w:ascii="仿宋_GB2312" w:hAnsi="仿宋_GB2312" w:eastAsia="仿宋_GB2312" w:cs="仿宋_GB2312"/>
              </w:rPr>
              <w:t>小学学校对2022年在校学生</w:t>
            </w:r>
            <w:r>
              <w:rPr>
                <w:rFonts w:hint="eastAsia" w:ascii="仿宋_GB2312" w:hAnsi="仿宋_GB2312" w:eastAsia="仿宋_GB2312" w:cs="仿宋_GB2312"/>
                <w:lang w:eastAsia="zh-CN"/>
              </w:rPr>
              <w:t>780</w:t>
            </w:r>
            <w:r>
              <w:rPr>
                <w:rFonts w:hint="eastAsia" w:ascii="仿宋_GB2312" w:hAnsi="仿宋_GB2312" w:eastAsia="仿宋_GB2312" w:cs="仿宋_GB2312"/>
              </w:rPr>
              <w:t>人，按照义务教育生均公用经费标准申请财政预算资金，通过合理、合规使用资金达到保证学校正常运转，改善办学条件，促进义务教育发展。</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9"/>
        <w:gridCol w:w="2188"/>
        <w:gridCol w:w="2207"/>
        <w:gridCol w:w="3783"/>
        <w:gridCol w:w="853"/>
        <w:gridCol w:w="34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27"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8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792"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357"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306"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2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7"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9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135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30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eastAsia="zh-CN"/>
              </w:rPr>
              <w:t>780</w:t>
            </w:r>
            <w:r>
              <w:rPr>
                <w:rFonts w:hint="eastAsia" w:ascii="仿宋_GB2312" w:hAnsi="仿宋_GB2312" w:eastAsia="仿宋_GB2312" w:cs="仿宋_GB2312"/>
              </w:rPr>
              <w:t>人</w:t>
            </w:r>
          </w:p>
        </w:tc>
        <w:tc>
          <w:tcPr>
            <w:tcW w:w="12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廊坊市财政局廊坊市教育局关于提前下达2022年城乡义务教育中央补助经费预算（直达资金）的通知（廊财教[2021]62号）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7" w:type="pct"/>
            <w:vMerge w:val="continue"/>
            <w:vAlign w:val="center"/>
          </w:tcPr>
          <w:p>
            <w:pPr>
              <w:rPr>
                <w:rFonts w:hint="eastAsia" w:ascii="仿宋_GB2312" w:hAnsi="仿宋_GB2312" w:eastAsia="仿宋_GB2312" w:cs="仿宋_GB2312"/>
              </w:rPr>
            </w:pPr>
          </w:p>
        </w:tc>
        <w:tc>
          <w:tcPr>
            <w:tcW w:w="7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9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135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30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2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廊坊市财政局廊坊市教育局关于提前下达2022年城乡义务教育中央补助经费预算（直达资金）的通知（廊财教[2021]62号）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7" w:type="pct"/>
            <w:vMerge w:val="continue"/>
            <w:vAlign w:val="center"/>
          </w:tcPr>
          <w:p>
            <w:pPr>
              <w:rPr>
                <w:rFonts w:hint="eastAsia" w:ascii="仿宋_GB2312" w:hAnsi="仿宋_GB2312" w:eastAsia="仿宋_GB2312" w:cs="仿宋_GB2312"/>
              </w:rPr>
            </w:pPr>
          </w:p>
        </w:tc>
        <w:tc>
          <w:tcPr>
            <w:tcW w:w="7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79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35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30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2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0" w:hRule="atLeast"/>
          <w:jc w:val="center"/>
        </w:trPr>
        <w:tc>
          <w:tcPr>
            <w:tcW w:w="527" w:type="pct"/>
            <w:vMerge w:val="continue"/>
            <w:vAlign w:val="center"/>
          </w:tcPr>
          <w:p>
            <w:pPr>
              <w:rPr>
                <w:rFonts w:hint="eastAsia" w:ascii="仿宋_GB2312" w:hAnsi="仿宋_GB2312" w:eastAsia="仿宋_GB2312" w:cs="仿宋_GB2312"/>
              </w:rPr>
            </w:pPr>
          </w:p>
        </w:tc>
        <w:tc>
          <w:tcPr>
            <w:tcW w:w="7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9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135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使用生均公用经费，用于保障学校正常运转的项目支出成本等于935元/生</w:t>
            </w:r>
          </w:p>
        </w:tc>
        <w:tc>
          <w:tcPr>
            <w:tcW w:w="30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735元</w:t>
            </w:r>
          </w:p>
        </w:tc>
        <w:tc>
          <w:tcPr>
            <w:tcW w:w="12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廊坊市财政局廊坊市教育局关于提前下达2022年城乡义务教育中央补助经费预算（直达资金）的通知（廊财教[2021]62号）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7"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9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135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该资金用于学校正常运转，改善办学条件，促进义务教育均衡发展及学生素质提高</w:t>
            </w:r>
          </w:p>
        </w:tc>
        <w:tc>
          <w:tcPr>
            <w:tcW w:w="30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12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廊财教[2021]62号文件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7"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9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35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30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12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2" w:name="_Toc_4_4_0000000006"/>
      <w:r>
        <w:rPr>
          <w:rFonts w:hint="eastAsia" w:ascii="仿宋_GB2312" w:hAnsi="仿宋_GB2312" w:eastAsia="仿宋_GB2312" w:cs="仿宋_GB2312"/>
          <w:color w:val="000000"/>
          <w:sz w:val="28"/>
        </w:rPr>
        <w:t>3.合同制教师人员经费绩效目标表</w:t>
      </w:r>
      <w:bookmarkEnd w:id="2"/>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1.缓解教师短缺，保障教育教学正常的进行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2.保障教学质量，提升教育水平</w:t>
            </w:r>
          </w:p>
          <w:p>
            <w:pPr>
              <w:pStyle w:val="14"/>
              <w:rPr>
                <w:rFonts w:hint="eastAsia" w:ascii="仿宋_GB2312" w:hAnsi="仿宋_GB2312" w:eastAsia="仿宋_GB2312" w:cs="仿宋_GB2312"/>
              </w:rPr>
            </w:pPr>
            <w:r>
              <w:rPr>
                <w:rFonts w:hint="eastAsia" w:ascii="仿宋_GB2312" w:hAnsi="仿宋_GB2312" w:eastAsia="仿宋_GB2312" w:cs="仿宋_GB2312"/>
              </w:rPr>
              <w:t>3.保障合同制教师工资福利待遇，并及时发放。</w:t>
            </w:r>
          </w:p>
          <w:p>
            <w:pPr>
              <w:pStyle w:val="14"/>
              <w:rPr>
                <w:rFonts w:hint="eastAsia" w:ascii="仿宋_GB2312" w:hAnsi="仿宋_GB2312" w:eastAsia="仿宋_GB2312" w:cs="仿宋_GB2312"/>
              </w:rPr>
            </w:pPr>
            <w:r>
              <w:rPr>
                <w:rFonts w:hint="eastAsia" w:ascii="仿宋_GB2312" w:hAnsi="仿宋_GB2312" w:eastAsia="仿宋_GB2312" w:cs="仿宋_GB2312"/>
              </w:rPr>
              <w:t>4.学生、学校、家长对合同制教师的满意度达到95%以上</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1"/>
        <w:gridCol w:w="2169"/>
        <w:gridCol w:w="1809"/>
        <w:gridCol w:w="3697"/>
        <w:gridCol w:w="2275"/>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7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49"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326"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816"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7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4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13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保障2022合同制教师 15人工资福利</w:t>
            </w:r>
          </w:p>
        </w:tc>
        <w:tc>
          <w:tcPr>
            <w:tcW w:w="81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eastAsia="zh-CN"/>
              </w:rPr>
              <w:t>5</w:t>
            </w:r>
            <w:r>
              <w:rPr>
                <w:rFonts w:hint="eastAsia" w:ascii="仿宋_GB2312" w:hAnsi="仿宋_GB2312" w:eastAsia="仿宋_GB2312" w:cs="仿宋_GB2312"/>
              </w:rPr>
              <w:t>人</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7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4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13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81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7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4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13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81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7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4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13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81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7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4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13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81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7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4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13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81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7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4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13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81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7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4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13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81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7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4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13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81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3" w:name="_Toc_4_4_0000000007"/>
      <w:r>
        <w:rPr>
          <w:rFonts w:hint="eastAsia" w:ascii="仿宋_GB2312" w:hAnsi="仿宋_GB2312" w:eastAsia="仿宋_GB2312" w:cs="仿宋_GB2312"/>
          <w:color w:val="000000"/>
          <w:sz w:val="28"/>
        </w:rPr>
        <w:t>4.教育经费绩效目标表</w:t>
      </w:r>
      <w:bookmarkEnd w:id="3"/>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94"/>
        <w:gridCol w:w="1247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402" w:type="pct"/>
            <w:vAlign w:val="center"/>
          </w:tcPr>
          <w:p>
            <w:pPr>
              <w:pStyle w:val="14"/>
              <w:numPr>
                <w:ilvl w:val="0"/>
                <w:numId w:val="1"/>
              </w:numPr>
              <w:rPr>
                <w:rFonts w:hint="eastAsia" w:ascii="仿宋_GB2312" w:hAnsi="仿宋_GB2312" w:eastAsia="仿宋_GB2312" w:cs="仿宋_GB2312"/>
              </w:rPr>
            </w:pPr>
            <w:r>
              <w:rPr>
                <w:rFonts w:hint="eastAsia" w:ascii="仿宋_GB2312" w:hAnsi="仿宋_GB2312" w:eastAsia="仿宋_GB2312" w:cs="仿宋_GB2312"/>
              </w:rPr>
              <w:t>弥补办公经费不足，保障教育教学正常的进行。</w:t>
            </w:r>
          </w:p>
          <w:p>
            <w:pPr>
              <w:pStyle w:val="14"/>
              <w:numPr>
                <w:ilvl w:val="0"/>
                <w:numId w:val="1"/>
              </w:numPr>
              <w:rPr>
                <w:rFonts w:hint="eastAsia" w:ascii="仿宋_GB2312" w:hAnsi="仿宋_GB2312" w:eastAsia="仿宋_GB2312" w:cs="仿宋_GB2312"/>
              </w:rPr>
            </w:pPr>
            <w:r>
              <w:rPr>
                <w:rFonts w:hint="eastAsia" w:ascii="仿宋_GB2312" w:hAnsi="仿宋_GB2312" w:eastAsia="仿宋_GB2312" w:cs="仿宋_GB2312"/>
              </w:rPr>
              <w:t>改善办学条件，提高教育教学环境。</w:t>
            </w:r>
          </w:p>
          <w:p>
            <w:pPr>
              <w:pStyle w:val="14"/>
              <w:numPr>
                <w:ilvl w:val="0"/>
                <w:numId w:val="1"/>
              </w:numPr>
              <w:rPr>
                <w:rFonts w:hint="eastAsia" w:ascii="仿宋_GB2312" w:hAnsi="仿宋_GB2312" w:eastAsia="仿宋_GB2312" w:cs="仿宋_GB2312"/>
              </w:rPr>
            </w:pPr>
            <w:r>
              <w:rPr>
                <w:rFonts w:hint="eastAsia" w:ascii="仿宋_GB2312" w:hAnsi="仿宋_GB2312" w:eastAsia="仿宋_GB2312" w:cs="仿宋_GB2312"/>
              </w:rPr>
              <w:t>开展文化体育等社会活动，提高学校社会影响力。</w:t>
            </w:r>
          </w:p>
          <w:p>
            <w:pPr>
              <w:pStyle w:val="14"/>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499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44"/>
        <w:gridCol w:w="1998"/>
        <w:gridCol w:w="2341"/>
        <w:gridCol w:w="4135"/>
        <w:gridCol w:w="1927"/>
        <w:gridCol w:w="21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80"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0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826"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59"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80"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747"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0"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0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8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145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68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12月</w:t>
            </w:r>
          </w:p>
        </w:tc>
        <w:tc>
          <w:tcPr>
            <w:tcW w:w="7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0" w:type="pct"/>
            <w:vMerge w:val="continue"/>
            <w:vAlign w:val="center"/>
          </w:tcPr>
          <w:p>
            <w:pPr>
              <w:rPr>
                <w:rFonts w:hint="eastAsia" w:ascii="仿宋_GB2312" w:hAnsi="仿宋_GB2312" w:eastAsia="仿宋_GB2312" w:cs="仿宋_GB2312"/>
              </w:rPr>
            </w:pPr>
          </w:p>
        </w:tc>
        <w:tc>
          <w:tcPr>
            <w:tcW w:w="70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8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145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68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7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0" w:type="pct"/>
            <w:vMerge w:val="continue"/>
            <w:vAlign w:val="center"/>
          </w:tcPr>
          <w:p>
            <w:pPr>
              <w:rPr>
                <w:rFonts w:hint="eastAsia" w:ascii="仿宋_GB2312" w:hAnsi="仿宋_GB2312" w:eastAsia="仿宋_GB2312" w:cs="仿宋_GB2312"/>
              </w:rPr>
            </w:pPr>
          </w:p>
        </w:tc>
        <w:tc>
          <w:tcPr>
            <w:tcW w:w="70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8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145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68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7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0" w:type="pct"/>
            <w:vMerge w:val="continue"/>
            <w:vAlign w:val="center"/>
          </w:tcPr>
          <w:p>
            <w:pPr>
              <w:rPr>
                <w:rFonts w:hint="eastAsia" w:ascii="仿宋_GB2312" w:hAnsi="仿宋_GB2312" w:eastAsia="仿宋_GB2312" w:cs="仿宋_GB2312"/>
              </w:rPr>
            </w:pPr>
          </w:p>
        </w:tc>
        <w:tc>
          <w:tcPr>
            <w:tcW w:w="70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8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45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68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7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0" w:type="pct"/>
            <w:vMerge w:val="continue"/>
            <w:vAlign w:val="center"/>
          </w:tcPr>
          <w:p>
            <w:pPr>
              <w:rPr>
                <w:rFonts w:hint="eastAsia" w:ascii="仿宋_GB2312" w:hAnsi="仿宋_GB2312" w:eastAsia="仿宋_GB2312" w:cs="仿宋_GB2312"/>
              </w:rPr>
            </w:pPr>
          </w:p>
        </w:tc>
        <w:tc>
          <w:tcPr>
            <w:tcW w:w="70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8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145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68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≤13.3</w:t>
            </w:r>
            <w:r>
              <w:rPr>
                <w:rFonts w:hint="eastAsia" w:ascii="仿宋_GB2312" w:hAnsi="仿宋_GB2312" w:eastAsia="仿宋_GB2312" w:cs="仿宋_GB2312"/>
                <w:lang w:eastAsia="zh-CN"/>
              </w:rPr>
              <w:t>8</w:t>
            </w:r>
            <w:r>
              <w:rPr>
                <w:rFonts w:hint="eastAsia" w:ascii="仿宋_GB2312" w:hAnsi="仿宋_GB2312" w:eastAsia="仿宋_GB2312" w:cs="仿宋_GB2312"/>
              </w:rPr>
              <w:t>万元</w:t>
            </w:r>
          </w:p>
        </w:tc>
        <w:tc>
          <w:tcPr>
            <w:tcW w:w="7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0"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0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8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145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68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7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0"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0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45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68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0" w:type="pct"/>
            <w:vMerge w:val="continue"/>
            <w:vAlign w:val="center"/>
          </w:tcPr>
          <w:p>
            <w:pPr>
              <w:rPr>
                <w:rFonts w:hint="eastAsia" w:ascii="仿宋_GB2312" w:hAnsi="仿宋_GB2312" w:eastAsia="仿宋_GB2312" w:cs="仿宋_GB2312"/>
              </w:rPr>
            </w:pPr>
          </w:p>
        </w:tc>
        <w:tc>
          <w:tcPr>
            <w:tcW w:w="70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45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68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pPr>
    </w:p>
    <w:p>
      <w:pPr>
        <w:autoSpaceDE w:val="0"/>
        <w:autoSpaceDN w:val="0"/>
        <w:adjustRightInd w:val="0"/>
        <w:spacing w:line="584" w:lineRule="exact"/>
        <w:ind w:firstLine="480" w:firstLineChars="150"/>
        <w:jc w:val="left"/>
        <w:rPr>
          <w:rFonts w:hint="eastAsia" w:ascii="仿宋_GB2312" w:hAnsi="仿宋_GB2312" w:eastAsia="仿宋_GB2312" w:cs="仿宋_GB2312"/>
          <w:sz w:val="32"/>
          <w:szCs w:val="32"/>
        </w:rPr>
      </w:pPr>
    </w:p>
    <w:p>
      <w:pPr>
        <w:autoSpaceDE w:val="0"/>
        <w:autoSpaceDN w:val="0"/>
        <w:adjustRightInd w:val="0"/>
        <w:spacing w:line="584" w:lineRule="exact"/>
        <w:ind w:firstLine="480" w:firstLineChars="15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4"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4"/>
    <w:p>
      <w:pPr>
        <w:jc w:val="center"/>
        <w:outlineLvl w:val="1"/>
        <w:rPr>
          <w:rFonts w:ascii="方正小标宋_GBK" w:eastAsia="方正小标宋_GBK" w:cs="Times New Roman"/>
          <w:sz w:val="32"/>
        </w:rPr>
      </w:pPr>
      <w:bookmarkStart w:id="5"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5"/>
    </w:p>
    <w:p>
      <w:pPr>
        <w:outlineLvl w:val="1"/>
        <w:rPr>
          <w:rFonts w:ascii="方正小标宋_GBK" w:eastAsia="方正小标宋_GBK" w:cs="Times New Roman"/>
          <w:sz w:val="32"/>
        </w:rPr>
      </w:pPr>
      <w:r>
        <w:t>[452001]</w:t>
      </w:r>
      <w:r>
        <w:rPr>
          <w:rFonts w:hint="eastAsia"/>
        </w:rPr>
        <w:t>廊坊市逸夫小学</w:t>
      </w:r>
      <w:r>
        <w:t xml:space="preserve">                                                                                                 单位：万元</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9"/>
        <w:gridCol w:w="887"/>
        <w:gridCol w:w="1043"/>
        <w:gridCol w:w="1043"/>
        <w:gridCol w:w="652"/>
        <w:gridCol w:w="782"/>
        <w:gridCol w:w="782"/>
        <w:gridCol w:w="887"/>
        <w:gridCol w:w="887"/>
        <w:gridCol w:w="887"/>
        <w:gridCol w:w="887"/>
        <w:gridCol w:w="887"/>
        <w:gridCol w:w="888"/>
        <w:gridCol w:w="888"/>
        <w:gridCol w:w="888"/>
        <w:gridCol w:w="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tblHeader/>
          <w:jc w:val="center"/>
        </w:trPr>
        <w:tc>
          <w:tcPr>
            <w:tcW w:w="668" w:type="pct"/>
            <w:gridSpan w:val="2"/>
            <w:vAlign w:val="center"/>
          </w:tcPr>
          <w:p>
            <w:pPr>
              <w:pStyle w:val="12"/>
            </w:pPr>
            <w:r>
              <w:t>政府采购项目来源</w:t>
            </w:r>
          </w:p>
        </w:tc>
        <w:tc>
          <w:tcPr>
            <w:tcW w:w="368" w:type="pct"/>
            <w:vMerge w:val="restart"/>
            <w:vAlign w:val="center"/>
          </w:tcPr>
          <w:p>
            <w:pPr>
              <w:pStyle w:val="12"/>
            </w:pPr>
            <w:r>
              <w:t>采购物品名称</w:t>
            </w:r>
          </w:p>
        </w:tc>
        <w:tc>
          <w:tcPr>
            <w:tcW w:w="368" w:type="pct"/>
            <w:vMerge w:val="restart"/>
            <w:vAlign w:val="center"/>
          </w:tcPr>
          <w:p>
            <w:pPr>
              <w:pStyle w:val="12"/>
            </w:pPr>
            <w:r>
              <w:t>政府采购目录序号</w:t>
            </w:r>
          </w:p>
        </w:tc>
        <w:tc>
          <w:tcPr>
            <w:tcW w:w="230" w:type="pct"/>
            <w:vMerge w:val="restart"/>
            <w:vAlign w:val="center"/>
          </w:tcPr>
          <w:p>
            <w:pPr>
              <w:pStyle w:val="12"/>
            </w:pPr>
            <w:r>
              <w:t>计量  单位</w:t>
            </w:r>
          </w:p>
        </w:tc>
        <w:tc>
          <w:tcPr>
            <w:tcW w:w="276" w:type="pct"/>
            <w:vMerge w:val="restart"/>
            <w:vAlign w:val="center"/>
          </w:tcPr>
          <w:p>
            <w:pPr>
              <w:pStyle w:val="12"/>
            </w:pPr>
            <w:r>
              <w:t>数量</w:t>
            </w:r>
          </w:p>
        </w:tc>
        <w:tc>
          <w:tcPr>
            <w:tcW w:w="276" w:type="pct"/>
            <w:vMerge w:val="restart"/>
            <w:vAlign w:val="center"/>
          </w:tcPr>
          <w:p>
            <w:pPr>
              <w:pStyle w:val="12"/>
            </w:pPr>
            <w:r>
              <w:t>单价</w:t>
            </w:r>
          </w:p>
        </w:tc>
        <w:tc>
          <w:tcPr>
            <w:tcW w:w="2502" w:type="pct"/>
            <w:gridSpan w:val="8"/>
            <w:vAlign w:val="center"/>
          </w:tcPr>
          <w:p>
            <w:pPr>
              <w:pStyle w:val="12"/>
            </w:pPr>
            <w:r>
              <w:t>政府采购金额（当年</w:t>
            </w:r>
            <w:r>
              <w:rPr>
                <w:rFonts w:hint="eastAsia"/>
                <w:lang w:eastAsia="zh-CN"/>
              </w:rPr>
              <w:t>单位</w:t>
            </w:r>
            <w:r>
              <w:t>预算安排资金）</w:t>
            </w:r>
          </w:p>
        </w:tc>
        <w:tc>
          <w:tcPr>
            <w:tcW w:w="313"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02" w:hRule="atLeast"/>
          <w:tblHeader/>
          <w:jc w:val="center"/>
        </w:trPr>
        <w:tc>
          <w:tcPr>
            <w:tcW w:w="356" w:type="pct"/>
            <w:vAlign w:val="center"/>
          </w:tcPr>
          <w:p>
            <w:pPr>
              <w:pStyle w:val="12"/>
            </w:pPr>
            <w:r>
              <w:t>项目名称</w:t>
            </w:r>
          </w:p>
        </w:tc>
        <w:tc>
          <w:tcPr>
            <w:tcW w:w="313" w:type="pct"/>
            <w:vAlign w:val="center"/>
          </w:tcPr>
          <w:p>
            <w:pPr>
              <w:pStyle w:val="12"/>
            </w:pPr>
            <w:r>
              <w:t>预算    资金</w:t>
            </w:r>
          </w:p>
        </w:tc>
        <w:tc>
          <w:tcPr>
            <w:tcW w:w="368" w:type="pct"/>
            <w:vMerge w:val="continue"/>
          </w:tcPr>
          <w:p/>
        </w:tc>
        <w:tc>
          <w:tcPr>
            <w:tcW w:w="368" w:type="pct"/>
            <w:vMerge w:val="continue"/>
          </w:tcPr>
          <w:p/>
        </w:tc>
        <w:tc>
          <w:tcPr>
            <w:tcW w:w="230" w:type="pct"/>
            <w:vMerge w:val="continue"/>
          </w:tcPr>
          <w:p/>
        </w:tc>
        <w:tc>
          <w:tcPr>
            <w:tcW w:w="276" w:type="pct"/>
            <w:vMerge w:val="continue"/>
          </w:tcPr>
          <w:p/>
        </w:tc>
        <w:tc>
          <w:tcPr>
            <w:tcW w:w="276" w:type="pct"/>
            <w:vMerge w:val="continue"/>
          </w:tcPr>
          <w:p/>
        </w:tc>
        <w:tc>
          <w:tcPr>
            <w:tcW w:w="313" w:type="pct"/>
            <w:vAlign w:val="center"/>
          </w:tcPr>
          <w:p>
            <w:pPr>
              <w:pStyle w:val="12"/>
            </w:pPr>
            <w:r>
              <w:t>合计</w:t>
            </w:r>
          </w:p>
        </w:tc>
        <w:tc>
          <w:tcPr>
            <w:tcW w:w="313" w:type="pct"/>
            <w:vAlign w:val="center"/>
          </w:tcPr>
          <w:p>
            <w:pPr>
              <w:pStyle w:val="12"/>
            </w:pPr>
            <w:r>
              <w:t>一般公共预算拨款</w:t>
            </w:r>
          </w:p>
        </w:tc>
        <w:tc>
          <w:tcPr>
            <w:tcW w:w="313" w:type="pct"/>
            <w:vAlign w:val="center"/>
          </w:tcPr>
          <w:p>
            <w:pPr>
              <w:pStyle w:val="12"/>
            </w:pPr>
            <w:r>
              <w:t>基金预算拨款</w:t>
            </w:r>
          </w:p>
        </w:tc>
        <w:tc>
          <w:tcPr>
            <w:tcW w:w="313" w:type="pct"/>
            <w:vAlign w:val="center"/>
          </w:tcPr>
          <w:p>
            <w:pPr>
              <w:pStyle w:val="12"/>
            </w:pPr>
            <w:r>
              <w:t>国有资本经营预算拨款</w:t>
            </w:r>
          </w:p>
        </w:tc>
        <w:tc>
          <w:tcPr>
            <w:tcW w:w="313" w:type="pct"/>
            <w:vAlign w:val="center"/>
          </w:tcPr>
          <w:p>
            <w:pPr>
              <w:pStyle w:val="12"/>
            </w:pPr>
            <w:r>
              <w:t>财政专户核拨</w:t>
            </w:r>
          </w:p>
        </w:tc>
        <w:tc>
          <w:tcPr>
            <w:tcW w:w="313" w:type="pct"/>
            <w:vAlign w:val="center"/>
          </w:tcPr>
          <w:p>
            <w:pPr>
              <w:pStyle w:val="12"/>
            </w:pPr>
            <w:r>
              <w:t>单位    资金</w:t>
            </w:r>
          </w:p>
        </w:tc>
        <w:tc>
          <w:tcPr>
            <w:tcW w:w="313" w:type="pct"/>
            <w:vAlign w:val="center"/>
          </w:tcPr>
          <w:p>
            <w:pPr>
              <w:pStyle w:val="12"/>
            </w:pPr>
            <w:r>
              <w:t>财政拨    款结转</w:t>
            </w:r>
          </w:p>
        </w:tc>
        <w:tc>
          <w:tcPr>
            <w:tcW w:w="313" w:type="pct"/>
            <w:vAlign w:val="center"/>
          </w:tcPr>
          <w:p>
            <w:pPr>
              <w:pStyle w:val="12"/>
            </w:pPr>
            <w:r>
              <w:t>非财政    拨款结    转结余</w:t>
            </w:r>
          </w:p>
        </w:tc>
        <w:tc>
          <w:tcPr>
            <w:tcW w:w="31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jc w:val="center"/>
        </w:trPr>
        <w:tc>
          <w:tcPr>
            <w:tcW w:w="356" w:type="pct"/>
            <w:vAlign w:val="center"/>
          </w:tcPr>
          <w:p>
            <w:pPr>
              <w:pStyle w:val="16"/>
            </w:pPr>
            <w:r>
              <w:t>合  计</w:t>
            </w:r>
          </w:p>
        </w:tc>
        <w:tc>
          <w:tcPr>
            <w:tcW w:w="313" w:type="pct"/>
            <w:vAlign w:val="center"/>
          </w:tcPr>
          <w:p>
            <w:pPr>
              <w:pStyle w:val="17"/>
            </w:pPr>
          </w:p>
        </w:tc>
        <w:tc>
          <w:tcPr>
            <w:tcW w:w="368" w:type="pct"/>
            <w:vAlign w:val="center"/>
          </w:tcPr>
          <w:p>
            <w:pPr>
              <w:pStyle w:val="18"/>
            </w:pPr>
          </w:p>
        </w:tc>
        <w:tc>
          <w:tcPr>
            <w:tcW w:w="368" w:type="pct"/>
            <w:vAlign w:val="center"/>
          </w:tcPr>
          <w:p>
            <w:pPr>
              <w:pStyle w:val="18"/>
            </w:pPr>
          </w:p>
        </w:tc>
        <w:tc>
          <w:tcPr>
            <w:tcW w:w="230" w:type="pct"/>
            <w:vAlign w:val="center"/>
          </w:tcPr>
          <w:p>
            <w:pPr>
              <w:pStyle w:val="16"/>
            </w:pPr>
          </w:p>
        </w:tc>
        <w:tc>
          <w:tcPr>
            <w:tcW w:w="276" w:type="pct"/>
            <w:vAlign w:val="center"/>
          </w:tcPr>
          <w:p>
            <w:pPr>
              <w:pStyle w:val="17"/>
            </w:pPr>
          </w:p>
        </w:tc>
        <w:tc>
          <w:tcPr>
            <w:tcW w:w="276"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0" w:hRule="atLeast"/>
          <w:jc w:val="center"/>
        </w:trPr>
        <w:tc>
          <w:tcPr>
            <w:tcW w:w="356" w:type="pct"/>
            <w:vAlign w:val="center"/>
          </w:tcPr>
          <w:p>
            <w:pPr>
              <w:pStyle w:val="16"/>
            </w:pPr>
          </w:p>
        </w:tc>
        <w:tc>
          <w:tcPr>
            <w:tcW w:w="313" w:type="pct"/>
            <w:vAlign w:val="center"/>
          </w:tcPr>
          <w:p>
            <w:pPr>
              <w:pStyle w:val="17"/>
            </w:pPr>
          </w:p>
        </w:tc>
        <w:tc>
          <w:tcPr>
            <w:tcW w:w="368" w:type="pct"/>
            <w:vAlign w:val="center"/>
          </w:tcPr>
          <w:p>
            <w:pPr>
              <w:pStyle w:val="18"/>
            </w:pPr>
          </w:p>
        </w:tc>
        <w:tc>
          <w:tcPr>
            <w:tcW w:w="368" w:type="pct"/>
            <w:vAlign w:val="center"/>
          </w:tcPr>
          <w:p>
            <w:pPr>
              <w:pStyle w:val="18"/>
            </w:pPr>
          </w:p>
        </w:tc>
        <w:tc>
          <w:tcPr>
            <w:tcW w:w="230" w:type="pct"/>
            <w:vAlign w:val="center"/>
          </w:tcPr>
          <w:p>
            <w:pPr>
              <w:pStyle w:val="16"/>
            </w:pPr>
          </w:p>
        </w:tc>
        <w:tc>
          <w:tcPr>
            <w:tcW w:w="276" w:type="pct"/>
            <w:vAlign w:val="center"/>
          </w:tcPr>
          <w:p>
            <w:pPr>
              <w:pStyle w:val="17"/>
            </w:pPr>
          </w:p>
        </w:tc>
        <w:tc>
          <w:tcPr>
            <w:tcW w:w="276"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jc w:val="center"/>
        </w:trPr>
        <w:tc>
          <w:tcPr>
            <w:tcW w:w="356" w:type="pct"/>
            <w:vAlign w:val="center"/>
          </w:tcPr>
          <w:p>
            <w:pPr>
              <w:pStyle w:val="14"/>
            </w:pPr>
          </w:p>
        </w:tc>
        <w:tc>
          <w:tcPr>
            <w:tcW w:w="313" w:type="pct"/>
            <w:vAlign w:val="center"/>
          </w:tcPr>
          <w:p>
            <w:pPr>
              <w:pStyle w:val="13"/>
            </w:pPr>
          </w:p>
        </w:tc>
        <w:tc>
          <w:tcPr>
            <w:tcW w:w="368" w:type="pct"/>
            <w:vAlign w:val="center"/>
          </w:tcPr>
          <w:p>
            <w:pPr>
              <w:pStyle w:val="14"/>
            </w:pPr>
          </w:p>
        </w:tc>
        <w:tc>
          <w:tcPr>
            <w:tcW w:w="368" w:type="pct"/>
            <w:vAlign w:val="center"/>
          </w:tcPr>
          <w:p>
            <w:pPr>
              <w:pStyle w:val="14"/>
            </w:pPr>
          </w:p>
        </w:tc>
        <w:tc>
          <w:tcPr>
            <w:tcW w:w="230" w:type="pct"/>
            <w:vAlign w:val="center"/>
          </w:tcPr>
          <w:p>
            <w:pPr>
              <w:pStyle w:val="15"/>
            </w:pPr>
          </w:p>
        </w:tc>
        <w:tc>
          <w:tcPr>
            <w:tcW w:w="276" w:type="pct"/>
            <w:vAlign w:val="center"/>
          </w:tcPr>
          <w:p>
            <w:pPr>
              <w:pStyle w:val="13"/>
            </w:pPr>
          </w:p>
        </w:tc>
        <w:tc>
          <w:tcPr>
            <w:tcW w:w="276"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廊坊市</w:t>
      </w:r>
      <w:r>
        <w:rPr>
          <w:rFonts w:hint="eastAsia" w:ascii="Times New Roman" w:hAnsi="Times New Roman" w:eastAsia="仿宋_GB2312" w:cs="Times New Roman"/>
          <w:kern w:val="0"/>
          <w:sz w:val="32"/>
          <w:szCs w:val="32"/>
        </w:rPr>
        <w:t>逸夫小</w:t>
      </w:r>
      <w:r>
        <w:rPr>
          <w:rFonts w:ascii="Times New Roman" w:hAnsi="Times New Roman" w:eastAsia="仿宋_GB2312" w:cs="Times New Roman"/>
          <w:kern w:val="0"/>
          <w:sz w:val="32"/>
          <w:szCs w:val="32"/>
        </w:rPr>
        <w:t>学</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84.356127万元</w:t>
      </w:r>
      <w:r>
        <w:rPr>
          <w:rFonts w:hint="eastAsia" w:ascii="Times New Roman" w:hAnsi="Times New Roman" w:eastAsia="仿宋_GB2312" w:cs="Times New Roman"/>
          <w:sz w:val="32"/>
          <w:szCs w:val="32"/>
        </w:rPr>
        <w:t>（详见下表）。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逸夫小</w:t>
            </w:r>
            <w:r>
              <w:rPr>
                <w:rFonts w:ascii="Times New Roman" w:hAnsi="Times New Roman" w:eastAsia="仿宋_GB2312" w:cs="Times New Roman"/>
                <w:b/>
                <w:bCs/>
                <w:kern w:val="0"/>
                <w:sz w:val="32"/>
                <w:szCs w:val="32"/>
              </w:rPr>
              <w:t>学固定资产占用情况表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逸夫小</w:t>
            </w:r>
            <w:r>
              <w:rPr>
                <w:rFonts w:ascii="Times New Roman" w:hAnsi="Times New Roman" w:eastAsia="仿宋_GB2312" w:cs="Times New Roman"/>
                <w:kern w:val="0"/>
                <w:sz w:val="22"/>
              </w:rPr>
              <w:t>学</w:t>
            </w:r>
          </w:p>
        </w:tc>
        <w:tc>
          <w:tcPr>
            <w:tcW w:w="5103" w:type="dxa"/>
            <w:tcBorders>
              <w:top w:val="nil"/>
              <w:left w:val="nil"/>
              <w:bottom w:val="nil"/>
              <w:right w:val="nil"/>
            </w:tcBorders>
            <w:shd w:val="clear" w:color="auto" w:fill="auto"/>
            <w:noWrap/>
            <w:vAlign w:val="center"/>
          </w:tcPr>
          <w:p>
            <w:pPr>
              <w:widowControl/>
              <w:spacing w:line="584" w:lineRule="exact"/>
              <w:ind w:firstLine="1210" w:firstLineChars="550"/>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w:t>
            </w:r>
            <w:r>
              <w:rPr>
                <w:rFonts w:ascii="Times New Roman" w:hAnsi="Times New Roman" w:eastAsia="仿宋_GB2312" w:cs="Times New Roman"/>
                <w:sz w:val="22"/>
              </w:rPr>
              <w:t>84.356127</w:t>
            </w:r>
          </w:p>
        </w:tc>
      </w:tr>
      <w:tr>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5292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265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5292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119.356127</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D67128-2C5A-4F3F-A385-170227387EC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2" w:fontKey="{4394D889-5D84-4B7F-BCFE-66DA661102B5}"/>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normal">
    <w:altName w:val="Segoe Print"/>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86"/>
    <w:family w:val="script"/>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embedRegular r:id="rId3" w:fontKey="{B9BFE19E-CE75-4A5E-9D2A-305134E3B793}"/>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18</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65AB83"/>
    <w:multiLevelType w:val="singleLevel"/>
    <w:tmpl w:val="B665AB8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70736"/>
    <w:rsid w:val="000F6018"/>
    <w:rsid w:val="001A1291"/>
    <w:rsid w:val="00216DA5"/>
    <w:rsid w:val="0024206B"/>
    <w:rsid w:val="0025632D"/>
    <w:rsid w:val="002F36BA"/>
    <w:rsid w:val="003059E0"/>
    <w:rsid w:val="00336AFA"/>
    <w:rsid w:val="003C0A5C"/>
    <w:rsid w:val="00437FE7"/>
    <w:rsid w:val="004A54AA"/>
    <w:rsid w:val="004C0827"/>
    <w:rsid w:val="00523A3A"/>
    <w:rsid w:val="00583F9C"/>
    <w:rsid w:val="0065176D"/>
    <w:rsid w:val="00660389"/>
    <w:rsid w:val="0068194A"/>
    <w:rsid w:val="00692AEE"/>
    <w:rsid w:val="006B2C83"/>
    <w:rsid w:val="007C7867"/>
    <w:rsid w:val="007D6A12"/>
    <w:rsid w:val="0081323A"/>
    <w:rsid w:val="00832A82"/>
    <w:rsid w:val="00832CE5"/>
    <w:rsid w:val="00944233"/>
    <w:rsid w:val="00961F07"/>
    <w:rsid w:val="009735EC"/>
    <w:rsid w:val="009A45F5"/>
    <w:rsid w:val="009B5858"/>
    <w:rsid w:val="00A16FE0"/>
    <w:rsid w:val="00A505F1"/>
    <w:rsid w:val="00A6203D"/>
    <w:rsid w:val="00A90D8D"/>
    <w:rsid w:val="00B03564"/>
    <w:rsid w:val="00B40732"/>
    <w:rsid w:val="00B45ED6"/>
    <w:rsid w:val="00B80935"/>
    <w:rsid w:val="00BC5E37"/>
    <w:rsid w:val="00C01A24"/>
    <w:rsid w:val="00C26FD7"/>
    <w:rsid w:val="00C463C3"/>
    <w:rsid w:val="00D24536"/>
    <w:rsid w:val="00D33460"/>
    <w:rsid w:val="00D347CC"/>
    <w:rsid w:val="00D409D5"/>
    <w:rsid w:val="00DA729A"/>
    <w:rsid w:val="00DC72B4"/>
    <w:rsid w:val="00E72308"/>
    <w:rsid w:val="00E91492"/>
    <w:rsid w:val="00EF4BE7"/>
    <w:rsid w:val="00F231BC"/>
    <w:rsid w:val="00FA5065"/>
    <w:rsid w:val="00FC2E3B"/>
    <w:rsid w:val="00FE7AFD"/>
    <w:rsid w:val="016D45B1"/>
    <w:rsid w:val="042F4B49"/>
    <w:rsid w:val="05BA5C47"/>
    <w:rsid w:val="071A324D"/>
    <w:rsid w:val="08BB636A"/>
    <w:rsid w:val="0CEC1180"/>
    <w:rsid w:val="0DF25C50"/>
    <w:rsid w:val="105A3111"/>
    <w:rsid w:val="11401B02"/>
    <w:rsid w:val="12BC340B"/>
    <w:rsid w:val="12D60970"/>
    <w:rsid w:val="13497F22"/>
    <w:rsid w:val="1356385F"/>
    <w:rsid w:val="16F72C63"/>
    <w:rsid w:val="175D48F4"/>
    <w:rsid w:val="17CF4F4A"/>
    <w:rsid w:val="180072FF"/>
    <w:rsid w:val="18F45204"/>
    <w:rsid w:val="18FC27B3"/>
    <w:rsid w:val="196D10C1"/>
    <w:rsid w:val="1A090F08"/>
    <w:rsid w:val="1A8B4C12"/>
    <w:rsid w:val="1B9D263B"/>
    <w:rsid w:val="1C874A89"/>
    <w:rsid w:val="1D9C6312"/>
    <w:rsid w:val="1E432C32"/>
    <w:rsid w:val="214747E7"/>
    <w:rsid w:val="24653902"/>
    <w:rsid w:val="24885842"/>
    <w:rsid w:val="250C0222"/>
    <w:rsid w:val="29312005"/>
    <w:rsid w:val="2A9C5BA4"/>
    <w:rsid w:val="2B2142FB"/>
    <w:rsid w:val="37996E69"/>
    <w:rsid w:val="3BD75940"/>
    <w:rsid w:val="42C121F4"/>
    <w:rsid w:val="44955623"/>
    <w:rsid w:val="4668133F"/>
    <w:rsid w:val="46FC1A4C"/>
    <w:rsid w:val="48F6071D"/>
    <w:rsid w:val="4E2E44B5"/>
    <w:rsid w:val="517D35FC"/>
    <w:rsid w:val="518965D2"/>
    <w:rsid w:val="526F57C8"/>
    <w:rsid w:val="585D6A91"/>
    <w:rsid w:val="58B23645"/>
    <w:rsid w:val="59CA5320"/>
    <w:rsid w:val="5A6B0244"/>
    <w:rsid w:val="5BDB7A2A"/>
    <w:rsid w:val="5EB10F16"/>
    <w:rsid w:val="5ED128AE"/>
    <w:rsid w:val="632E3567"/>
    <w:rsid w:val="637B0363"/>
    <w:rsid w:val="63D74F7B"/>
    <w:rsid w:val="641A39E1"/>
    <w:rsid w:val="64474731"/>
    <w:rsid w:val="64A31301"/>
    <w:rsid w:val="64D21BE7"/>
    <w:rsid w:val="65B01F28"/>
    <w:rsid w:val="67CE48E7"/>
    <w:rsid w:val="6B170353"/>
    <w:rsid w:val="6BE066CF"/>
    <w:rsid w:val="6C3804C8"/>
    <w:rsid w:val="70645DE9"/>
    <w:rsid w:val="722B4FC4"/>
    <w:rsid w:val="73693C55"/>
    <w:rsid w:val="74CF3FB3"/>
    <w:rsid w:val="79492020"/>
    <w:rsid w:val="7A8F7F06"/>
    <w:rsid w:val="7C275A5D"/>
    <w:rsid w:val="7DF52776"/>
    <w:rsid w:val="7E156974"/>
    <w:rsid w:val="7FB12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1128</Words>
  <Characters>6436</Characters>
  <Lines>53</Lines>
  <Paragraphs>15</Paragraphs>
  <TotalTime>24</TotalTime>
  <ScaleCrop>false</ScaleCrop>
  <LinksUpToDate>false</LinksUpToDate>
  <CharactersWithSpaces>7549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2023-08-02T00:44:47Z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90CE38818C624617B51B3496F481230D</vt:lpwstr>
  </property>
</Properties>
</file>