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中共</w:t>
      </w: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广阳</w:t>
      </w:r>
      <w:r>
        <w:rPr>
          <w:rFonts w:hint="eastAsia" w:ascii="Times New Roman" w:hAnsi="Times New Roman" w:eastAsia="方正小标宋简体" w:cs="Times New Roman"/>
          <w:sz w:val="44"/>
          <w:szCs w:val="44"/>
          <w:lang w:val="en-US" w:eastAsia="zh-CN"/>
        </w:rPr>
        <w:t>区委网信办</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lang w:val="en-US" w:eastAsia="zh-CN"/>
        </w:rPr>
        <w:t>中共</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w:t>
      </w:r>
      <w:r>
        <w:rPr>
          <w:rFonts w:hint="eastAsia" w:ascii="Times New Roman" w:hAnsi="Times New Roman" w:eastAsia="仿宋_GB2312" w:cs="Times New Roman"/>
          <w:sz w:val="32"/>
          <w:szCs w:val="32"/>
          <w:lang w:val="en-US" w:eastAsia="zh-CN"/>
        </w:rPr>
        <w:t>区委网信办</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bookmarkStart w:id="3" w:name="_GoBack"/>
      <w:bookmarkEnd w:id="3"/>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0" w:lineRule="exact"/>
        <w:jc w:val="lef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（一）</w:t>
      </w:r>
      <w:r>
        <w:rPr>
          <w:rFonts w:ascii="Times New Roman" w:hAnsi="Times New Roman" w:eastAsia="仿宋_GB2312"/>
          <w:color w:val="000000"/>
          <w:sz w:val="32"/>
          <w:szCs w:val="32"/>
        </w:rPr>
        <w:t>负责处理区委网络安全和信息化委员会日常事务工作。协调督促有关方面落实委员会的决定事项、工作部署和要求，组织开展对涉及我区政治、经济、文化、社会生态及军事等各个领域的网络安全和信息化重大问题研究，向委员会提出工作建议。</w:t>
      </w:r>
    </w:p>
    <w:p>
      <w:pPr>
        <w:spacing w:line="580" w:lineRule="exact"/>
        <w:jc w:val="lef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二</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组织研究起草我区网络安全和信息化发展战略、宏观规划和重大政策。统筹推进我区网络安全和信息化法治、标准建设，按照规定负责相关法规、规章等的实施和监督检查，按照规定推动落实网络安全和信息化领域标准并监督实施；依法完善与信息化相关的统计调查制度。</w:t>
      </w:r>
    </w:p>
    <w:p>
      <w:pPr>
        <w:spacing w:line="580" w:lineRule="exact"/>
        <w:ind w:firstLine="480" w:firstLineChars="15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三</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统筹协调全区网络安全保障体系和可信体系建设。协调有关</w:t>
      </w:r>
      <w:r>
        <w:rPr>
          <w:rFonts w:hint="eastAsia" w:ascii="Times New Roman" w:hAnsi="Times New Roman" w:eastAsia="仿宋_GB2312"/>
          <w:color w:val="000000"/>
          <w:sz w:val="32"/>
          <w:szCs w:val="32"/>
          <w:lang w:eastAsia="zh-CN"/>
        </w:rPr>
        <w:t>单位</w:t>
      </w:r>
      <w:r>
        <w:rPr>
          <w:rFonts w:ascii="Times New Roman" w:hAnsi="Times New Roman" w:eastAsia="仿宋_GB2312"/>
          <w:color w:val="000000"/>
          <w:sz w:val="32"/>
          <w:szCs w:val="32"/>
        </w:rPr>
        <w:t>制定相关行业网络安全规划及保障评价指标体系，协调信息安全保护工作；指导推进全区党政军</w:t>
      </w:r>
      <w:r>
        <w:rPr>
          <w:rFonts w:hint="eastAsia" w:ascii="Times New Roman" w:hAnsi="Times New Roman" w:eastAsia="仿宋_GB2312"/>
          <w:color w:val="000000"/>
          <w:sz w:val="32"/>
          <w:szCs w:val="32"/>
          <w:lang w:eastAsia="zh-CN"/>
        </w:rPr>
        <w:t>单位</w:t>
      </w:r>
      <w:r>
        <w:rPr>
          <w:rFonts w:ascii="Times New Roman" w:hAnsi="Times New Roman" w:eastAsia="仿宋_GB2312"/>
          <w:color w:val="000000"/>
          <w:sz w:val="32"/>
          <w:szCs w:val="32"/>
        </w:rPr>
        <w:t>、重点行业网络安全保障和信息化工作；协调推动网络安全和信息化核心技术、关键设备等重大科技攻关，统筹推进网络安全和信息化核心技术、关键设备等重大科技攻关，统筹推进网络安全和信息化军民融合深度发展；推进网络强区建设，协调推动全区公共服务和社会治理信息化；指导全区网络安全信息共享和通报。</w:t>
      </w:r>
    </w:p>
    <w:p>
      <w:pPr>
        <w:spacing w:line="580" w:lineRule="exact"/>
        <w:ind w:firstLine="480" w:firstLineChars="15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四</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督促落实我区涉及政治、经济、文化、社会、生态及军事等各个领域网络安全和信息化重大事项；负责协调处理网络安全和信息化重大突发事件与有关应急工作。</w:t>
      </w:r>
    </w:p>
    <w:p>
      <w:pPr>
        <w:spacing w:line="58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五</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负责全区互联网信息内容管理。统筹协调组织互联网宣传管理和舆论引导工作，组织开展网上评论，指导推动网络评论队伍建设，维护互联网意识形态安全；研究拟订互联网新闻信息传播相关政策；负责互联网想信息内容监督管理执法，组织开展网络舆论生态治理，依法指导和管理本区落地网站及区内新媒体新应用，会同有关</w:t>
      </w:r>
      <w:r>
        <w:rPr>
          <w:rFonts w:hint="eastAsia" w:ascii="Times New Roman" w:hAnsi="Times New Roman" w:eastAsia="仿宋_GB2312"/>
          <w:color w:val="000000"/>
          <w:sz w:val="32"/>
          <w:szCs w:val="32"/>
          <w:lang w:eastAsia="zh-CN"/>
        </w:rPr>
        <w:t>单位</w:t>
      </w:r>
      <w:r>
        <w:rPr>
          <w:rFonts w:ascii="Times New Roman" w:hAnsi="Times New Roman" w:eastAsia="仿宋_GB2312"/>
          <w:color w:val="000000"/>
          <w:sz w:val="32"/>
          <w:szCs w:val="32"/>
        </w:rPr>
        <w:t>处置和封堵网上有害信息，依照相关法律和规定查处违法违规行为和网站。</w:t>
      </w:r>
    </w:p>
    <w:p>
      <w:pPr>
        <w:spacing w:line="58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六</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负责指导协调全区网络舆情工作。收集、分析、研判、报送和处置网络舆情信息，依法规范舆情服务市场。</w:t>
      </w:r>
    </w:p>
    <w:p>
      <w:pPr>
        <w:spacing w:line="58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七</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推动全区网络阵地建设和重点新闻网站规划建设。指导协调网络游戏、网络视听、网络出版等相关业务，推动移动互联网发展，会同有关</w:t>
      </w:r>
      <w:r>
        <w:rPr>
          <w:rFonts w:hint="eastAsia" w:ascii="Times New Roman" w:hAnsi="Times New Roman" w:eastAsia="仿宋_GB2312"/>
          <w:color w:val="000000"/>
          <w:sz w:val="32"/>
          <w:szCs w:val="32"/>
          <w:lang w:eastAsia="zh-CN"/>
        </w:rPr>
        <w:t>单位</w:t>
      </w:r>
      <w:r>
        <w:rPr>
          <w:rFonts w:ascii="Times New Roman" w:hAnsi="Times New Roman" w:eastAsia="仿宋_GB2312"/>
          <w:color w:val="000000"/>
          <w:sz w:val="32"/>
          <w:szCs w:val="32"/>
        </w:rPr>
        <w:t>推动传统媒体与新兴媒体融合发展；负责全区网站转载新闻稿源的管理。</w:t>
      </w:r>
    </w:p>
    <w:p>
      <w:pPr>
        <w:spacing w:line="58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八</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推动全区网络网社会工作和网络文化、网络文明建设；发展、联系、服务网络社会组织，指导互联网行业自律，推动网站党建工作。</w:t>
      </w:r>
    </w:p>
    <w:p>
      <w:pPr>
        <w:spacing w:line="58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九</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落实互联网信息服务资本准入和信息网络行业安全审查的有关政策。依法按程序办理全区网络新闻业务和论坛、博客、搜索引擎等具有新闻舆论及社会动员功能业务及日常监管；指导全区有关</w:t>
      </w:r>
      <w:r>
        <w:rPr>
          <w:rFonts w:hint="eastAsia" w:ascii="Times New Roman" w:hAnsi="Times New Roman" w:eastAsia="仿宋_GB2312"/>
          <w:color w:val="000000"/>
          <w:sz w:val="32"/>
          <w:szCs w:val="32"/>
          <w:lang w:eastAsia="zh-CN"/>
        </w:rPr>
        <w:t>单位</w:t>
      </w:r>
      <w:r>
        <w:rPr>
          <w:rFonts w:ascii="Times New Roman" w:hAnsi="Times New Roman" w:eastAsia="仿宋_GB2312"/>
          <w:color w:val="000000"/>
          <w:sz w:val="32"/>
          <w:szCs w:val="32"/>
        </w:rPr>
        <w:t>督促电信运营企业、接入服务企业、域名注册管理和服务机构做好域名注册、互联网地址（IP地址）分配、网站登记备案、接入以及网络行为主体身份信息核对等基础管理工作；指导协调有关</w:t>
      </w:r>
      <w:r>
        <w:rPr>
          <w:rFonts w:hint="eastAsia" w:ascii="Times New Roman" w:hAnsi="Times New Roman" w:eastAsia="仿宋_GB2312"/>
          <w:color w:val="000000"/>
          <w:sz w:val="32"/>
          <w:szCs w:val="32"/>
          <w:lang w:eastAsia="zh-CN"/>
        </w:rPr>
        <w:t>单位</w:t>
      </w:r>
      <w:r>
        <w:rPr>
          <w:rFonts w:ascii="Times New Roman" w:hAnsi="Times New Roman" w:eastAsia="仿宋_GB2312"/>
          <w:color w:val="000000"/>
          <w:sz w:val="32"/>
          <w:szCs w:val="32"/>
        </w:rPr>
        <w:t>推进新技术新应用安全评估，统筹协调全区移动互联网管理。</w:t>
      </w:r>
    </w:p>
    <w:p>
      <w:pPr>
        <w:spacing w:line="58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十</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协调推进全区信息网络行业自主创新和发展。协调开展全区互联网经济和发展态势研究，推动建立健全我区信息网络行业投融资支持服务体系、技术创新服务体系，统筹协调全区重要信息资源的开发利用与共享。</w:t>
      </w:r>
    </w:p>
    <w:p>
      <w:pPr>
        <w:spacing w:line="58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十一</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规划指导区内机构开展金融信息服务业务。组织开展全区金融信息服务市场监管；协调金融监管</w:t>
      </w:r>
      <w:r>
        <w:rPr>
          <w:rFonts w:hint="eastAsia" w:ascii="Times New Roman" w:hAnsi="Times New Roman" w:eastAsia="仿宋_GB2312"/>
          <w:color w:val="000000"/>
          <w:sz w:val="32"/>
          <w:szCs w:val="32"/>
          <w:lang w:eastAsia="zh-CN"/>
        </w:rPr>
        <w:t>单位</w:t>
      </w:r>
      <w:r>
        <w:rPr>
          <w:rFonts w:ascii="Times New Roman" w:hAnsi="Times New Roman" w:eastAsia="仿宋_GB2312"/>
          <w:color w:val="000000"/>
          <w:sz w:val="32"/>
          <w:szCs w:val="32"/>
        </w:rPr>
        <w:t>建立全区网络金融信息发布、传播监管制度及工作机制。</w:t>
      </w:r>
    </w:p>
    <w:p>
      <w:pPr>
        <w:spacing w:line="58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十二</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组织拟订网络安全和信息化干部人才队伍发展规划，组织开展万物更新系统干部教育培训和人才队伍建设，规划指导全区互联网新闻信息服务从业人员教育培训和考评工作，组织开展网络媒介素养教育。</w:t>
      </w:r>
    </w:p>
    <w:p>
      <w:pPr>
        <w:spacing w:line="58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十三</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组织开展相关领域国内国际交流与合作。</w:t>
      </w:r>
    </w:p>
    <w:p>
      <w:pPr>
        <w:spacing w:line="58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十四</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指导、检查、推动各级各</w:t>
      </w:r>
      <w:r>
        <w:rPr>
          <w:rFonts w:hint="eastAsia" w:ascii="Times New Roman" w:hAnsi="Times New Roman" w:eastAsia="仿宋_GB2312"/>
          <w:color w:val="000000"/>
          <w:sz w:val="32"/>
          <w:szCs w:val="32"/>
          <w:lang w:eastAsia="zh-CN"/>
        </w:rPr>
        <w:t>单位</w:t>
      </w:r>
      <w:r>
        <w:rPr>
          <w:rFonts w:ascii="Times New Roman" w:hAnsi="Times New Roman" w:eastAsia="仿宋_GB2312"/>
          <w:color w:val="000000"/>
          <w:sz w:val="32"/>
          <w:szCs w:val="32"/>
        </w:rPr>
        <w:t>网络安全和信息化工作。</w:t>
      </w:r>
    </w:p>
    <w:p>
      <w:pPr>
        <w:spacing w:line="58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十五</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完成省委、市委网络安全和信息化委员会办公室（省、市互联网信息办公室）和区委、区政府及区委网络安全和信息化委员会、区委宣传部交办的其他任务。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中共廊坊市广阳区委网信办</w:t>
            </w:r>
          </w:p>
        </w:tc>
        <w:tc>
          <w:tcPr>
            <w:tcW w:w="1134"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行政单位</w:t>
            </w:r>
          </w:p>
        </w:tc>
        <w:tc>
          <w:tcPr>
            <w:tcW w:w="1276"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正科级</w:t>
            </w:r>
          </w:p>
        </w:tc>
        <w:tc>
          <w:tcPr>
            <w:tcW w:w="2902"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财政拨款（行政）</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lang w:eastAsia="zh-CN"/>
        </w:rPr>
        <w:t>区单位</w:t>
      </w:r>
      <w:r>
        <w:rPr>
          <w:rFonts w:ascii="Times New Roman" w:hAnsi="Times New Roman" w:eastAsia="仿宋_GB2312" w:cs="Times New Roman"/>
          <w:sz w:val="32"/>
          <w:szCs w:val="32"/>
        </w:rPr>
        <w:t>预算的编制实行综合预算制度，即全部收入和支出都反映在预算中。</w:t>
      </w:r>
      <w:r>
        <w:rPr>
          <w:rFonts w:hint="eastAsia" w:ascii="Times New Roman" w:hAnsi="Times New Roman" w:eastAsia="仿宋_GB2312" w:cs="Times New Roman"/>
          <w:sz w:val="32"/>
          <w:szCs w:val="32"/>
          <w:lang w:val="en-US" w:eastAsia="zh-CN"/>
        </w:rPr>
        <w:t>中共</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w:t>
      </w:r>
      <w:r>
        <w:rPr>
          <w:rFonts w:hint="eastAsia" w:ascii="Times New Roman" w:hAnsi="Times New Roman" w:eastAsia="仿宋_GB2312" w:cs="Times New Roman"/>
          <w:sz w:val="32"/>
          <w:szCs w:val="32"/>
          <w:lang w:val="en-US" w:eastAsia="zh-CN"/>
        </w:rPr>
        <w:t>区委网信办</w:t>
      </w:r>
      <w:r>
        <w:rPr>
          <w:rFonts w:ascii="Times New Roman" w:hAnsi="Times New Roman" w:eastAsia="仿宋_GB2312" w:cs="Times New Roman"/>
          <w:sz w:val="32"/>
          <w:szCs w:val="32"/>
        </w:rPr>
        <w:t>机关的收支包含在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181.83</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181.83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cs="Times New Roman"/>
          <w:sz w:val="32"/>
          <w:szCs w:val="32"/>
          <w:lang w:val="en-US" w:eastAsia="zh-CN"/>
        </w:rPr>
        <w:t>中共</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w:t>
      </w:r>
      <w:r>
        <w:rPr>
          <w:rFonts w:hint="eastAsia" w:ascii="Times New Roman" w:hAnsi="Times New Roman" w:eastAsia="仿宋_GB2312" w:cs="Times New Roman"/>
          <w:sz w:val="32"/>
          <w:szCs w:val="32"/>
          <w:lang w:val="en-US" w:eastAsia="zh-CN"/>
        </w:rPr>
        <w:t>区委网信办2022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181.83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105.83</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92.66</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13.17</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76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信息安全事务支出</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lang w:val="en-US" w:eastAsia="zh-CN"/>
        </w:rPr>
        <w:t>181.83</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lang w:val="en-US" w:eastAsia="zh-CN"/>
        </w:rPr>
        <w:t>87.33</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lang w:val="en-US" w:eastAsia="zh-CN"/>
        </w:rPr>
        <w:t>11.33</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人员经费和公用经费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lang w:val="en-US" w:eastAsia="zh-CN"/>
        </w:rPr>
        <w:t>76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信息安全事务</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lang w:val="en-US" w:eastAsia="zh-CN"/>
        </w:rPr>
        <w:t>13.17</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val="en-US" w:eastAsia="zh-CN"/>
        </w:rPr>
        <w:t>广阳区康宁街2号</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hint="default" w:ascii="Times New Roman" w:hAnsi="Times New Roman" w:eastAsia="仿宋_GB2312" w:cs="Times New Roman"/>
          <w:sz w:val="32"/>
          <w:szCs w:val="32"/>
          <w:lang w:val="en-US"/>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无增减变化。</w:t>
      </w:r>
    </w:p>
    <w:p>
      <w:pPr>
        <w:spacing w:line="584" w:lineRule="exact"/>
        <w:ind w:firstLine="960" w:firstLineChars="3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960" w:firstLineChars="3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2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完善网络舆情监测研判，确保全区网络舆论安全，加强网络宣传，营造良好网络，开展网络生态治理，保障网络安全和关键信息基础设施可靠稳定，全面提升信息化建设水平。建设、管理和维护政务数据中心、网络维护中心和安全管理中心，确保各项工作顺利开展。</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完善网络舆情监测研判，确保全区网络舆论安全  </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绩效目标：通过对全网实时监测，掌握舆情状态，把握舆情的走向，便于有针对性采取措施，实现有效抑制负面影响，避免负面舆情的大规模爆发，并为领导决策提供准确、全面的信息。</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数量指标：全年监测到涉及我区的舆情信息数量≥20000条</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质量指标：重大舆情监测覆盖率=全年监测到涉及我区的重大舆情数量/全年监测到涉及我区的舆情信息总量*100%≥95%</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时效指标：全天进行舆情监测的时长=24小时</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社会效益：有效改善网络环境　</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可持续影响：持续优化网络舆情监测和处置率</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加强网络宣传，营造良好网络</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绩效目标：通过开展网络宣传，增强我区广大群众网络安全意识，提升网络安全防范技能，营造安全健康文明的网络环境和清朗有序的网络空间，保障建设经济强区、美丽广阳的实现。</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数量指标：网络安全宣传受益人数≥1000人</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质量指标：网络安全宣传区域覆盖率≥80%</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时效指标：网站上登载信息的及时性≤1天</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社会效益：拓宽广阳区网上宣传辐射范围，提升广阳区知晓率　</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可持续影响：持续开展网络安全宣传工作</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建设、管理和维护政务数据中心和网络维护中心，确保各项业务工作顺利开展</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绩效目标：通过建设、管理和维护广阳区政务数据中心、网络维护中心，有效增进政务互联互通和政务资本共享，组成广阳区电子政务收集和资本共享平台，为我区各项业务办理提供便利。</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数量指标：维护广阳区网络节点数量≥90个</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质量指标：广阳区政务外网网速达标率≥80%</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时效指标：广阳区政务网络发生故障后维护方响应时间≤30分钟</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社会效益：有效改善全区政务外网服务质量　</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可持续影响：持续向全区人民提供服务</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为进一步规范财务活动行为，有效防范财务风险，确保资金使用安全、规范，提高我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（单位）整体绩效目标，在原有的财务制度的基础上进行优化完善，规范了各项管理。具体措施如下：</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完善制度建设</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制度建设，用制度管人管事。我单位结合工作实际修订了《财务管理制度》、《资产管理办法》等，通过不断建立健全各项规章制度，为审计机关财务管理的制度化、科学化和规范化提供有力保障，强化财政履约验收，确保财政资金发挥应有的效益。</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加强支出管理</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执行经费管理制度，加强费用报销审核，切实做到支出合规、手续齐全、凭证真实有效；二是强化项目管理，坚持专项资金“谁主管、谁负责”的管理原则，各股室自行准备项目申报及审核材料，由办公室财务人员审核通过后报财政局审核，审核通过后财政</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按规定拨付资金。同时，财政局会同主管</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不定期监督检查项目资金实施进度和资金使用情况，每年抽样进行绩效评估，对查出的问题及时提出处理意见和改进措施。</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加强绩效运行监控</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绩效运行监控管理，落实绩效主体责任，我单位高效推进预算绩效运行监控工作，增强预算执行的科学性、合理性、规范性，提高财政资金使用绩效。一是监控范围全覆盖，按照“全面覆盖、突出重点”的原则，明确监控范围，对纳入预算绩效管理系统中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整体支出和项目支出，全面开展预算执行情况和绩效目标实现情况动态监控跟踪管理；二是优化填报途径，由传统的线下纸质填报转变为线上绩效系统填报，依托预算绩效管理系统进行绩效运行监控工作，进一步提高数据准确性和工作效率，并将运行监控结果报财政局审核。三是强化监控结果应用，预算单位通过绩效监控信息，深入分析预算执行进度、绩效目标实现程度等情况，对偏离绩效目标的原因进行分析，对全年绩效目标完成情况进行预计。</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做好绩效自评</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依照《广阳区财政局关于开展</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整体绩效自评》的通知，我单位每年年底对本单位执行财务纪律及有关政策情况和内部财务管理制度的建立健全、执行情况开展认真自查，及时纠正。</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规范财务资产管理</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为更加规范固定资产的管理，我单位财务人员对机关所有资产进行统一登记，对没有使用价值的固定资产进行报废处理，改善资产结构，优化资源配置，减少无效资产占用，提高资产使用效率。</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加强内部监督</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务监督是会计的基本职能之一，是我国经济监督体系的重要组成部分。为进一步加强财务监督和管理，严格财务纪律，增强财务管理工作的透明度，强化监督管理措施，保障单位各项工作的健康开展，结合我单位的实际情况，制定了《财务监督管理颁发》。</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加强宣传培训调研</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高度重视财务培训工作，准确掌握新政府会计准则制度的相关规定。为加强推进政府会计改革，提升行政事业单位财务和预算管理水平，我单位财务人员积极参加区财政组织的各种财务宣传培训会，每年在机关内部开展1-2次财务工作培训会，并由单位一把手牵头成立专门的单位内部控制领导小组，坚持全员参与，健全工作机制。</w:t>
      </w:r>
    </w:p>
    <w:p>
      <w:pPr>
        <w:numPr>
          <w:ilvl w:val="0"/>
          <w:numId w:val="1"/>
        </w:num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9"/>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95"/>
        <w:gridCol w:w="855"/>
        <w:gridCol w:w="1338"/>
        <w:gridCol w:w="2172"/>
        <w:gridCol w:w="1483"/>
        <w:gridCol w:w="543"/>
        <w:gridCol w:w="679"/>
        <w:gridCol w:w="660"/>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9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5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33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882"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999"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95" w:type="dxa"/>
            <w:vMerge w:val="continue"/>
            <w:tcBorders>
              <w:tl2br w:val="nil"/>
              <w:tr2bl w:val="nil"/>
            </w:tcBorders>
            <w:vAlign w:val="center"/>
          </w:tcPr>
          <w:p/>
        </w:tc>
        <w:tc>
          <w:tcPr>
            <w:tcW w:w="855" w:type="dxa"/>
            <w:vMerge w:val="continue"/>
            <w:tcBorders>
              <w:tl2br w:val="nil"/>
              <w:tr2bl w:val="nil"/>
            </w:tcBorders>
            <w:vAlign w:val="center"/>
          </w:tcPr>
          <w:p/>
        </w:tc>
        <w:tc>
          <w:tcPr>
            <w:tcW w:w="1338"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679"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66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999"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95" w:type="dxa"/>
            <w:vMerge w:val="restart"/>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lang w:eastAsia="zh-CN"/>
              </w:rPr>
              <w:t>单位</w:t>
            </w:r>
            <w:r>
              <w:rPr>
                <w:rFonts w:hint="eastAsia" w:ascii="方正书宋_GBK" w:eastAsia="方正书宋_GBK"/>
              </w:rPr>
              <w:t>产出</w:t>
            </w:r>
          </w:p>
        </w:tc>
        <w:tc>
          <w:tcPr>
            <w:tcW w:w="855" w:type="dxa"/>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数量</w:t>
            </w:r>
          </w:p>
        </w:tc>
        <w:tc>
          <w:tcPr>
            <w:tcW w:w="1338" w:type="dxa"/>
            <w:tcBorders>
              <w:tl2br w:val="nil"/>
              <w:tr2bl w:val="nil"/>
            </w:tcBorders>
            <w:vAlign w:val="top"/>
          </w:tcPr>
          <w:p>
            <w:pPr>
              <w:widowControl/>
              <w:adjustRightInd w:val="0"/>
              <w:snapToGrid w:val="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全年收集、分析、上报舆情信息的数量</w:t>
            </w:r>
          </w:p>
        </w:tc>
        <w:tc>
          <w:tcPr>
            <w:tcW w:w="2172" w:type="dxa"/>
            <w:tcBorders>
              <w:tl2br w:val="nil"/>
              <w:tr2bl w:val="nil"/>
            </w:tcBorders>
            <w:vAlign w:val="top"/>
          </w:tcPr>
          <w:p>
            <w:pPr>
              <w:widowControl/>
              <w:adjustRightInd w:val="0"/>
              <w:snapToGrid w:val="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分值15分，满足指标值得满分，少1条扣1分</w:t>
            </w:r>
          </w:p>
        </w:tc>
        <w:tc>
          <w:tcPr>
            <w:tcW w:w="1483" w:type="dxa"/>
            <w:tcBorders>
              <w:tl2br w:val="nil"/>
              <w:tr2bl w:val="nil"/>
            </w:tcBorders>
            <w:vAlign w:val="top"/>
          </w:tcPr>
          <w:p>
            <w:pPr>
              <w:widowControl/>
              <w:adjustRightInd w:val="0"/>
              <w:snapToGrid w:val="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全年收集、分析、上报舆情信息的数量</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w:t>
            </w:r>
          </w:p>
        </w:tc>
        <w:tc>
          <w:tcPr>
            <w:tcW w:w="679" w:type="dxa"/>
            <w:tcBorders>
              <w:tl2br w:val="nil"/>
              <w:tr2bl w:val="nil"/>
            </w:tcBorders>
            <w:vAlign w:val="center"/>
          </w:tcPr>
          <w:p>
            <w:pPr>
              <w:widowControl/>
              <w:adjustRightInd w:val="0"/>
              <w:snapToGrid w:val="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20000</w:t>
            </w:r>
          </w:p>
        </w:tc>
        <w:tc>
          <w:tcPr>
            <w:tcW w:w="660"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条</w:t>
            </w:r>
          </w:p>
        </w:tc>
        <w:tc>
          <w:tcPr>
            <w:tcW w:w="999"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年初</w:t>
            </w:r>
            <w:r>
              <w:rPr>
                <w:rFonts w:hint="eastAsia" w:ascii="仿宋_GB2312" w:hAnsi="仿宋_GB2312" w:eastAsia="仿宋_GB2312" w:cs="仿宋_GB2312"/>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5" w:type="dxa"/>
            <w:vMerge w:val="continue"/>
            <w:tcBorders>
              <w:tl2br w:val="nil"/>
              <w:tr2bl w:val="nil"/>
            </w:tcBorders>
            <w:vAlign w:val="center"/>
          </w:tcPr>
          <w:p>
            <w:pPr>
              <w:widowControl/>
              <w:adjustRightInd w:val="0"/>
              <w:snapToGrid w:val="0"/>
              <w:jc w:val="center"/>
              <w:rPr>
                <w:rFonts w:hint="eastAsia" w:ascii="方正书宋_GBK" w:eastAsia="方正书宋_GBK"/>
              </w:rPr>
            </w:pPr>
          </w:p>
        </w:tc>
        <w:tc>
          <w:tcPr>
            <w:tcW w:w="855" w:type="dxa"/>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质量</w:t>
            </w:r>
          </w:p>
        </w:tc>
        <w:tc>
          <w:tcPr>
            <w:tcW w:w="1338" w:type="dxa"/>
            <w:tcBorders>
              <w:tl2br w:val="nil"/>
              <w:tr2bl w:val="nil"/>
            </w:tcBorders>
            <w:vAlign w:val="center"/>
          </w:tcPr>
          <w:p>
            <w:pPr>
              <w:widowControl/>
              <w:adjustRightInd w:val="0"/>
              <w:snapToGrid w:val="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网络安全宣传区域覆盖率</w:t>
            </w:r>
          </w:p>
        </w:tc>
        <w:tc>
          <w:tcPr>
            <w:tcW w:w="2172" w:type="dxa"/>
            <w:tcBorders>
              <w:tl2br w:val="nil"/>
              <w:tr2bl w:val="nil"/>
            </w:tcBorders>
            <w:vAlign w:val="center"/>
          </w:tcPr>
          <w:p>
            <w:pPr>
              <w:widowControl/>
              <w:adjustRightInd w:val="0"/>
              <w:snapToGrid w:val="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分值15分，满足指标值得满分，少1%扣1分</w:t>
            </w:r>
          </w:p>
        </w:tc>
        <w:tc>
          <w:tcPr>
            <w:tcW w:w="148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网络安全宣传区域覆盖率</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w:t>
            </w:r>
          </w:p>
        </w:tc>
        <w:tc>
          <w:tcPr>
            <w:tcW w:w="679" w:type="dxa"/>
            <w:tcBorders>
              <w:tl2br w:val="nil"/>
              <w:tr2bl w:val="nil"/>
            </w:tcBorders>
            <w:vAlign w:val="center"/>
          </w:tcPr>
          <w:p>
            <w:pPr>
              <w:widowControl/>
              <w:adjustRightInd w:val="0"/>
              <w:snapToGrid w:val="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80</w:t>
            </w:r>
          </w:p>
        </w:tc>
        <w:tc>
          <w:tcPr>
            <w:tcW w:w="660"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999"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年初</w:t>
            </w:r>
            <w:r>
              <w:rPr>
                <w:rFonts w:hint="eastAsia" w:ascii="仿宋_GB2312" w:hAnsi="仿宋_GB2312" w:eastAsia="仿宋_GB2312" w:cs="仿宋_GB2312"/>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214" w:hRule="atLeast"/>
          <w:jc w:val="center"/>
        </w:trPr>
        <w:tc>
          <w:tcPr>
            <w:tcW w:w="595" w:type="dxa"/>
            <w:vMerge w:val="continue"/>
            <w:tcBorders>
              <w:tl2br w:val="nil"/>
              <w:tr2bl w:val="nil"/>
            </w:tcBorders>
            <w:vAlign w:val="center"/>
          </w:tcPr>
          <w:p>
            <w:pPr>
              <w:widowControl/>
              <w:adjustRightInd w:val="0"/>
              <w:snapToGrid w:val="0"/>
              <w:jc w:val="center"/>
              <w:rPr>
                <w:rFonts w:hint="eastAsia" w:ascii="方正书宋_GBK" w:eastAsia="方正书宋_GBK"/>
              </w:rPr>
            </w:pPr>
          </w:p>
        </w:tc>
        <w:tc>
          <w:tcPr>
            <w:tcW w:w="855" w:type="dxa"/>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时效</w:t>
            </w:r>
          </w:p>
        </w:tc>
        <w:tc>
          <w:tcPr>
            <w:tcW w:w="1338" w:type="dxa"/>
            <w:tcBorders>
              <w:tl2br w:val="nil"/>
              <w:tr2bl w:val="nil"/>
            </w:tcBorders>
            <w:vAlign w:val="center"/>
          </w:tcPr>
          <w:p>
            <w:pPr>
              <w:widowControl/>
              <w:adjustRightInd w:val="0"/>
              <w:snapToGrid w:val="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舆情事件处置时间</w:t>
            </w:r>
          </w:p>
        </w:tc>
        <w:tc>
          <w:tcPr>
            <w:tcW w:w="2172" w:type="dxa"/>
            <w:tcBorders>
              <w:tl2br w:val="nil"/>
              <w:tr2bl w:val="nil"/>
            </w:tcBorders>
            <w:vAlign w:val="center"/>
          </w:tcPr>
          <w:p>
            <w:pPr>
              <w:widowControl/>
              <w:adjustRightInd w:val="0"/>
              <w:snapToGrid w:val="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分值15分，满足指标值得满分，少1分钟扣1分</w:t>
            </w:r>
          </w:p>
        </w:tc>
        <w:tc>
          <w:tcPr>
            <w:tcW w:w="1483" w:type="dxa"/>
            <w:tcBorders>
              <w:tl2br w:val="nil"/>
              <w:tr2bl w:val="nil"/>
            </w:tcBorders>
            <w:vAlign w:val="center"/>
          </w:tcPr>
          <w:p>
            <w:pPr>
              <w:widowControl/>
              <w:adjustRightInd w:val="0"/>
              <w:snapToGrid w:val="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舆情监测事件从发现到处理的时间</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宋体" w:hAnsi="宋体" w:eastAsia="宋体" w:cs="宋体"/>
                <w:lang w:val="en-US" w:eastAsia="zh-CN"/>
              </w:rPr>
              <w:t>≦</w:t>
            </w:r>
          </w:p>
        </w:tc>
        <w:tc>
          <w:tcPr>
            <w:tcW w:w="679"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660"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小时</w:t>
            </w:r>
          </w:p>
        </w:tc>
        <w:tc>
          <w:tcPr>
            <w:tcW w:w="999"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年初计划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5" w:type="dxa"/>
            <w:vMerge w:val="continue"/>
            <w:tcBorders>
              <w:tl2br w:val="nil"/>
              <w:tr2bl w:val="nil"/>
            </w:tcBorders>
            <w:vAlign w:val="center"/>
          </w:tcPr>
          <w:p>
            <w:pPr>
              <w:widowControl/>
              <w:adjustRightInd w:val="0"/>
              <w:snapToGrid w:val="0"/>
              <w:jc w:val="center"/>
              <w:rPr>
                <w:rFonts w:hint="eastAsia" w:ascii="方正书宋_GBK" w:eastAsia="方正书宋_GBK"/>
              </w:rPr>
            </w:pPr>
          </w:p>
        </w:tc>
        <w:tc>
          <w:tcPr>
            <w:tcW w:w="855" w:type="dxa"/>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成本</w:t>
            </w:r>
          </w:p>
        </w:tc>
        <w:tc>
          <w:tcPr>
            <w:tcW w:w="1338" w:type="dxa"/>
            <w:tcBorders>
              <w:tl2br w:val="nil"/>
              <w:tr2bl w:val="nil"/>
            </w:tcBorders>
            <w:vAlign w:val="center"/>
          </w:tcPr>
          <w:p>
            <w:pPr>
              <w:widowControl/>
              <w:adjustRightInd w:val="0"/>
              <w:snapToGrid w:val="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网信单位整体支出标准</w:t>
            </w:r>
          </w:p>
        </w:tc>
        <w:tc>
          <w:tcPr>
            <w:tcW w:w="2172" w:type="dxa"/>
            <w:tcBorders>
              <w:tl2br w:val="nil"/>
              <w:tr2bl w:val="nil"/>
            </w:tcBorders>
            <w:vAlign w:val="center"/>
          </w:tcPr>
          <w:p>
            <w:pPr>
              <w:widowControl/>
              <w:adjustRightInd w:val="0"/>
              <w:snapToGrid w:val="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分值15分，满足指标值得满分，不满足不得分</w:t>
            </w:r>
          </w:p>
        </w:tc>
        <w:tc>
          <w:tcPr>
            <w:tcW w:w="1483" w:type="dxa"/>
            <w:tcBorders>
              <w:tl2br w:val="nil"/>
              <w:tr2bl w:val="nil"/>
            </w:tcBorders>
            <w:vAlign w:val="center"/>
          </w:tcPr>
          <w:p>
            <w:pPr>
              <w:widowControl/>
              <w:adjustRightInd w:val="0"/>
              <w:snapToGrid w:val="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网信单位整体支出标准</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文字描述</w:t>
            </w:r>
          </w:p>
        </w:tc>
        <w:tc>
          <w:tcPr>
            <w:tcW w:w="679"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p>
        </w:tc>
        <w:tc>
          <w:tcPr>
            <w:tcW w:w="660"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按统一规定执行</w:t>
            </w:r>
          </w:p>
        </w:tc>
        <w:tc>
          <w:tcPr>
            <w:tcW w:w="999" w:type="dxa"/>
            <w:tcBorders>
              <w:tl2br w:val="nil"/>
              <w:tr2bl w:val="nil"/>
            </w:tcBorders>
            <w:vAlign w:val="top"/>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445" w:hRule="atLeast"/>
          <w:jc w:val="center"/>
        </w:trPr>
        <w:tc>
          <w:tcPr>
            <w:tcW w:w="595" w:type="dxa"/>
            <w:vMerge w:val="restart"/>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855" w:type="dxa"/>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社会</w:t>
            </w:r>
          </w:p>
          <w:p>
            <w:pPr>
              <w:widowControl/>
              <w:adjustRightInd w:val="0"/>
              <w:snapToGrid w:val="0"/>
              <w:jc w:val="center"/>
              <w:rPr>
                <w:rFonts w:hint="eastAsia" w:ascii="方正书宋_GBK" w:eastAsia="方正书宋_GBK"/>
              </w:rPr>
            </w:pPr>
            <w:r>
              <w:rPr>
                <w:rFonts w:hint="eastAsia" w:ascii="方正书宋_GBK" w:eastAsia="方正书宋_GBK"/>
              </w:rPr>
              <w:t>效益</w:t>
            </w:r>
          </w:p>
        </w:tc>
        <w:tc>
          <w:tcPr>
            <w:tcW w:w="1338" w:type="dxa"/>
            <w:tcBorders>
              <w:tl2br w:val="nil"/>
              <w:tr2bl w:val="nil"/>
            </w:tcBorders>
            <w:vAlign w:val="center"/>
          </w:tcPr>
          <w:p>
            <w:pPr>
              <w:widowControl/>
              <w:adjustRightInd w:val="0"/>
              <w:snapToGrid w:val="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有效改善全民上网环境</w:t>
            </w:r>
          </w:p>
        </w:tc>
        <w:tc>
          <w:tcPr>
            <w:tcW w:w="2172"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分值15分，满足指标值得满分，不满足不得分</w:t>
            </w:r>
          </w:p>
        </w:tc>
        <w:tc>
          <w:tcPr>
            <w:tcW w:w="1483" w:type="dxa"/>
            <w:tcBorders>
              <w:tl2br w:val="nil"/>
              <w:tr2bl w:val="nil"/>
            </w:tcBorders>
            <w:vAlign w:val="center"/>
          </w:tcPr>
          <w:p>
            <w:pPr>
              <w:widowControl/>
              <w:adjustRightInd w:val="0"/>
              <w:snapToGrid w:val="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有效改善全民上网环境</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文字描述</w:t>
            </w:r>
          </w:p>
        </w:tc>
        <w:tc>
          <w:tcPr>
            <w:tcW w:w="679"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p>
        </w:tc>
        <w:tc>
          <w:tcPr>
            <w:tcW w:w="660"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改善</w:t>
            </w:r>
          </w:p>
        </w:tc>
        <w:tc>
          <w:tcPr>
            <w:tcW w:w="999"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年初计划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7" w:hRule="atLeast"/>
          <w:jc w:val="center"/>
        </w:trPr>
        <w:tc>
          <w:tcPr>
            <w:tcW w:w="595" w:type="dxa"/>
            <w:vMerge w:val="continue"/>
            <w:tcBorders>
              <w:tl2br w:val="nil"/>
              <w:tr2bl w:val="nil"/>
            </w:tcBorders>
            <w:vAlign w:val="center"/>
          </w:tcPr>
          <w:p>
            <w:pPr>
              <w:widowControl/>
              <w:adjustRightInd w:val="0"/>
              <w:snapToGrid w:val="0"/>
              <w:jc w:val="center"/>
              <w:rPr>
                <w:rFonts w:hint="eastAsia" w:ascii="方正书宋_GBK" w:eastAsia="方正书宋_GBK"/>
              </w:rPr>
            </w:pPr>
          </w:p>
        </w:tc>
        <w:tc>
          <w:tcPr>
            <w:tcW w:w="855"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可持续影响指标</w:t>
            </w:r>
          </w:p>
        </w:tc>
        <w:tc>
          <w:tcPr>
            <w:tcW w:w="1338" w:type="dxa"/>
            <w:tcBorders>
              <w:tl2br w:val="nil"/>
              <w:tr2bl w:val="nil"/>
            </w:tcBorders>
            <w:vAlign w:val="top"/>
          </w:tcPr>
          <w:p>
            <w:pPr>
              <w:widowControl/>
              <w:adjustRightInd w:val="0"/>
              <w:snapToGrid w:val="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持续向全区群众提供服务</w:t>
            </w:r>
          </w:p>
        </w:tc>
        <w:tc>
          <w:tcPr>
            <w:tcW w:w="2172" w:type="dxa"/>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分值15分，满足指标值得满分，不满足不得分</w:t>
            </w:r>
          </w:p>
        </w:tc>
        <w:tc>
          <w:tcPr>
            <w:tcW w:w="1483" w:type="dxa"/>
            <w:tcBorders>
              <w:tl2br w:val="nil"/>
              <w:tr2bl w:val="nil"/>
            </w:tcBorders>
            <w:vAlign w:val="center"/>
          </w:tcPr>
          <w:p>
            <w:pPr>
              <w:widowControl/>
              <w:adjustRightInd w:val="0"/>
              <w:snapToGrid w:val="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持续向全区群众提供服务</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文字描述</w:t>
            </w:r>
          </w:p>
        </w:tc>
        <w:tc>
          <w:tcPr>
            <w:tcW w:w="679"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p>
        </w:tc>
        <w:tc>
          <w:tcPr>
            <w:tcW w:w="660"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可持续</w:t>
            </w:r>
          </w:p>
        </w:tc>
        <w:tc>
          <w:tcPr>
            <w:tcW w:w="999" w:type="dxa"/>
            <w:tcBorders>
              <w:tl2br w:val="nil"/>
              <w:tr2bl w:val="nil"/>
            </w:tcBorders>
            <w:vAlign w:val="center"/>
          </w:tcPr>
          <w:p>
            <w:pPr>
              <w:widowControl/>
              <w:adjustRightInd w:val="0"/>
              <w:snapToGrid w:val="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年初计划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95" w:type="dxa"/>
            <w:vMerge w:val="continue"/>
            <w:tcBorders>
              <w:tl2br w:val="nil"/>
              <w:tr2bl w:val="nil"/>
            </w:tcBorders>
            <w:vAlign w:val="center"/>
          </w:tcPr>
          <w:p>
            <w:pPr>
              <w:widowControl/>
              <w:adjustRightInd w:val="0"/>
              <w:snapToGrid w:val="0"/>
              <w:jc w:val="center"/>
              <w:rPr>
                <w:rFonts w:hint="eastAsia" w:ascii="方正书宋_GBK" w:eastAsia="方正书宋_GBK"/>
              </w:rPr>
            </w:pPr>
          </w:p>
        </w:tc>
        <w:tc>
          <w:tcPr>
            <w:tcW w:w="855" w:type="dxa"/>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满意度</w:t>
            </w:r>
          </w:p>
        </w:tc>
        <w:tc>
          <w:tcPr>
            <w:tcW w:w="1338" w:type="dxa"/>
            <w:tcBorders>
              <w:tl2br w:val="nil"/>
              <w:tr2bl w:val="nil"/>
            </w:tcBorders>
            <w:noWrap/>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服务对象满意人数占总人数的比率</w:t>
            </w:r>
          </w:p>
        </w:tc>
        <w:tc>
          <w:tcPr>
            <w:tcW w:w="2172" w:type="dxa"/>
            <w:tcBorders>
              <w:tl2br w:val="nil"/>
              <w:tr2bl w:val="nil"/>
            </w:tcBorders>
            <w:noWrap/>
            <w:vAlign w:val="center"/>
          </w:tcPr>
          <w:p>
            <w:pPr>
              <w:widowControl/>
              <w:adjustRightInd w:val="0"/>
              <w:snapToGrid w:val="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分值10分，满足指标值得满分，少1%扣1分</w:t>
            </w:r>
          </w:p>
        </w:tc>
        <w:tc>
          <w:tcPr>
            <w:tcW w:w="1483" w:type="dxa"/>
            <w:tcBorders>
              <w:tl2br w:val="nil"/>
              <w:tr2bl w:val="nil"/>
            </w:tcBorders>
            <w:noWrap/>
            <w:vAlign w:val="center"/>
          </w:tcPr>
          <w:p>
            <w:pPr>
              <w:widowControl/>
              <w:adjustRightInd w:val="0"/>
              <w:snapToGrid w:val="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服务对象满意人数占总人数的比率</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w:t>
            </w:r>
          </w:p>
        </w:tc>
        <w:tc>
          <w:tcPr>
            <w:tcW w:w="679"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90</w:t>
            </w:r>
          </w:p>
        </w:tc>
        <w:tc>
          <w:tcPr>
            <w:tcW w:w="660"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999"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调查问卷</w:t>
            </w:r>
          </w:p>
        </w:tc>
      </w:tr>
    </w:tbl>
    <w:p>
      <w:pPr>
        <w:numPr>
          <w:ilvl w:val="0"/>
          <w:numId w:val="0"/>
        </w:numPr>
        <w:overflowPunct w:val="0"/>
        <w:adjustRightInd w:val="0"/>
        <w:snapToGrid w:val="0"/>
        <w:spacing w:after="156" w:afterLines="50" w:line="580" w:lineRule="exact"/>
        <w:jc w:val="left"/>
        <w:rPr>
          <w:rFonts w:hint="eastAsia" w:ascii="楷体_GB2312" w:eastAsia="楷体_GB2312" w:cs="Times New Roman"/>
          <w:b/>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w:t>
      </w:r>
      <w:r>
        <w:rPr>
          <w:rFonts w:hint="eastAsia" w:ascii="仿宋_GB2312" w:hAnsi="仿宋_GB2312" w:eastAsia="仿宋_GB2312" w:cs="仿宋_GB2312"/>
          <w:color w:val="000000"/>
          <w:sz w:val="28"/>
        </w:rPr>
        <w:t>广阳区政务外网服务项目</w:t>
      </w:r>
      <w:r>
        <w:rPr>
          <w:rFonts w:hint="eastAsia" w:ascii="仿宋_GB2312" w:hAnsi="仿宋_GB2312" w:eastAsia="仿宋_GB2312" w:cs="仿宋_GB2312"/>
          <w:color w:val="000000"/>
          <w:sz w:val="28"/>
          <w:lang w:val="en-US" w:eastAsia="zh-CN"/>
        </w:rPr>
        <w:t>经费</w:t>
      </w:r>
      <w:r>
        <w:rPr>
          <w:rFonts w:hint="eastAsia" w:ascii="仿宋_GB2312" w:hAnsi="仿宋_GB2312" w:eastAsia="仿宋_GB2312" w:cs="仿宋_GB2312"/>
          <w:sz w:val="28"/>
        </w:rPr>
        <w:t>绩效目标表</w:t>
      </w:r>
      <w:bookmarkStart w:id="0" w:name="_Toc29799657"/>
      <w:bookmarkEnd w:id="0"/>
    </w:p>
    <w:p>
      <w:pPr>
        <w:spacing w:line="14" w:lineRule="exact"/>
        <w:ind w:firstLine="420" w:firstLineChars="200"/>
        <w:jc w:val="center"/>
        <w:rPr>
          <w:rFonts w:hint="eastAsia" w:ascii="仿宋_GB2312" w:hAnsi="仿宋_GB2312" w:eastAsia="仿宋_GB2312" w:cs="仿宋_GB2312"/>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6"/>
        <w:gridCol w:w="2186"/>
        <w:gridCol w:w="2467"/>
        <w:gridCol w:w="3973"/>
        <w:gridCol w:w="1655"/>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626"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436"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通过此项目的开展，主要解决广阳区政务外网运行不畅等不利影响，确保我区政务</w:t>
            </w:r>
            <w:r>
              <w:rPr>
                <w:rFonts w:hint="eastAsia" w:ascii="仿宋_GB2312" w:hAnsi="仿宋_GB2312" w:eastAsia="仿宋_GB2312" w:cs="仿宋_GB2312"/>
                <w:lang w:eastAsia="zh-CN"/>
              </w:rPr>
              <w:t>单位</w:t>
            </w:r>
            <w:r>
              <w:rPr>
                <w:rFonts w:hint="eastAsia" w:ascii="仿宋_GB2312" w:hAnsi="仿宋_GB2312" w:eastAsia="仿宋_GB2312" w:cs="仿宋_GB2312"/>
              </w:rPr>
              <w:t>面向社会的各种业务的正常开展。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626"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186"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467"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97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6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626"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186" w:type="dxa"/>
            <w:shd w:val="clear" w:color="auto" w:fill="auto"/>
            <w:vAlign w:val="center"/>
          </w:tcPr>
          <w:p>
            <w:pPr>
              <w:pStyle w:val="15"/>
              <w:jc w:val="center"/>
              <w:rPr>
                <w:rFonts w:hint="eastAsia" w:ascii="仿宋_GB2312" w:hAnsi="仿宋_GB2312" w:eastAsia="仿宋_GB2312" w:cs="仿宋_GB2312"/>
              </w:rPr>
            </w:pPr>
            <w:r>
              <w:rPr>
                <w:rFonts w:hint="eastAsia" w:ascii="仿宋_GB2312" w:hAnsi="仿宋_GB2312" w:eastAsia="仿宋_GB2312" w:cs="仿宋_GB2312"/>
              </w:rPr>
              <w:t>数量指标</w:t>
            </w:r>
          </w:p>
        </w:tc>
        <w:tc>
          <w:tcPr>
            <w:tcW w:w="2467"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服务节点数量</w:t>
            </w:r>
          </w:p>
        </w:tc>
        <w:tc>
          <w:tcPr>
            <w:tcW w:w="3973"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服务广阳区政务外网网络节点数量</w:t>
            </w:r>
          </w:p>
        </w:tc>
        <w:tc>
          <w:tcPr>
            <w:tcW w:w="1655"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≥90个</w:t>
            </w:r>
          </w:p>
        </w:tc>
        <w:tc>
          <w:tcPr>
            <w:tcW w:w="2155" w:type="dxa"/>
            <w:shd w:val="clear" w:color="auto" w:fill="auto"/>
            <w:vAlign w:val="center"/>
          </w:tcPr>
          <w:p>
            <w:pPr>
              <w:pStyle w:val="15"/>
              <w:jc w:val="center"/>
              <w:rPr>
                <w:rFonts w:hint="eastAsia" w:ascii="仿宋_GB2312" w:hAnsi="仿宋_GB2312" w:eastAsia="仿宋_GB2312" w:cs="仿宋_GB2312"/>
              </w:rPr>
            </w:pPr>
            <w:r>
              <w:rPr>
                <w:rFonts w:hint="eastAsia" w:ascii="仿宋_GB2312" w:hAnsi="仿宋_GB2312" w:eastAsia="仿宋_GB2312" w:cs="仿宋_GB231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626" w:type="dxa"/>
            <w:vMerge w:val="continue"/>
            <w:shd w:val="clear" w:color="auto" w:fill="auto"/>
            <w:vAlign w:val="center"/>
          </w:tcPr>
          <w:p>
            <w:pPr>
              <w:rPr>
                <w:rFonts w:hint="eastAsia" w:ascii="仿宋_GB2312" w:hAnsi="仿宋_GB2312" w:eastAsia="仿宋_GB2312" w:cs="仿宋_GB2312"/>
              </w:rPr>
            </w:pPr>
          </w:p>
        </w:tc>
        <w:tc>
          <w:tcPr>
            <w:tcW w:w="2186" w:type="dxa"/>
            <w:shd w:val="clear" w:color="auto" w:fill="auto"/>
            <w:vAlign w:val="center"/>
          </w:tcPr>
          <w:p>
            <w:pPr>
              <w:pStyle w:val="15"/>
              <w:jc w:val="center"/>
              <w:rPr>
                <w:rFonts w:hint="eastAsia" w:ascii="仿宋_GB2312" w:hAnsi="仿宋_GB2312" w:eastAsia="仿宋_GB2312" w:cs="仿宋_GB2312"/>
              </w:rPr>
            </w:pPr>
            <w:r>
              <w:rPr>
                <w:rFonts w:hint="eastAsia" w:ascii="仿宋_GB2312" w:hAnsi="仿宋_GB2312" w:eastAsia="仿宋_GB2312" w:cs="仿宋_GB2312"/>
              </w:rPr>
              <w:t>质量指标</w:t>
            </w:r>
          </w:p>
        </w:tc>
        <w:tc>
          <w:tcPr>
            <w:tcW w:w="2467"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网速达标率</w:t>
            </w:r>
          </w:p>
        </w:tc>
        <w:tc>
          <w:tcPr>
            <w:tcW w:w="3973"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政务外网网速达标率</w:t>
            </w:r>
          </w:p>
        </w:tc>
        <w:tc>
          <w:tcPr>
            <w:tcW w:w="1655"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5"/>
              <w:jc w:val="center"/>
              <w:rPr>
                <w:rFonts w:hint="eastAsia" w:ascii="仿宋_GB2312" w:hAnsi="仿宋_GB2312" w:eastAsia="仿宋_GB2312" w:cs="仿宋_GB2312"/>
              </w:rPr>
            </w:pPr>
            <w:r>
              <w:rPr>
                <w:rFonts w:hint="eastAsia" w:ascii="仿宋_GB2312" w:hAnsi="仿宋_GB2312" w:eastAsia="仿宋_GB2312" w:cs="仿宋_GB231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626" w:type="dxa"/>
            <w:vMerge w:val="continue"/>
            <w:shd w:val="clear" w:color="auto" w:fill="auto"/>
            <w:vAlign w:val="center"/>
          </w:tcPr>
          <w:p>
            <w:pPr>
              <w:rPr>
                <w:rFonts w:hint="eastAsia" w:ascii="仿宋_GB2312" w:hAnsi="仿宋_GB2312" w:eastAsia="仿宋_GB2312" w:cs="仿宋_GB2312"/>
              </w:rPr>
            </w:pPr>
          </w:p>
        </w:tc>
        <w:tc>
          <w:tcPr>
            <w:tcW w:w="2186" w:type="dxa"/>
            <w:shd w:val="clear" w:color="auto" w:fill="auto"/>
            <w:vAlign w:val="center"/>
          </w:tcPr>
          <w:p>
            <w:pPr>
              <w:pStyle w:val="15"/>
              <w:jc w:val="center"/>
              <w:rPr>
                <w:rFonts w:hint="eastAsia" w:ascii="仿宋_GB2312" w:hAnsi="仿宋_GB2312" w:eastAsia="仿宋_GB2312" w:cs="仿宋_GB2312"/>
              </w:rPr>
            </w:pPr>
            <w:r>
              <w:rPr>
                <w:rFonts w:hint="eastAsia" w:ascii="仿宋_GB2312" w:hAnsi="仿宋_GB2312" w:eastAsia="仿宋_GB2312" w:cs="仿宋_GB2312"/>
              </w:rPr>
              <w:t>时效指标</w:t>
            </w:r>
          </w:p>
        </w:tc>
        <w:tc>
          <w:tcPr>
            <w:tcW w:w="2467"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故障后响应时间</w:t>
            </w:r>
          </w:p>
        </w:tc>
        <w:tc>
          <w:tcPr>
            <w:tcW w:w="3973"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发生故障后申告响应时间</w:t>
            </w:r>
          </w:p>
        </w:tc>
        <w:tc>
          <w:tcPr>
            <w:tcW w:w="1655"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≤30分钟</w:t>
            </w:r>
          </w:p>
        </w:tc>
        <w:tc>
          <w:tcPr>
            <w:tcW w:w="2155" w:type="dxa"/>
            <w:shd w:val="clear" w:color="auto" w:fill="auto"/>
            <w:vAlign w:val="center"/>
          </w:tcPr>
          <w:p>
            <w:pPr>
              <w:pStyle w:val="15"/>
              <w:jc w:val="center"/>
              <w:rPr>
                <w:rFonts w:hint="eastAsia" w:ascii="仿宋_GB2312" w:hAnsi="仿宋_GB2312" w:eastAsia="仿宋_GB2312" w:cs="仿宋_GB2312"/>
              </w:rPr>
            </w:pPr>
            <w:r>
              <w:rPr>
                <w:rFonts w:hint="eastAsia" w:ascii="仿宋_GB2312" w:hAnsi="仿宋_GB2312" w:eastAsia="仿宋_GB2312" w:cs="仿宋_GB2312"/>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626" w:type="dxa"/>
            <w:vMerge w:val="continue"/>
            <w:shd w:val="clear" w:color="auto" w:fill="auto"/>
            <w:vAlign w:val="center"/>
          </w:tcPr>
          <w:p>
            <w:pPr>
              <w:rPr>
                <w:rFonts w:hint="eastAsia" w:ascii="仿宋_GB2312" w:hAnsi="仿宋_GB2312" w:eastAsia="仿宋_GB2312" w:cs="仿宋_GB2312"/>
              </w:rPr>
            </w:pPr>
          </w:p>
        </w:tc>
        <w:tc>
          <w:tcPr>
            <w:tcW w:w="2186" w:type="dxa"/>
            <w:shd w:val="clear" w:color="auto" w:fill="auto"/>
            <w:vAlign w:val="center"/>
          </w:tcPr>
          <w:p>
            <w:pPr>
              <w:pStyle w:val="15"/>
              <w:jc w:val="center"/>
              <w:rPr>
                <w:rFonts w:hint="eastAsia" w:ascii="仿宋_GB2312" w:hAnsi="仿宋_GB2312" w:eastAsia="仿宋_GB2312" w:cs="仿宋_GB2312"/>
              </w:rPr>
            </w:pPr>
            <w:r>
              <w:rPr>
                <w:rFonts w:hint="eastAsia" w:ascii="仿宋_GB2312" w:hAnsi="仿宋_GB2312" w:eastAsia="仿宋_GB2312" w:cs="仿宋_GB2312"/>
              </w:rPr>
              <w:t>成本指标</w:t>
            </w:r>
          </w:p>
        </w:tc>
        <w:tc>
          <w:tcPr>
            <w:tcW w:w="2467"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成本节约率</w:t>
            </w:r>
          </w:p>
        </w:tc>
        <w:tc>
          <w:tcPr>
            <w:tcW w:w="3973"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全年我区政务外网运维费用</w:t>
            </w:r>
          </w:p>
        </w:tc>
        <w:tc>
          <w:tcPr>
            <w:tcW w:w="1655"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≤56万元</w:t>
            </w:r>
          </w:p>
        </w:tc>
        <w:tc>
          <w:tcPr>
            <w:tcW w:w="2155" w:type="dxa"/>
            <w:shd w:val="clear" w:color="auto" w:fill="auto"/>
            <w:vAlign w:val="center"/>
          </w:tcPr>
          <w:p>
            <w:pPr>
              <w:pStyle w:val="15"/>
              <w:jc w:val="center"/>
              <w:rPr>
                <w:rFonts w:hint="eastAsia" w:ascii="仿宋_GB2312" w:hAnsi="仿宋_GB2312" w:eastAsia="仿宋_GB2312" w:cs="仿宋_GB2312"/>
              </w:rPr>
            </w:pPr>
            <w:r>
              <w:rPr>
                <w:rFonts w:hint="eastAsia" w:ascii="仿宋_GB2312" w:hAnsi="仿宋_GB2312" w:eastAsia="仿宋_GB2312" w:cs="仿宋_GB2312"/>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626"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186" w:type="dxa"/>
            <w:shd w:val="clear" w:color="auto" w:fill="auto"/>
            <w:vAlign w:val="center"/>
          </w:tcPr>
          <w:p>
            <w:pPr>
              <w:pStyle w:val="15"/>
              <w:jc w:val="center"/>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467"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改善全区政务外网质量</w:t>
            </w:r>
          </w:p>
        </w:tc>
        <w:tc>
          <w:tcPr>
            <w:tcW w:w="3973"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有效改善全区政务外网服务质量</w:t>
            </w:r>
          </w:p>
        </w:tc>
        <w:tc>
          <w:tcPr>
            <w:tcW w:w="1655"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改善</w:t>
            </w:r>
          </w:p>
        </w:tc>
        <w:tc>
          <w:tcPr>
            <w:tcW w:w="2155" w:type="dxa"/>
            <w:shd w:val="clear" w:color="auto" w:fill="auto"/>
            <w:vAlign w:val="center"/>
          </w:tcPr>
          <w:p>
            <w:pPr>
              <w:pStyle w:val="15"/>
              <w:jc w:val="center"/>
              <w:rPr>
                <w:rFonts w:hint="eastAsia" w:ascii="仿宋_GB2312" w:hAnsi="仿宋_GB2312" w:eastAsia="仿宋_GB2312" w:cs="仿宋_GB2312"/>
              </w:rPr>
            </w:pPr>
            <w:r>
              <w:rPr>
                <w:rFonts w:hint="eastAsia" w:ascii="仿宋_GB2312" w:hAnsi="仿宋_GB2312" w:eastAsia="仿宋_GB2312" w:cs="仿宋_GB231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626" w:type="dxa"/>
            <w:vMerge w:val="continue"/>
            <w:shd w:val="clear" w:color="auto" w:fill="auto"/>
            <w:vAlign w:val="center"/>
          </w:tcPr>
          <w:p>
            <w:pPr>
              <w:rPr>
                <w:rFonts w:hint="eastAsia" w:ascii="仿宋_GB2312" w:hAnsi="仿宋_GB2312" w:eastAsia="仿宋_GB2312" w:cs="仿宋_GB2312"/>
              </w:rPr>
            </w:pPr>
          </w:p>
        </w:tc>
        <w:tc>
          <w:tcPr>
            <w:tcW w:w="2186" w:type="dxa"/>
            <w:shd w:val="clear" w:color="auto" w:fill="auto"/>
            <w:vAlign w:val="center"/>
          </w:tcPr>
          <w:p>
            <w:pPr>
              <w:pStyle w:val="15"/>
              <w:jc w:val="center"/>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2467"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向全区提供服务</w:t>
            </w:r>
          </w:p>
        </w:tc>
        <w:tc>
          <w:tcPr>
            <w:tcW w:w="3973"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向全区人民提供业务服务支撑</w:t>
            </w:r>
          </w:p>
        </w:tc>
        <w:tc>
          <w:tcPr>
            <w:tcW w:w="1655"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可持续</w:t>
            </w:r>
          </w:p>
        </w:tc>
        <w:tc>
          <w:tcPr>
            <w:tcW w:w="2155" w:type="dxa"/>
            <w:shd w:val="clear" w:color="auto" w:fill="auto"/>
            <w:vAlign w:val="center"/>
          </w:tcPr>
          <w:p>
            <w:pPr>
              <w:pStyle w:val="15"/>
              <w:jc w:val="center"/>
              <w:rPr>
                <w:rFonts w:hint="eastAsia" w:ascii="仿宋_GB2312" w:hAnsi="仿宋_GB2312" w:eastAsia="仿宋_GB2312" w:cs="仿宋_GB2312"/>
              </w:rPr>
            </w:pPr>
            <w:r>
              <w:rPr>
                <w:rFonts w:hint="eastAsia" w:ascii="仿宋_GB2312" w:hAnsi="仿宋_GB2312" w:eastAsia="仿宋_GB2312" w:cs="仿宋_GB231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626"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186"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467"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广阳区人民满意度</w:t>
            </w:r>
          </w:p>
        </w:tc>
        <w:tc>
          <w:tcPr>
            <w:tcW w:w="397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全区满意人员数量占总人数的比率</w:t>
            </w:r>
          </w:p>
        </w:tc>
        <w:tc>
          <w:tcPr>
            <w:tcW w:w="1655"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≥90%</w:t>
            </w:r>
          </w:p>
        </w:tc>
        <w:tc>
          <w:tcPr>
            <w:tcW w:w="2155" w:type="dxa"/>
            <w:shd w:val="clear" w:color="auto" w:fill="auto"/>
            <w:vAlign w:val="center"/>
          </w:tcPr>
          <w:p>
            <w:pPr>
              <w:pStyle w:val="15"/>
              <w:jc w:val="center"/>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2.</w:t>
      </w:r>
      <w:r>
        <w:rPr>
          <w:rFonts w:hint="eastAsia" w:ascii="仿宋_GB2312" w:hAnsi="仿宋_GB2312" w:eastAsia="仿宋_GB2312" w:cs="仿宋_GB2312"/>
          <w:color w:val="000000"/>
          <w:sz w:val="28"/>
        </w:rPr>
        <w:t>舆情监测系统服务项目经费绩效目标表</w:t>
      </w:r>
    </w:p>
    <w:p>
      <w:pPr>
        <w:spacing w:line="14" w:lineRule="exact"/>
        <w:ind w:firstLine="420" w:firstLineChars="200"/>
        <w:jc w:val="center"/>
        <w:rPr>
          <w:rFonts w:hint="eastAsia" w:ascii="仿宋_GB2312" w:hAnsi="仿宋_GB2312" w:eastAsia="仿宋_GB2312" w:cs="仿宋_GB2312"/>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9"/>
        <w:gridCol w:w="1813"/>
        <w:gridCol w:w="3574"/>
        <w:gridCol w:w="4106"/>
        <w:gridCol w:w="1467"/>
        <w:gridCol w:w="17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5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70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sz w:val="24"/>
                <w:szCs w:val="24"/>
              </w:rPr>
              <w:t>通过此项目的开展，实时对突发公共事件的媒体报道和公众舆论信息进行统计分析，自动生成舆情监测专报，及时处理解决，避免造成社会负面影响。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5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81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3574"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4106"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467"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17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35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813" w:type="dxa"/>
            <w:shd w:val="clear" w:color="auto" w:fill="auto"/>
            <w:vAlign w:val="center"/>
          </w:tcPr>
          <w:p>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数量指标</w:t>
            </w:r>
          </w:p>
        </w:tc>
        <w:tc>
          <w:tcPr>
            <w:tcW w:w="3574" w:type="dxa"/>
            <w:shd w:val="clear" w:color="auto" w:fill="auto"/>
            <w:vAlign w:val="center"/>
          </w:tcPr>
          <w:p>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舆情信息数量</w:t>
            </w:r>
          </w:p>
        </w:tc>
        <w:tc>
          <w:tcPr>
            <w:tcW w:w="4106" w:type="dxa"/>
            <w:shd w:val="clear" w:color="auto" w:fill="auto"/>
            <w:vAlign w:val="center"/>
          </w:tcPr>
          <w:p>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全年监测到涉及我区的舆情信息数量</w:t>
            </w:r>
          </w:p>
        </w:tc>
        <w:tc>
          <w:tcPr>
            <w:tcW w:w="1467" w:type="dxa"/>
            <w:shd w:val="clear" w:color="auto" w:fill="auto"/>
            <w:vAlign w:val="center"/>
          </w:tcPr>
          <w:p>
            <w:pPr>
              <w:pStyle w:val="15"/>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≥20000条</w:t>
            </w:r>
          </w:p>
        </w:tc>
        <w:tc>
          <w:tcPr>
            <w:tcW w:w="1743" w:type="dxa"/>
            <w:shd w:val="clear" w:color="auto" w:fill="auto"/>
            <w:vAlign w:val="center"/>
          </w:tcPr>
          <w:p>
            <w:pPr>
              <w:pStyle w:val="15"/>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65" w:hRule="atLeast"/>
          <w:jc w:val="center"/>
        </w:trPr>
        <w:tc>
          <w:tcPr>
            <w:tcW w:w="1359" w:type="dxa"/>
            <w:vMerge w:val="continue"/>
            <w:shd w:val="clear" w:color="auto" w:fill="auto"/>
            <w:vAlign w:val="center"/>
          </w:tcPr>
          <w:p>
            <w:pPr>
              <w:rPr>
                <w:rFonts w:hint="eastAsia" w:ascii="仿宋_GB2312" w:hAnsi="仿宋_GB2312" w:eastAsia="仿宋_GB2312" w:cs="仿宋_GB2312"/>
              </w:rPr>
            </w:pPr>
          </w:p>
        </w:tc>
        <w:tc>
          <w:tcPr>
            <w:tcW w:w="1813"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质量指标</w:t>
            </w:r>
          </w:p>
        </w:tc>
        <w:tc>
          <w:tcPr>
            <w:tcW w:w="3574"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重大舆情监控覆盖率</w:t>
            </w:r>
          </w:p>
        </w:tc>
        <w:tc>
          <w:tcPr>
            <w:tcW w:w="4106"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重大舆情监控覆盖率=全年监测到涉及我区的重大舆情数量/全年监测到涉及我区的舆情信息总量*100%</w:t>
            </w:r>
          </w:p>
        </w:tc>
        <w:tc>
          <w:tcPr>
            <w:tcW w:w="1467" w:type="dxa"/>
            <w:shd w:val="clear" w:color="auto" w:fill="auto"/>
            <w:vAlign w:val="center"/>
          </w:tcPr>
          <w:p>
            <w:pPr>
              <w:pStyle w:val="15"/>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≥95%</w:t>
            </w:r>
          </w:p>
        </w:tc>
        <w:tc>
          <w:tcPr>
            <w:tcW w:w="1743" w:type="dxa"/>
            <w:shd w:val="clear" w:color="auto" w:fill="auto"/>
            <w:vAlign w:val="center"/>
          </w:tcPr>
          <w:p>
            <w:pPr>
              <w:pStyle w:val="15"/>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359" w:type="dxa"/>
            <w:vMerge w:val="continue"/>
            <w:shd w:val="clear" w:color="auto" w:fill="auto"/>
            <w:vAlign w:val="center"/>
          </w:tcPr>
          <w:p>
            <w:pPr>
              <w:rPr>
                <w:rFonts w:hint="eastAsia" w:ascii="仿宋_GB2312" w:hAnsi="仿宋_GB2312" w:eastAsia="仿宋_GB2312" w:cs="仿宋_GB2312"/>
              </w:rPr>
            </w:pPr>
          </w:p>
        </w:tc>
        <w:tc>
          <w:tcPr>
            <w:tcW w:w="1813"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时效指标</w:t>
            </w:r>
          </w:p>
        </w:tc>
        <w:tc>
          <w:tcPr>
            <w:tcW w:w="3574"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舆情信息监测时长</w:t>
            </w:r>
          </w:p>
        </w:tc>
        <w:tc>
          <w:tcPr>
            <w:tcW w:w="4106"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全天进行舆情监测的时长</w:t>
            </w:r>
          </w:p>
        </w:tc>
        <w:tc>
          <w:tcPr>
            <w:tcW w:w="1467" w:type="dxa"/>
            <w:shd w:val="clear" w:color="auto" w:fill="auto"/>
            <w:vAlign w:val="center"/>
          </w:tcPr>
          <w:p>
            <w:pPr>
              <w:pStyle w:val="15"/>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24小时</w:t>
            </w:r>
          </w:p>
        </w:tc>
        <w:tc>
          <w:tcPr>
            <w:tcW w:w="1743" w:type="dxa"/>
            <w:shd w:val="clear" w:color="auto" w:fill="auto"/>
            <w:vAlign w:val="center"/>
          </w:tcPr>
          <w:p>
            <w:pPr>
              <w:pStyle w:val="15"/>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359" w:type="dxa"/>
            <w:vMerge w:val="continue"/>
            <w:shd w:val="clear" w:color="auto" w:fill="auto"/>
            <w:vAlign w:val="center"/>
          </w:tcPr>
          <w:p>
            <w:pPr>
              <w:rPr>
                <w:rFonts w:hint="eastAsia" w:ascii="仿宋_GB2312" w:hAnsi="仿宋_GB2312" w:eastAsia="仿宋_GB2312" w:cs="仿宋_GB2312"/>
              </w:rPr>
            </w:pPr>
          </w:p>
        </w:tc>
        <w:tc>
          <w:tcPr>
            <w:tcW w:w="1813"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成本指标</w:t>
            </w:r>
          </w:p>
        </w:tc>
        <w:tc>
          <w:tcPr>
            <w:tcW w:w="3574"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成本节约率</w:t>
            </w:r>
          </w:p>
        </w:tc>
        <w:tc>
          <w:tcPr>
            <w:tcW w:w="4106"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全年舆情监测费用</w:t>
            </w:r>
          </w:p>
        </w:tc>
        <w:tc>
          <w:tcPr>
            <w:tcW w:w="1467" w:type="dxa"/>
            <w:shd w:val="clear" w:color="auto" w:fill="auto"/>
            <w:vAlign w:val="center"/>
          </w:tcPr>
          <w:p>
            <w:pPr>
              <w:pStyle w:val="15"/>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≤20万元</w:t>
            </w:r>
          </w:p>
        </w:tc>
        <w:tc>
          <w:tcPr>
            <w:tcW w:w="1743" w:type="dxa"/>
            <w:shd w:val="clear" w:color="auto" w:fill="auto"/>
            <w:vAlign w:val="center"/>
          </w:tcPr>
          <w:p>
            <w:pPr>
              <w:pStyle w:val="15"/>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35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813"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社会效益指标</w:t>
            </w:r>
          </w:p>
        </w:tc>
        <w:tc>
          <w:tcPr>
            <w:tcW w:w="3574"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改善全区网络环境</w:t>
            </w:r>
          </w:p>
        </w:tc>
        <w:tc>
          <w:tcPr>
            <w:tcW w:w="4106"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有效改善网络环境</w:t>
            </w:r>
          </w:p>
        </w:tc>
        <w:tc>
          <w:tcPr>
            <w:tcW w:w="1467" w:type="dxa"/>
            <w:shd w:val="clear" w:color="auto" w:fill="auto"/>
            <w:vAlign w:val="center"/>
          </w:tcPr>
          <w:p>
            <w:pPr>
              <w:pStyle w:val="15"/>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改善</w:t>
            </w:r>
          </w:p>
        </w:tc>
        <w:tc>
          <w:tcPr>
            <w:tcW w:w="1743" w:type="dxa"/>
            <w:shd w:val="clear" w:color="auto" w:fill="auto"/>
            <w:vAlign w:val="center"/>
          </w:tcPr>
          <w:p>
            <w:pPr>
              <w:pStyle w:val="15"/>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359" w:type="dxa"/>
            <w:vMerge w:val="continue"/>
            <w:shd w:val="clear" w:color="auto" w:fill="auto"/>
            <w:vAlign w:val="center"/>
          </w:tcPr>
          <w:p>
            <w:pPr>
              <w:rPr>
                <w:rFonts w:hint="eastAsia" w:ascii="仿宋_GB2312" w:hAnsi="仿宋_GB2312" w:eastAsia="仿宋_GB2312" w:cs="仿宋_GB2312"/>
              </w:rPr>
            </w:pPr>
          </w:p>
        </w:tc>
        <w:tc>
          <w:tcPr>
            <w:tcW w:w="1813"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生态效益指标</w:t>
            </w:r>
          </w:p>
        </w:tc>
        <w:tc>
          <w:tcPr>
            <w:tcW w:w="3574"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持续优化网络舆情监测和处置率</w:t>
            </w:r>
          </w:p>
        </w:tc>
        <w:tc>
          <w:tcPr>
            <w:tcW w:w="4106"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监测舆情并及时应对</w:t>
            </w:r>
          </w:p>
        </w:tc>
        <w:tc>
          <w:tcPr>
            <w:tcW w:w="1467" w:type="dxa"/>
            <w:shd w:val="clear" w:color="auto" w:fill="auto"/>
            <w:vAlign w:val="center"/>
          </w:tcPr>
          <w:p>
            <w:pPr>
              <w:pStyle w:val="15"/>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可持续</w:t>
            </w:r>
          </w:p>
        </w:tc>
        <w:tc>
          <w:tcPr>
            <w:tcW w:w="1743" w:type="dxa"/>
            <w:shd w:val="clear" w:color="auto" w:fill="auto"/>
            <w:vAlign w:val="center"/>
          </w:tcPr>
          <w:p>
            <w:pPr>
              <w:pStyle w:val="15"/>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35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813"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服务对象满意度指标</w:t>
            </w:r>
          </w:p>
        </w:tc>
        <w:tc>
          <w:tcPr>
            <w:tcW w:w="3574"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实现广阳区人民满意度</w:t>
            </w:r>
          </w:p>
        </w:tc>
        <w:tc>
          <w:tcPr>
            <w:tcW w:w="4106"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全区满意人员数量占总人数</w:t>
            </w:r>
          </w:p>
        </w:tc>
        <w:tc>
          <w:tcPr>
            <w:tcW w:w="1467" w:type="dxa"/>
            <w:shd w:val="clear" w:color="auto" w:fill="auto"/>
            <w:vAlign w:val="center"/>
          </w:tcPr>
          <w:p>
            <w:pPr>
              <w:pStyle w:val="15"/>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≥90%</w:t>
            </w:r>
          </w:p>
        </w:tc>
        <w:tc>
          <w:tcPr>
            <w:tcW w:w="1743" w:type="dxa"/>
            <w:shd w:val="clear" w:color="auto" w:fill="auto"/>
            <w:vAlign w:val="center"/>
          </w:tcPr>
          <w:p>
            <w:pPr>
              <w:pStyle w:val="15"/>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调查问卷</w:t>
            </w:r>
          </w:p>
        </w:tc>
      </w:tr>
    </w:tbl>
    <w:p>
      <w:pPr>
        <w:autoSpaceDE w:val="0"/>
        <w:autoSpaceDN w:val="0"/>
        <w:adjustRightInd w:val="0"/>
        <w:spacing w:line="584" w:lineRule="exact"/>
        <w:jc w:val="left"/>
        <w:rPr>
          <w:rFonts w:hint="eastAsia" w:ascii="仿宋_GB2312" w:hAnsi="仿宋_GB2312" w:eastAsia="仿宋_GB2312" w:cs="仿宋_GB2312"/>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outlineLvl w:val="1"/>
        <w:rPr>
          <w:rFonts w:ascii="方正小标宋_GBK" w:eastAsia="方正小标宋_GBK" w:cs="Times New Roman"/>
          <w:sz w:val="32"/>
        </w:rPr>
      </w:pPr>
      <w:r>
        <w:rPr>
          <w:rFonts w:hint="eastAsia"/>
          <w:lang w:val="en-US" w:eastAsia="zh-CN"/>
        </w:rPr>
        <w:t>中共廊坊市广阳区委网信办</w:t>
      </w:r>
      <w:r>
        <w:t xml:space="preserve">                                                                                                 单位：万元</w:t>
      </w:r>
    </w:p>
    <w:tbl>
      <w:tblPr>
        <w:tblStyle w:val="9"/>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2" w:type="dxa"/>
            <w:gridSpan w:val="8"/>
            <w:vAlign w:val="center"/>
          </w:tcPr>
          <w:p>
            <w:pPr>
              <w:pStyle w:val="13"/>
            </w:pPr>
            <w:r>
              <w:t>政府采购金额（当年</w:t>
            </w:r>
            <w:r>
              <w:rPr>
                <w:rFonts w:hint="eastAsia"/>
                <w:lang w:eastAsia="zh-CN"/>
              </w:rPr>
              <w:t>单位</w:t>
            </w:r>
            <w:r>
              <w:t>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7"/>
            </w:pP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中共</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w:t>
      </w:r>
      <w:r>
        <w:rPr>
          <w:rFonts w:hint="eastAsia" w:ascii="Times New Roman" w:hAnsi="Times New Roman" w:eastAsia="仿宋_GB2312" w:cs="Times New Roman"/>
          <w:sz w:val="32"/>
          <w:szCs w:val="32"/>
          <w:lang w:val="en-US" w:eastAsia="zh-CN"/>
        </w:rPr>
        <w:t>区委网信办</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lang w:val="en-US" w:eastAsia="zh-CN"/>
        </w:rPr>
        <w:t>56.134381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9"/>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eastAsia="zh-CN"/>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default" w:ascii="Times New Roman" w:hAnsi="Times New Roman" w:eastAsia="仿宋_GB2312" w:cs="Times New Roman"/>
                <w:kern w:val="0"/>
                <w:sz w:val="22"/>
                <w:lang w:val="en-US"/>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w:t>
            </w:r>
            <w:r>
              <w:rPr>
                <w:rFonts w:hint="eastAsia" w:ascii="Times New Roman" w:hAnsi="Times New Roman" w:eastAsia="仿宋_GB2312" w:cs="Times New Roman"/>
                <w:kern w:val="0"/>
                <w:sz w:val="22"/>
                <w:lang w:val="en-US" w:eastAsia="zh-CN"/>
              </w:rPr>
              <w:t>中共</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lang w:eastAsia="zh-CN"/>
              </w:rPr>
              <w:t>广阳</w:t>
            </w:r>
            <w:r>
              <w:rPr>
                <w:rFonts w:hint="eastAsia" w:ascii="Times New Roman" w:hAnsi="Times New Roman" w:eastAsia="仿宋_GB2312" w:cs="Times New Roman"/>
                <w:kern w:val="0"/>
                <w:sz w:val="22"/>
                <w:lang w:val="en-US" w:eastAsia="zh-CN"/>
              </w:rPr>
              <w:t>区委网信办</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56.134381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56.134381</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BDA4C8-3DA3-45C1-9610-CFFB2FFE86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3000509000000000000"/>
    <w:charset w:val="86"/>
    <w:family w:val="roman"/>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embedRegular r:id="rId2" w:fontKey="{299338BF-C1BA-48DF-AB8E-1A9E5EAE2A4B}"/>
  </w:font>
  <w:font w:name="仿宋_GB2312">
    <w:panose1 w:val="02010609030101010101"/>
    <w:charset w:val="86"/>
    <w:family w:val="modern"/>
    <w:pitch w:val="default"/>
    <w:sig w:usb0="00000001" w:usb1="080E0000" w:usb2="00000000" w:usb3="00000000" w:csb0="00040000" w:csb1="00000000"/>
    <w:embedRegular r:id="rId3" w:fontKey="{A168C210-3B28-4292-9286-3A7E9D7AB223}"/>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949C0"/>
    <w:multiLevelType w:val="singleLevel"/>
    <w:tmpl w:val="114949C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6018"/>
    <w:rsid w:val="0025632D"/>
    <w:rsid w:val="003059E0"/>
    <w:rsid w:val="004A54AA"/>
    <w:rsid w:val="007F5038"/>
    <w:rsid w:val="00944233"/>
    <w:rsid w:val="00B40732"/>
    <w:rsid w:val="00B80935"/>
    <w:rsid w:val="00D347CC"/>
    <w:rsid w:val="00DC72B4"/>
    <w:rsid w:val="01315981"/>
    <w:rsid w:val="02177F1F"/>
    <w:rsid w:val="06E16336"/>
    <w:rsid w:val="06F96183"/>
    <w:rsid w:val="07B812A2"/>
    <w:rsid w:val="0B0D09AC"/>
    <w:rsid w:val="0CA47010"/>
    <w:rsid w:val="0CEC1180"/>
    <w:rsid w:val="0E5E773D"/>
    <w:rsid w:val="1583726F"/>
    <w:rsid w:val="1A612406"/>
    <w:rsid w:val="1DCD230D"/>
    <w:rsid w:val="1F220750"/>
    <w:rsid w:val="217B7F7F"/>
    <w:rsid w:val="23961491"/>
    <w:rsid w:val="242155AF"/>
    <w:rsid w:val="249B741E"/>
    <w:rsid w:val="24D46493"/>
    <w:rsid w:val="343B2BF9"/>
    <w:rsid w:val="391F34AB"/>
    <w:rsid w:val="3A957639"/>
    <w:rsid w:val="3BBD3275"/>
    <w:rsid w:val="3F674452"/>
    <w:rsid w:val="42531A2F"/>
    <w:rsid w:val="45706350"/>
    <w:rsid w:val="4FE81735"/>
    <w:rsid w:val="52056214"/>
    <w:rsid w:val="52BC78D9"/>
    <w:rsid w:val="552309B0"/>
    <w:rsid w:val="55AC632D"/>
    <w:rsid w:val="59E534DC"/>
    <w:rsid w:val="6C613533"/>
    <w:rsid w:val="6FA5043E"/>
    <w:rsid w:val="70E069B3"/>
    <w:rsid w:val="73693C55"/>
    <w:rsid w:val="7AAF3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qFormat/>
    <w:uiPriority w:val="0"/>
    <w:pPr>
      <w:ind w:left="1600" w:leftChars="1600"/>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qFormat/>
    <w:uiPriority w:val="0"/>
    <w:rPr>
      <w:rFonts w:ascii="Times New Roman" w:hAnsi="Times New Roman" w:cs="Times New Roman"/>
      <w:szCs w:val="24"/>
    </w:rPr>
  </w:style>
  <w:style w:type="paragraph" w:styleId="7">
    <w:name w:val="footnote text"/>
    <w:basedOn w:val="1"/>
    <w:qFormat/>
    <w:uiPriority w:val="0"/>
    <w:pPr>
      <w:snapToGrid w:val="0"/>
      <w:jc w:val="left"/>
    </w:pPr>
    <w:rPr>
      <w:rFonts w:cs="Times New Roman"/>
      <w:sz w:val="18"/>
      <w:szCs w:val="18"/>
    </w:rPr>
  </w:style>
  <w:style w:type="paragraph" w:styleId="8">
    <w:name w:val="toc 2"/>
    <w:basedOn w:val="1"/>
    <w:next w:val="1"/>
    <w:qFormat/>
    <w:uiPriority w:val="0"/>
    <w:pPr>
      <w:ind w:left="200" w:leftChars="200"/>
    </w:pPr>
    <w:rPr>
      <w:rFonts w:ascii="Times New Roman" w:hAnsi="Times New Roman" w:cs="Times New Roman"/>
      <w:szCs w:val="24"/>
    </w:rPr>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4">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5">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6">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7">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8">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9">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504</Words>
  <Characters>2877</Characters>
  <Lines>23</Lines>
  <Paragraphs>6</Paragraphs>
  <TotalTime>4</TotalTime>
  <ScaleCrop>false</ScaleCrop>
  <LinksUpToDate>false</LinksUpToDate>
  <CharactersWithSpaces>3375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2023-08-02T01:46:01Z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DD41BB1F5DDE4458A8525095D1EC746C</vt:lpwstr>
  </property>
</Properties>
</file>