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委统战部</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r>
        <w:rPr>
          <w:rFonts w:ascii="Times New Roman" w:hAnsi="Times New Roman" w:eastAsia="仿宋_GB2312" w:cs="Times New Roman"/>
          <w:sz w:val="32"/>
          <w:szCs w:val="32"/>
        </w:rPr>
        <w:t>贯彻落实加强党对统一战线工作集中统一领导的要求，发挥区委在统战工作方面的参谋机构、组织协机构、具体执行机构、督促检查机构作用；开展统一战线理论、政策研究，及时向区委报告统一战线工作情况并提出建议，协调政府有关</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的统一战线工作；贯彻执行无党派人士工作的方针政策，负责牵头协调无党派人士工作；贯彻落实党的宣传工作方针；贯彻落实中国共产党领导的多党合作和政治协商制度以及对民主党派的方针政策；贯彻落实党的民族工作方针；贯彻落实党的宗教工作基本方针和政策，参与制定、推动落实鼓励支持引导非公有制经济发展的政策措施；贯彻执行党中央、国务院对台工作的方针政策；贯彻落实党的侨务工作方针政策并组织协调、督促检查落实；负责指导各乡镇、街道的统一战线工作及领导班子和领导干部统一战线工作的年度考核；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中共</w:t>
            </w:r>
            <w:r>
              <w:rPr>
                <w:rFonts w:ascii="仿宋_GB2312" w:eastAsia="仿宋_GB2312"/>
                <w:color w:val="000000"/>
                <w:sz w:val="32"/>
                <w:szCs w:val="32"/>
              </w:rPr>
              <w:t>廊坊市广阳区</w:t>
            </w:r>
            <w:r>
              <w:rPr>
                <w:rFonts w:hint="eastAsia" w:ascii="仿宋_GB2312" w:eastAsia="仿宋_GB2312"/>
                <w:color w:val="000000"/>
                <w:sz w:val="32"/>
                <w:szCs w:val="32"/>
              </w:rPr>
              <w:t>委统战部</w:t>
            </w:r>
          </w:p>
        </w:tc>
        <w:tc>
          <w:tcPr>
            <w:tcW w:w="1134"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行政单位</w:t>
            </w:r>
          </w:p>
        </w:tc>
        <w:tc>
          <w:tcPr>
            <w:tcW w:w="1276" w:type="dxa"/>
            <w:shd w:val="clear" w:color="auto" w:fill="auto"/>
            <w:vAlign w:val="center"/>
          </w:tcPr>
          <w:p>
            <w:pPr>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sz w:val="32"/>
                <w:szCs w:val="32"/>
              </w:rPr>
              <w:t>正</w:t>
            </w:r>
            <w:r>
              <w:rPr>
                <w:rFonts w:ascii="仿宋_GB2312" w:eastAsia="仿宋_GB2312"/>
                <w:sz w:val="32"/>
                <w:szCs w:val="32"/>
              </w:rPr>
              <w:t>科</w:t>
            </w:r>
            <w:r>
              <w:rPr>
                <w:rFonts w:hint="eastAsia" w:ascii="仿宋_GB2312" w:eastAsia="仿宋_GB2312"/>
                <w:sz w:val="32"/>
                <w:szCs w:val="32"/>
              </w:rPr>
              <w:t>级</w:t>
            </w:r>
          </w:p>
        </w:tc>
        <w:tc>
          <w:tcPr>
            <w:tcW w:w="2902" w:type="dxa"/>
            <w:shd w:val="clear" w:color="auto" w:fill="auto"/>
            <w:vAlign w:val="center"/>
          </w:tcPr>
          <w:p>
            <w:pPr>
              <w:autoSpaceDE w:val="0"/>
              <w:autoSpaceDN w:val="0"/>
              <w:spacing w:line="540" w:lineRule="exact"/>
              <w:jc w:val="center"/>
              <w:rPr>
                <w:rFonts w:ascii="仿宋_GB2312" w:hAnsi="Calibri" w:eastAsia="仿宋_GB2312" w:cs="Arial"/>
                <w:kern w:val="2"/>
                <w:sz w:val="32"/>
                <w:szCs w:val="32"/>
                <w:lang w:val="en-US" w:eastAsia="zh-CN" w:bidi="ar-SA"/>
              </w:rPr>
            </w:pPr>
            <w:r>
              <w:rPr>
                <w:rFonts w:hint="eastAsia" w:ascii="仿宋_GB2312" w:eastAsia="仿宋_GB2312"/>
                <w:color w:val="00000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广阳区委统战部</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254.86</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49.03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234.86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204.56</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30.3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69.03</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lang w:val="en-US" w:eastAsia="zh-CN"/>
        </w:rPr>
        <w:t>20万。</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val="en-US" w:eastAsia="zh-CN"/>
        </w:rPr>
        <w:t>宗教工作经费</w:t>
      </w:r>
      <w:r>
        <w:rPr>
          <w:rFonts w:ascii="Times New Roman" w:hAnsi="Times New Roman" w:eastAsia="仿宋_GB2312" w:cs="Times New Roman"/>
          <w:sz w:val="32"/>
          <w:szCs w:val="32"/>
        </w:rPr>
        <w:t>等；上缴上级支出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303.89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71.31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22.28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highlight w:val="none"/>
          <w:lang w:val="en-US" w:eastAsia="zh-CN"/>
        </w:rPr>
        <w:t>49.03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清真寺整改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30.3</w:t>
      </w:r>
      <w:r>
        <w:rPr>
          <w:rFonts w:ascii="Times New Roman" w:hAnsi="Times New Roman" w:eastAsia="仿宋_GB2312" w:cs="Times New Roman"/>
          <w:sz w:val="32"/>
          <w:szCs w:val="32"/>
        </w:rPr>
        <w:t>万元，主要用于办公的日常维修、办公用房水电费、办公用房取暖费、办公用房物业管理费等日常运行支出。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highlight w:val="none"/>
          <w:lang w:val="en-US" w:eastAsia="zh-CN"/>
        </w:rPr>
        <w:t>减少0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万元（其中：公务用车购置费</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highlight w:val="none"/>
          <w:lang w:val="en-US" w:eastAsia="zh-CN"/>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0。今年</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依法管理民族宗教事务，促进民族团结进步，助推少数民族地区经济社会发展，维护宗教领域安全稳定，引导宗教与社会主义社会相适应。促进非公经济人士健康成长和非公经济健康发展。提升党外干部队伍整体素质，增强党外干部政治把握能力、参政议政能力、组织领导能力和合作共事能力。不断优化我区投资环境，促进落户台企健康发展和产业结构调整。开展对台招商活动，加大招商引资力度，提高招商引资成效。推动与台间文化双向互动，增强两岸同胞同为炎黄子孙的民族认同感和民族凝聚力。妥善处置各类涉台事务。</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二</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分项绩效目标</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1、巩固多党合作，推动多党合作政治协商事业发展。</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绩效目标：完善与各民主党派政治协商制度，联系各民主党派成员，通报情况、反映意见，推动多党合作政治协商事业发展。</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绩效指标：年度内完成与各民主党派政治协商次数不低于1次。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2、促进非公有制经济健康发展和非公有制经济人士健康成长。</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绩效目标：联系、培养民营经济代表人士，开展思想政治工作，适时召开民营经济领域统战工作会议或研讨会议、指导民营企业党组织做好企业内部统战工作。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绩效指标：完成并实施贯彻落实上级关于民营经济统战工作文件精神实施意见，举办政企沟通交流会次数不低于1次。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3、加强党外知识分子统战工作。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绩效指标：定期不定期召集不同领域党外知识分子召开座谈、协商等会议不低于2次。调研了解各地各领域党外知识分子和新的社会阶层人士情况不低于2次。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4、加强党外代表人士队伍建设。</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绩效指标：加强与党外代表人士的联谊沟通，定期走访看望，谈心交流次数不低于1次。</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5、推动侨务管理工作。</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绩效目标：做好海外侨胞的基础性工作，摸清底数。加强对侨务工作的调研，加强与海外华侨华人及社团的联系。</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绩效指标：完成年度侨务工作调研不低于1次。</w:t>
      </w:r>
    </w:p>
    <w:p>
      <w:pPr>
        <w:spacing w:line="584" w:lineRule="exact"/>
        <w:ind w:firstLine="643" w:firstLineChars="200"/>
        <w:rPr>
          <w:rFonts w:hint="eastAsia" w:ascii="楷体_GB2312" w:eastAsia="楷体_GB2312" w:cs="Times New Roman"/>
          <w:b/>
          <w:sz w:val="32"/>
          <w:szCs w:val="32"/>
          <w:lang w:eastAsia="zh-CN"/>
        </w:rPr>
      </w:pPr>
      <w:r>
        <w:rPr>
          <w:rFonts w:hint="eastAsia" w:ascii="楷体_GB2312" w:eastAsia="楷体_GB2312" w:cs="Times New Roman"/>
          <w:b/>
          <w:sz w:val="32"/>
          <w:szCs w:val="32"/>
          <w:lang w:eastAsia="zh-CN"/>
        </w:rPr>
        <w:t>（三）工作保障措施</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1、加强政治理论学习，坚决夯实统一战线工作共同思想政治基础。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2、履行党建主体责任，打牢统一战线工作齐抓共管格局。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3、紧扣年度任务目标，主动发挥统一战线作用融入全区发展大局。</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4、强化思想政治引导，广泛凝聚统一战线工作对象工作共识。</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5、强化深化交流合作，不断巩固统一战线工作最广泛爱国力量。</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6、持续加强队伍建设，坚决提升统一战线工作服务效能。</w:t>
      </w:r>
    </w:p>
    <w:p>
      <w:pPr>
        <w:numPr>
          <w:ilvl w:val="0"/>
          <w:numId w:val="0"/>
        </w:numPr>
        <w:ind w:left="21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7、不断深化正风肃纪，持续营造统一战线工作风清气正服务环境。</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1476"/>
        <w:gridCol w:w="2179"/>
        <w:gridCol w:w="543"/>
        <w:gridCol w:w="488"/>
        <w:gridCol w:w="595"/>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47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17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26"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76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7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1476" w:type="dxa"/>
            <w:vMerge w:val="continue"/>
            <w:tcBorders>
              <w:tl2br w:val="nil"/>
              <w:tr2bl w:val="nil"/>
            </w:tcBorders>
            <w:vAlign w:val="center"/>
          </w:tcPr>
          <w:p/>
        </w:tc>
        <w:tc>
          <w:tcPr>
            <w:tcW w:w="2179"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9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765"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eastAsia="zh-CN"/>
              </w:rPr>
              <w:t>单位</w:t>
            </w:r>
            <w:r>
              <w:rPr>
                <w:rFonts w:ascii="方正书宋_GBK" w:eastAsia="方正书宋_GBK"/>
                <w:b w:val="0"/>
                <w:bCs/>
              </w:rPr>
              <w:t>产出</w:t>
            </w: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数量指标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开展检查工作次数完成率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完成率达到100%得15分，完成率每降低1%扣5%的分值。</w:t>
            </w:r>
          </w:p>
        </w:tc>
        <w:tc>
          <w:tcPr>
            <w:tcW w:w="217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村、镇、区级开展检查工作的次数与文件要求开展检查工作次数的比例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质量指标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各项工作质量达标率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达标率达到100%得15分，达标率每降低1%扣5%的分值。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各项工作质量达标的个数与文件要求完成工作数量个数的比率</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时效指标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各项工作完成及时率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及时率达到100%得15分，及时率每降低1%扣5%的分值。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及时完成各项工作的次数与上级相关文件要求完成工作次数的比例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中共廊坊市统一战线工作领导小组办公室关于印发《关于开展非法宗教活动专项整治和系统治理遏制宗教渗透蔓延工作的实施方案》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成本指标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成本控制率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成本控制率小于等于100%得15分，成本控制率每提高1%扣5%的分值。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项目实际支出金额与预算金额的比例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eastAsia="zh-CN"/>
              </w:rPr>
              <w:t>单位</w:t>
            </w:r>
            <w:r>
              <w:rPr>
                <w:rFonts w:hint="eastAsia" w:ascii="方正书宋_GBK" w:eastAsia="方正书宋_GBK"/>
                <w:b w:val="0"/>
                <w:bCs/>
              </w:rPr>
              <w:t>效果</w:t>
            </w: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社会效益指标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重大突发案件降低率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重大突发案件降低率大于等于0得10分，降低率小于0时，每增长1%扣10%的分值。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重大突发案件较去年降低的比例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大于等于0</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ascii="方正书宋_GBK" w:eastAsia="方正书宋_GBK"/>
                <w:b w:val="0"/>
                <w:bCs/>
              </w:rPr>
            </w:pPr>
            <w:r>
              <w:rPr>
                <w:rFonts w:hint="eastAsia" w:ascii="方正书宋_GBK" w:eastAsia="方正书宋_GBK"/>
                <w:b w:val="0"/>
                <w:bCs/>
                <w:lang w:val="en-US" w:eastAsia="zh-CN"/>
              </w:rPr>
              <w:t>社会效益指标</w:t>
            </w:r>
          </w:p>
        </w:tc>
        <w:tc>
          <w:tcPr>
            <w:tcW w:w="897"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信访案件降低率</w:t>
            </w:r>
          </w:p>
        </w:tc>
        <w:tc>
          <w:tcPr>
            <w:tcW w:w="1476"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信访案件降低率大于等于0得10分，降低率小于0时，每增长1%扣10%的分值。</w:t>
            </w:r>
          </w:p>
        </w:tc>
        <w:tc>
          <w:tcPr>
            <w:tcW w:w="2179"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信访案件较去年降低的比率</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大于等于0</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0"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b w:val="0"/>
                <w:bCs/>
              </w:rPr>
            </w:pPr>
          </w:p>
        </w:tc>
        <w:tc>
          <w:tcPr>
            <w:tcW w:w="825" w:type="dxa"/>
            <w:tcBorders>
              <w:tl2br w:val="nil"/>
              <w:tr2bl w:val="nil"/>
            </w:tcBorders>
            <w:vAlign w:val="center"/>
          </w:tcPr>
          <w:p>
            <w:pPr>
              <w:widowControl/>
              <w:adjustRightInd w:val="0"/>
              <w:snapToGrid w:val="0"/>
              <w:jc w:val="center"/>
              <w:rPr>
                <w:rFonts w:hint="eastAsia" w:ascii="方正书宋_GBK" w:eastAsia="方正书宋_GBK"/>
                <w:b w:val="0"/>
                <w:bCs/>
                <w:lang w:val="en-US" w:eastAsia="zh-CN"/>
              </w:rPr>
            </w:pPr>
            <w:r>
              <w:rPr>
                <w:rFonts w:hint="eastAsia" w:ascii="方正书宋_GBK" w:eastAsia="方正书宋_GBK"/>
                <w:b w:val="0"/>
                <w:bCs/>
                <w:lang w:val="en-US" w:eastAsia="zh-CN"/>
              </w:rPr>
              <w:t>满意度</w:t>
            </w:r>
          </w:p>
        </w:tc>
        <w:tc>
          <w:tcPr>
            <w:tcW w:w="897" w:type="dxa"/>
            <w:tcBorders>
              <w:tl2br w:val="nil"/>
              <w:tr2bl w:val="nil"/>
            </w:tcBorders>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统战对象群众满意度</w:t>
            </w:r>
          </w:p>
        </w:tc>
        <w:tc>
          <w:tcPr>
            <w:tcW w:w="1476"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达到要求得10分，未达到按比例扣分。</w:t>
            </w:r>
          </w:p>
        </w:tc>
        <w:tc>
          <w:tcPr>
            <w:tcW w:w="2179"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群众满意数量占总数的比例。</w:t>
            </w:r>
          </w:p>
        </w:tc>
        <w:tc>
          <w:tcPr>
            <w:tcW w:w="543"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488"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59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765" w:type="dxa"/>
            <w:tcBorders>
              <w:tl2br w:val="nil"/>
              <w:tr2bl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top"/>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问卷调查</w:t>
            </w:r>
          </w:p>
        </w:tc>
      </w:tr>
    </w:tbl>
    <w:p>
      <w:pPr>
        <w:spacing w:line="584" w:lineRule="exact"/>
        <w:rPr>
          <w:rFonts w:ascii="仿宋_GB2312" w:eastAsia="仿宋_GB2312"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宗教综合治理工作经费</w:t>
      </w:r>
      <w:r>
        <w:rPr>
          <w:rFonts w:ascii="Times New Roman" w:hAnsi="Times New Roman" w:eastAsia="仿宋_GB2312" w:cs="Times New Roman"/>
          <w:sz w:val="28"/>
        </w:rPr>
        <w:t>绩效目标表</w:t>
      </w:r>
      <w:bookmarkStart w:id="0" w:name="_Toc29799657"/>
      <w:bookmarkEnd w:id="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2144"/>
        <w:gridCol w:w="324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val="0"/>
                <w:bCs/>
              </w:rPr>
              <w:t>开展宗教领域问题系统治理和专项整治。从根本上遏制宗教渗透蔓延，构建长效管理机制。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4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2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2144"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开展检查工作次数完成率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村、镇、区级开展检查工作的次数与文件要求开展检查工作次数的比例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2"/>
                <w:sz w:val="15"/>
                <w:szCs w:val="15"/>
                <w:u w:val="none"/>
                <w:lang w:val="en-US" w:eastAsia="zh-CN" w:bidi="ar-SA"/>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2144"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开展检查工作质量达标率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例检查工作质量达标的次数与文件要求开展检查工作次数的比</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开展检查工作及时率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及时开展检查工作的次数与文件要求开展检查工作次数的比例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5"/>
                <w:szCs w:val="15"/>
              </w:rPr>
            </w:pPr>
            <w:r>
              <w:rPr>
                <w:rFonts w:hint="eastAsia" w:ascii="仿宋_GB2312" w:hAnsi="仿宋_GB2312" w:eastAsia="仿宋_GB2312" w:cs="仿宋_GB2312"/>
                <w:sz w:val="15"/>
                <w:szCs w:val="15"/>
              </w:rP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成本控制率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项目实际支出金额与预算金额的比例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≤100%</w:t>
            </w:r>
          </w:p>
        </w:tc>
        <w:tc>
          <w:tcPr>
            <w:tcW w:w="215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kern w:val="2"/>
                <w:sz w:val="21"/>
                <w:szCs w:val="22"/>
                <w:lang w:val="en-US" w:eastAsia="zh-CN" w:bidi="ar-SA"/>
              </w:rPr>
            </w:pPr>
            <w:r>
              <w:t>效益指标</w:t>
            </w:r>
          </w:p>
        </w:tc>
        <w:tc>
          <w:tcPr>
            <w:tcW w:w="226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840" w:firstLineChars="400"/>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社会效益指标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rPr>
              <w:t>宗教领域重大突发案件降低率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宗教领域重大突发案件较去年降低的比例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大于等于0</w:t>
            </w:r>
          </w:p>
        </w:tc>
        <w:tc>
          <w:tcPr>
            <w:tcW w:w="215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社会效益指标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宗教信访案件降低率</w:t>
            </w:r>
          </w:p>
        </w:tc>
        <w:tc>
          <w:tcPr>
            <w:tcW w:w="32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宗教信访案件较去年降低的比例</w:t>
            </w: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大于等于0</w:t>
            </w: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rPr>
                <w:sz w:val="15"/>
                <w:szCs w:val="15"/>
              </w:rPr>
            </w:pPr>
            <w:r>
              <w:rPr>
                <w:sz w:val="15"/>
                <w:szCs w:val="15"/>
              </w:rPr>
              <w:t>满意度指标</w:t>
            </w:r>
          </w:p>
        </w:tc>
        <w:tc>
          <w:tcPr>
            <w:tcW w:w="2268"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sz w:val="21"/>
                <w:szCs w:val="21"/>
              </w:rPr>
              <w:t>服务对象满意度指标</w:t>
            </w:r>
          </w:p>
        </w:tc>
        <w:tc>
          <w:tcPr>
            <w:tcW w:w="2144"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信教群众满意度</w:t>
            </w:r>
          </w:p>
        </w:tc>
        <w:tc>
          <w:tcPr>
            <w:tcW w:w="3243" w:type="dxa"/>
            <w:shd w:val="clear" w:color="auto" w:fill="auto"/>
            <w:vAlign w:val="center"/>
          </w:tcPr>
          <w:p>
            <w:pPr>
              <w:pStyle w:val="14"/>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回复满意的人数占抽查到的信教群众人数的比例</w:t>
            </w:r>
          </w:p>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p>
        </w:tc>
        <w:tc>
          <w:tcPr>
            <w:tcW w:w="1843" w:type="dxa"/>
            <w:shd w:val="clear" w:color="auto" w:fill="auto"/>
            <w:vAlign w:val="center"/>
          </w:tcPr>
          <w:p>
            <w:pPr>
              <w:keepNext w:val="0"/>
              <w:keepLines w:val="0"/>
              <w:pageBreakBefore w:val="0"/>
              <w:widowControl/>
              <w:suppressLineNumbers w:val="0"/>
              <w:kinsoku/>
              <w:wordWrap/>
              <w:overflowPunct/>
              <w:topLinePunct w:val="0"/>
              <w:autoSpaceDE/>
              <w:autoSpaceDN/>
              <w:bidi w:val="0"/>
              <w:spacing w:line="20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15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问卷调查</w:t>
            </w:r>
          </w:p>
        </w:tc>
      </w:tr>
    </w:tbl>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阿式清真寺整改市级补助资金绩效目标表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1.认真贯彻落实党和国家宗教政策法规，全力落实上级</w:t>
            </w: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决策部署</w:t>
            </w:r>
          </w:p>
          <w:p>
            <w:pPr>
              <w:pStyle w:val="14"/>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2.统筹用于阿式清真寺整改工作，依法管理辖区宗教事务</w:t>
            </w:r>
          </w:p>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3.进一步解决宗教工作中的特殊困难和问题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清真寺整改</w:t>
            </w:r>
          </w:p>
        </w:tc>
        <w:tc>
          <w:tcPr>
            <w:tcW w:w="3402"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按照上级要求，进行清真寺整改工作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工程质量达标完成验收</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达到施工合同要求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规定期限内完工</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按照上级相关工作要求时间节点内完成工作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经费限额内完成工作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根据经费安排完成整改工作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25万元</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不超出该项目经费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效益指标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切实做好宗教工作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按照上级相关规定，管理好辖区宗教事务</w:t>
            </w:r>
          </w:p>
        </w:tc>
        <w:tc>
          <w:tcPr>
            <w:tcW w:w="1843"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稳步推进</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5" w:hRule="atLeast"/>
          <w:jc w:val="center"/>
        </w:trPr>
        <w:tc>
          <w:tcPr>
            <w:tcW w:w="2409" w:type="dxa"/>
            <w:vMerge w:val="continue"/>
            <w:shd w:val="clear" w:color="auto" w:fill="auto"/>
            <w:vAlign w:val="center"/>
          </w:tcPr>
          <w:p>
            <w:pPr>
              <w:spacing w:line="300" w:lineRule="exact"/>
              <w:jc w:val="both"/>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5" w:hRule="atLeast"/>
          <w:jc w:val="center"/>
        </w:trPr>
        <w:tc>
          <w:tcPr>
            <w:tcW w:w="2409" w:type="dxa"/>
            <w:vMerge w:val="continue"/>
            <w:shd w:val="clear" w:color="auto" w:fill="auto"/>
            <w:vAlign w:val="center"/>
          </w:tcPr>
          <w:p>
            <w:pPr>
              <w:spacing w:line="300" w:lineRule="exact"/>
              <w:jc w:val="left"/>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长期实用性</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确保长期实用性</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整改完成竣工后，能够确保正常使用</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确保清真寺正常使用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2409" w:type="dxa"/>
            <w:shd w:val="clear" w:color="auto" w:fill="auto"/>
            <w:vAlign w:val="center"/>
          </w:tcPr>
          <w:p>
            <w:pPr>
              <w:spacing w:line="300" w:lineRule="exact"/>
              <w:ind w:firstLine="1050" w:firstLineChars="5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委托方满意度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委托方对工程整体情况满意度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spacing w:before="0" w:after="0"/>
        <w:ind w:firstLine="560"/>
        <w:jc w:val="left"/>
        <w:outlineLvl w:val="3"/>
        <w:rPr>
          <w:rFonts w:hint="eastAsia" w:ascii="Times New Roman" w:hAnsi="Times New Roman" w:eastAsia="仿宋_GB2312" w:cs="Times New Roman"/>
          <w:sz w:val="28"/>
          <w:lang w:val="en-US" w:eastAsia="zh-CN"/>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阿式清真寺整改省级补助资金绩效目标表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1.认真贯彻落实党和国家宗教政策法规，全力落实上级</w:t>
            </w:r>
            <w:r>
              <w:rPr>
                <w:rFonts w:hint="eastAsia" w:ascii="仿宋_GB2312" w:hAnsi="仿宋_GB2312" w:eastAsia="仿宋_GB2312" w:cs="仿宋_GB2312"/>
                <w:sz w:val="21"/>
                <w:szCs w:val="21"/>
                <w:lang w:eastAsia="zh-CN"/>
              </w:rPr>
              <w:t>单位</w:t>
            </w:r>
            <w:r>
              <w:rPr>
                <w:rFonts w:hint="eastAsia" w:ascii="仿宋_GB2312" w:hAnsi="仿宋_GB2312" w:eastAsia="仿宋_GB2312" w:cs="仿宋_GB2312"/>
                <w:sz w:val="21"/>
                <w:szCs w:val="21"/>
              </w:rPr>
              <w:t>决策部署</w:t>
            </w:r>
          </w:p>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2.统筹用于阿式清真寺整改工作，依法管理辖区宗教事务</w:t>
            </w:r>
          </w:p>
          <w:p>
            <w:pPr>
              <w:spacing w:line="300" w:lineRule="exact"/>
              <w:jc w:val="lef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3.进一步解决宗教工作中的特殊困难和问题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清真寺整改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按照上级要求，进行清真寺整改工作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工程质量达标完成验收</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达到施工合同要求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规定期限内完工</w:t>
            </w:r>
          </w:p>
        </w:tc>
        <w:tc>
          <w:tcPr>
            <w:tcW w:w="3402" w:type="dxa"/>
            <w:shd w:val="clear" w:color="auto" w:fill="auto"/>
            <w:vAlign w:val="center"/>
          </w:tcPr>
          <w:p>
            <w:pPr>
              <w:pStyle w:val="14"/>
              <w:rPr>
                <w:rFonts w:hint="eastAsia" w:ascii="仿宋_GB2312" w:hAnsi="仿宋_GB2312" w:eastAsia="仿宋_GB2312" w:cs="仿宋_GB2312"/>
                <w:kern w:val="0"/>
                <w:sz w:val="21"/>
                <w:szCs w:val="21"/>
                <w:lang w:val="en-US" w:eastAsia="uk-UA" w:bidi="ar-SA"/>
              </w:rPr>
            </w:pPr>
            <w:r>
              <w:rPr>
                <w:rFonts w:hint="eastAsia" w:ascii="仿宋_GB2312" w:hAnsi="仿宋_GB2312" w:eastAsia="仿宋_GB2312" w:cs="仿宋_GB2312"/>
                <w:sz w:val="21"/>
                <w:szCs w:val="21"/>
              </w:rPr>
              <w:t>按照上级相关工作要求时间节点内完成工作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1座</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经费限额内完成工作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根据经费安排完成整改工作</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24.03万元</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不超出该项目经费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切实做好宗教工作</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按照上级相关规定，管理好辖区宗教事务</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稳步推进</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不涉及此项内容</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可持续影响指标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长期实用性</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确保长期实用性</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整改完成竣工后，能够确保正常使用</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确保清真寺正常使用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服务对象满意度指标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委托方满意度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委托方对工程整体情况满意度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215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调查问卷</w:t>
            </w:r>
          </w:p>
        </w:tc>
      </w:tr>
    </w:tbl>
    <w:p>
      <w:pPr>
        <w:autoSpaceDE w:val="0"/>
        <w:autoSpaceDN w:val="0"/>
        <w:adjustRightInd w:val="0"/>
        <w:spacing w:line="584" w:lineRule="exact"/>
        <w:ind w:firstLine="300" w:firstLineChars="200"/>
        <w:jc w:val="left"/>
        <w:rPr>
          <w:rFonts w:ascii="Times New Roman" w:hAnsi="Times New Roman" w:eastAsia="黑体" w:cs="Times New Roman"/>
          <w:sz w:val="15"/>
          <w:szCs w:val="15"/>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lang w:val="en-US" w:eastAsia="zh-CN"/>
        </w:rPr>
        <w:t>中共</w:t>
      </w:r>
      <w:r>
        <w:t>廊坊市</w:t>
      </w:r>
      <w:r>
        <w:rPr>
          <w:rFonts w:hint="eastAsia"/>
          <w:lang w:eastAsia="zh-CN"/>
        </w:rPr>
        <w:t>广阳区</w:t>
      </w:r>
      <w:r>
        <w:rPr>
          <w:rFonts w:hint="eastAsia"/>
          <w:lang w:val="en-US" w:eastAsia="zh-CN"/>
        </w:rPr>
        <w:t>委统战部</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委统战部</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36.1258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lang w:val="en-US" w:eastAsia="zh-CN"/>
              </w:rPr>
              <w:t>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委统战部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36.1258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28.06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8.0658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CA698"/>
    <w:multiLevelType w:val="singleLevel"/>
    <w:tmpl w:val="066CA69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3612F9"/>
    <w:rsid w:val="004A54AA"/>
    <w:rsid w:val="00944233"/>
    <w:rsid w:val="00B40732"/>
    <w:rsid w:val="00B80935"/>
    <w:rsid w:val="00D347CC"/>
    <w:rsid w:val="00DC72B4"/>
    <w:rsid w:val="02E75B72"/>
    <w:rsid w:val="032253DE"/>
    <w:rsid w:val="03D35CBE"/>
    <w:rsid w:val="03E3544D"/>
    <w:rsid w:val="08710640"/>
    <w:rsid w:val="0B8477C0"/>
    <w:rsid w:val="0CEC1180"/>
    <w:rsid w:val="0EB930BA"/>
    <w:rsid w:val="128C66A2"/>
    <w:rsid w:val="13EF430B"/>
    <w:rsid w:val="15C43D68"/>
    <w:rsid w:val="1846205E"/>
    <w:rsid w:val="1AB9337D"/>
    <w:rsid w:val="1ADE3600"/>
    <w:rsid w:val="22100F23"/>
    <w:rsid w:val="26A83973"/>
    <w:rsid w:val="27BD1FBA"/>
    <w:rsid w:val="27BD4109"/>
    <w:rsid w:val="2AFC37D9"/>
    <w:rsid w:val="2B111188"/>
    <w:rsid w:val="2DD53ECD"/>
    <w:rsid w:val="2EEA393E"/>
    <w:rsid w:val="3016309C"/>
    <w:rsid w:val="3163774D"/>
    <w:rsid w:val="32BE5A69"/>
    <w:rsid w:val="37892C29"/>
    <w:rsid w:val="37C84B38"/>
    <w:rsid w:val="38314E51"/>
    <w:rsid w:val="38AD48F1"/>
    <w:rsid w:val="3BD91F71"/>
    <w:rsid w:val="3C1A2437"/>
    <w:rsid w:val="3CDC1E2C"/>
    <w:rsid w:val="3E700FCE"/>
    <w:rsid w:val="3F082FC4"/>
    <w:rsid w:val="4292536A"/>
    <w:rsid w:val="45D252CD"/>
    <w:rsid w:val="480658CB"/>
    <w:rsid w:val="480850C3"/>
    <w:rsid w:val="48147164"/>
    <w:rsid w:val="49E56B4F"/>
    <w:rsid w:val="4AF1627F"/>
    <w:rsid w:val="4E836057"/>
    <w:rsid w:val="4EC76B11"/>
    <w:rsid w:val="524B6C6D"/>
    <w:rsid w:val="545F1046"/>
    <w:rsid w:val="54F327CF"/>
    <w:rsid w:val="560539E1"/>
    <w:rsid w:val="562865F2"/>
    <w:rsid w:val="58045CBA"/>
    <w:rsid w:val="58956C0A"/>
    <w:rsid w:val="59A2593A"/>
    <w:rsid w:val="5B96385B"/>
    <w:rsid w:val="5D185065"/>
    <w:rsid w:val="621E67DC"/>
    <w:rsid w:val="6A2C65CA"/>
    <w:rsid w:val="6B132381"/>
    <w:rsid w:val="6B953145"/>
    <w:rsid w:val="6D155E99"/>
    <w:rsid w:val="6D7C7F7E"/>
    <w:rsid w:val="6D7F7DC7"/>
    <w:rsid w:val="6DFB240C"/>
    <w:rsid w:val="6F4A5D3D"/>
    <w:rsid w:val="73693C55"/>
    <w:rsid w:val="75380736"/>
    <w:rsid w:val="76171A2F"/>
    <w:rsid w:val="77CA29AE"/>
    <w:rsid w:val="79E42316"/>
    <w:rsid w:val="7C4360F2"/>
    <w:rsid w:val="7CF62C63"/>
    <w:rsid w:val="7EB42F08"/>
    <w:rsid w:val="7F44312B"/>
    <w:rsid w:val="7FF3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Normal]"/>
    <w:qFormat/>
    <w:uiPriority w:val="6"/>
    <w:rPr>
      <w:rFonts w:ascii="宋体" w:hAnsi="宋体" w:eastAsia="宋体" w:cstheme="minorBidi"/>
      <w:color w:val="auto"/>
      <w:position w:val="0"/>
      <w:sz w:val="24"/>
      <w:u w:val="none"/>
      <w:shd w:val="clear" w:color="auto" w:fill="auto"/>
      <w:lang w:val="en-US" w:eastAsia="en-US" w:bidi="ar-S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9</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2023-08-15T03:36:38Z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AA97D58599954903BBB3C27CD00B7638</vt:lpwstr>
  </property>
</Properties>
</file>