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广阳区统计局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广阳区统计局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600" w:lineRule="exact"/>
        <w:ind w:firstLine="640"/>
        <w:rPr>
          <w:rFonts w:ascii="仿宋_GB2312" w:eastAsia="仿宋_GB2312"/>
          <w:sz w:val="32"/>
          <w:szCs w:val="32"/>
        </w:rPr>
      </w:pPr>
      <w:r>
        <w:rPr>
          <w:rFonts w:hint="eastAsia" w:ascii="仿宋_GB2312" w:eastAsia="仿宋_GB2312"/>
          <w:sz w:val="32"/>
          <w:szCs w:val="32"/>
        </w:rPr>
        <w:t>（一）组织领导和协调全区统计工作，确保统计数据真实、准确、完整、及时。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（二）制定统计建设规划、统计调查计划、统计调查制度，指导和规范全区统计行政执法工作，监督检查统计法律、法规贯彻实施情况，组织实施统计法律法规宣传教育, 依法查处统计违法行为。组织实施统计执法监督检查和“双随机”抽查，依法查处统计违法案件，预防和查处统计造假、弄虚作假，受理、办理、督办统计违法举报。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贯彻执行国家和省、市国民经济核算制度，组织实施全区国民经济核算制度和民营经济统计制度。统一核算全区地区生产总值及派生产业增加值；组织实施投入产出调查工作；整理、测算和提供国民经济核算资料；监督管理全区国民经济核算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（四）拟订重大区情区力普查调查计划、方案，组织实施全区人口、经济、农业等重大普查调查，汇总、整理和提供有关区情区力方面的统计数据。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组织实施全区农林牧渔业、工业、建筑业、批发和零售业、住宿和餐饮业、房地产、服务业及能源、投资、消费、人口和城镇化率、劳动工资、就业、社会、科技、文化产业、城市基本情况、乡村两级社会经济基本情况、资源环境、战略性新兴产业、高新技术产业、民营经济等统计调查，收集、汇总、整理和提供统计数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（六）综合整理和提供财政、金融、旅游、交通运输、邮政、地质勘查、教育、体育、卫生、社会保障、公用事业、对外经济、收入、价格等基本统计数据。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（七）组织全区和各</w:t>
      </w:r>
      <w:r>
        <w:rPr>
          <w:rFonts w:hint="eastAsia" w:ascii="仿宋_GB2312" w:eastAsia="仿宋_GB2312"/>
          <w:sz w:val="32"/>
          <w:szCs w:val="32"/>
          <w:lang w:eastAsia="zh-CN"/>
        </w:rPr>
        <w:t>单位</w:t>
      </w:r>
      <w:r>
        <w:rPr>
          <w:rFonts w:hint="eastAsia" w:ascii="仿宋_GB2312" w:eastAsia="仿宋_GB2312"/>
          <w:sz w:val="32"/>
          <w:szCs w:val="32"/>
        </w:rPr>
        <w:t>的经济、社会、科技、服务业统计调查，统一核定、管理、公布全区性基本统计资料，定期发布全区国民经济和社会发展情况的统计信息，组织建立统计信息共享制度和发布制度。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（八）对国民经济、社会发展、科技进步和资源环境等情况进行统计分析、统计预测和统计监督，向区委、区政府及有关</w:t>
      </w:r>
      <w:r>
        <w:rPr>
          <w:rFonts w:hint="eastAsia" w:ascii="仿宋_GB2312" w:eastAsia="仿宋_GB2312"/>
          <w:sz w:val="32"/>
          <w:szCs w:val="32"/>
          <w:lang w:eastAsia="zh-CN"/>
        </w:rPr>
        <w:t>单位</w:t>
      </w:r>
      <w:r>
        <w:rPr>
          <w:rFonts w:hint="eastAsia" w:ascii="仿宋_GB2312" w:eastAsia="仿宋_GB2312"/>
          <w:sz w:val="32"/>
          <w:szCs w:val="32"/>
        </w:rPr>
        <w:t>提供统计信息和咨询建议。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（九）依法审批管理</w:t>
      </w:r>
      <w:r>
        <w:rPr>
          <w:rFonts w:hint="eastAsia" w:ascii="仿宋_GB2312" w:eastAsia="仿宋_GB2312"/>
          <w:sz w:val="32"/>
          <w:szCs w:val="32"/>
          <w:lang w:eastAsia="zh-CN"/>
        </w:rPr>
        <w:t>单位</w:t>
      </w:r>
      <w:r>
        <w:rPr>
          <w:rFonts w:hint="eastAsia" w:ascii="仿宋_GB2312" w:eastAsia="仿宋_GB2312"/>
          <w:sz w:val="32"/>
          <w:szCs w:val="32"/>
        </w:rPr>
        <w:t>和地方统计调查项目；指导专业统计基础工作、统计基层基础业务建设；组织建立统计信息管理制度，建立健全统计数据质量审核、监控和评估制度，开展对统计数据质量的检查和评估。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（十）建立并管理全区统计信息化系统和统计数据库系统，组织制定全区统计数据库和网络的基本标准和运行规则，指导全区统计信息化系统建设。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（十一）指导社会统计监测、社情民意调查、资料管理等工作；组织实施统计工作方面的国际交流合作项目和有关统计资料的交换、交流工作；会同有关</w:t>
      </w:r>
      <w:r>
        <w:rPr>
          <w:rFonts w:hint="eastAsia" w:ascii="仿宋_GB2312" w:eastAsia="仿宋_GB2312"/>
          <w:sz w:val="32"/>
          <w:szCs w:val="32"/>
          <w:lang w:eastAsia="zh-CN"/>
        </w:rPr>
        <w:t>单位</w:t>
      </w:r>
      <w:r>
        <w:rPr>
          <w:rFonts w:hint="eastAsia" w:ascii="仿宋_GB2312" w:eastAsia="仿宋_GB2312"/>
          <w:sz w:val="32"/>
          <w:szCs w:val="32"/>
        </w:rPr>
        <w:t>组织全区统计专业技术资格考试，组织专业技术职务聘任工作。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（十二）组织实施工业、建筑业、小微企业、服务业等行业的抽样与问卷调查；并开展调查情况分析研究。</w:t>
      </w:r>
    </w:p>
    <w:p>
      <w:pPr>
        <w:spacing w:line="584" w:lineRule="exact"/>
        <w:ind w:firstLine="660"/>
        <w:rPr>
          <w:rFonts w:ascii="Times New Roman" w:hAnsi="Times New Roman" w:eastAsia="仿宋_GB2312" w:cs="Times New Roman"/>
          <w:sz w:val="32"/>
          <w:szCs w:val="32"/>
        </w:rPr>
      </w:pPr>
      <w:r>
        <w:rPr>
          <w:rFonts w:hint="eastAsia" w:ascii="仿宋_GB2312" w:eastAsia="仿宋_GB2312"/>
          <w:sz w:val="32"/>
          <w:szCs w:val="32"/>
        </w:rPr>
        <w:t>（十三）完成区委、区政府和上级统计</w:t>
      </w:r>
      <w:r>
        <w:rPr>
          <w:rFonts w:hint="eastAsia" w:ascii="仿宋_GB2312" w:eastAsia="仿宋_GB2312"/>
          <w:sz w:val="32"/>
          <w:szCs w:val="32"/>
          <w:lang w:eastAsia="zh-CN"/>
        </w:rPr>
        <w:t>单位</w:t>
      </w:r>
      <w:r>
        <w:rPr>
          <w:rFonts w:hint="eastAsia" w:ascii="仿宋_GB2312" w:eastAsia="仿宋_GB2312"/>
          <w:sz w:val="32"/>
          <w:szCs w:val="32"/>
        </w:rPr>
        <w:t>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109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03"/>
        <w:gridCol w:w="1357"/>
        <w:gridCol w:w="1276"/>
        <w:gridCol w:w="34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903"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357"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462"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903" w:type="dxa"/>
            <w:vMerge w:val="continue"/>
            <w:noWrap w:val="0"/>
            <w:vAlign w:val="center"/>
          </w:tcPr>
          <w:p/>
        </w:tc>
        <w:tc>
          <w:tcPr>
            <w:tcW w:w="1357" w:type="dxa"/>
            <w:vMerge w:val="continue"/>
            <w:noWrap w:val="0"/>
            <w:vAlign w:val="center"/>
          </w:tcPr>
          <w:p/>
        </w:tc>
        <w:tc>
          <w:tcPr>
            <w:tcW w:w="1276" w:type="dxa"/>
            <w:vMerge w:val="continue"/>
            <w:noWrap w:val="0"/>
            <w:vAlign w:val="center"/>
          </w:tcPr>
          <w:p/>
        </w:tc>
        <w:tc>
          <w:tcPr>
            <w:tcW w:w="3462" w:type="dxa"/>
            <w:vMerge w:val="continue"/>
            <w:noWrap w:val="0"/>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903"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廊坊市广阳区统计局</w:t>
            </w:r>
          </w:p>
        </w:tc>
        <w:tc>
          <w:tcPr>
            <w:tcW w:w="1357"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3462"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财政拨款（行政）</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广阳区统计局</w:t>
      </w:r>
      <w:r>
        <w:rPr>
          <w:rFonts w:ascii="Times New Roman" w:hAnsi="Times New Roman" w:eastAsia="仿宋_GB2312" w:cs="Times New Roman"/>
          <w:sz w:val="32"/>
          <w:szCs w:val="32"/>
        </w:rPr>
        <w:t>机关的收支包含在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656.53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656.53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广阳区统计局2022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656.53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606.53</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537.78</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68.75</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50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656.53</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1年预算增加49.19万元，其中：基本支出增加</w:t>
      </w:r>
      <w:r>
        <w:rPr>
          <w:rFonts w:hint="eastAsia" w:ascii="Times New Roman" w:hAnsi="Times New Roman" w:eastAsia="仿宋_GB2312" w:cs="Times New Roman"/>
          <w:sz w:val="32"/>
          <w:szCs w:val="32"/>
        </w:rPr>
        <w:t>9.19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公用项目经费；项目支出增加</w:t>
      </w:r>
      <w:r>
        <w:rPr>
          <w:rFonts w:hint="eastAsia" w:ascii="Times New Roman" w:hAnsi="Times New Roman" w:eastAsia="仿宋_GB2312" w:cs="Times New Roman"/>
          <w:sz w:val="32"/>
          <w:szCs w:val="32"/>
        </w:rPr>
        <w:t>40</w:t>
      </w:r>
      <w:r>
        <w:rPr>
          <w:rFonts w:ascii="Times New Roman" w:hAnsi="Times New Roman" w:eastAsia="仿宋_GB2312" w:cs="Times New Roman"/>
          <w:sz w:val="32"/>
          <w:szCs w:val="32"/>
        </w:rPr>
        <w:t>万元，主要为四上企业培训费及统计人员补助经费项目支出。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68.75</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统计局</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27" w:firstLineChars="196"/>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hint="eastAsia" w:ascii="仿宋_GB2312" w:hAnsi="仿宋_GB2312" w:eastAsia="仿宋_GB2312" w:cs="仿宋_GB2312"/>
          <w:color w:val="000000"/>
          <w:sz w:val="32"/>
          <w:szCs w:val="32"/>
        </w:rPr>
      </w:pPr>
      <w:r>
        <w:rPr>
          <w:rFonts w:hint="eastAsia" w:ascii="Times New Roman" w:hAnsi="Times New Roman" w:eastAsia="仿宋_GB2312" w:cs="Times New Roman"/>
          <w:sz w:val="32"/>
          <w:szCs w:val="32"/>
        </w:rPr>
        <w:t>组织完成国家部署的国情国力普查及重要调查任务，研究提出重大区情区力普查和抽样调查计划并组织实施，汇总、整理和提供有关区情区力的统计数据。组织开展专项统计调查，了解基层情况和动态提供统计信息和咨询建议。保障全区统计信息自动化系统和统计数据库系统运行安全平稳，保证统计数据的顺利报送，保障机关日常运转，健全全区统计法制建设，指导全区统计队伍建设。</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1、在全区开展GDP核算工作，完成全区年度数据的测算审核认定工作，对相关经济决策提供重要依据。</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绩效目标：完成国民经济核算。</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绩效指标：专项统计完成率；社会影响力；</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2、组织国情国力普查和工业、农业、能源、建筑业、服务业、贸易业等涉及相关行业的专项统计调查监测，收集、整理统计数据，提供咨询建议。</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绩效目标：完成统计调查</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绩效指标：专项统计完成率；</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3、保障机关日常运转，健全全区统计法制建设，指导全区统计队伍建设。</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绩效目标：完成统计政务管理</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绩效指标：业务培训次数；经费保障及时性；各项经费支出标准；保障办公需要，维持单位正常运转；服务对象满意度。</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一是规范内部管理制度。通过建立健全本单位《财务管理制度》、《内部控制制度》等，强化单位内部岗位责任制，进一步加强会计机构建设，严格履行决策程序。</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是严格资金支出管理。加强对专项资金收入和支出的管理，严格按预算规定用途合理使用资金，确保资金专款专用。严格执行非税收入，政府采购等各项管理规定。厉行节俭，严格执行各项费用开支范围和标准，保证“三公”经费支出的合法性、合规性。</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是加强财务知识学习。组织单位主要负责人、分管财务领导及财务人员认真学习财政部《中华人民共和国预算法》、《会计法》、《行政单位会计制度》、《行政单位财务规则》等相关法规、制度，进一步提高相关人员业务水平，增强财经法律观念。</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四是进一步完善内部管理制度，建立监督管理机制，加强内部监督，规范财务管理，在财务管理中要严格执行财经纪律，公正、客观、依规办事。</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是强化绩效理念，深入推进评价工作。对各项管理制度进行认真梳理，逐条查找制度漏洞，构建风险防范制度，进一步强化绩效管理理念，将“要我评价”的被动认识转化为“我要评价”的主动实践，健全完善制度办法，深入推进评价工作，提升整体绩效管理水平。</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是强化事前准备，提升评价质量。在推进自身评价工作开展时，结合评价工作实际，完善项目支出评价一级指标体系，规范评价标准，立足管理需求，预设评价重点，确保绩效评价结果公正、客观、精准，真实反映绩效，如实反映问题，切实提高评价质量。</w:t>
      </w: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2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307"/>
        <w:gridCol w:w="1009"/>
        <w:gridCol w:w="976"/>
        <w:gridCol w:w="2693"/>
        <w:gridCol w:w="3685"/>
        <w:gridCol w:w="709"/>
        <w:gridCol w:w="567"/>
        <w:gridCol w:w="662"/>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307"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009"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976"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693"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3685"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938" w:type="dxa"/>
            <w:gridSpan w:val="3"/>
            <w:noWrap w:val="0"/>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307" w:type="dxa"/>
            <w:vMerge w:val="continue"/>
            <w:noWrap w:val="0"/>
            <w:vAlign w:val="center"/>
          </w:tcPr>
          <w:p/>
        </w:tc>
        <w:tc>
          <w:tcPr>
            <w:tcW w:w="1009" w:type="dxa"/>
            <w:vMerge w:val="continue"/>
            <w:noWrap w:val="0"/>
            <w:vAlign w:val="center"/>
          </w:tcPr>
          <w:p/>
        </w:tc>
        <w:tc>
          <w:tcPr>
            <w:tcW w:w="976" w:type="dxa"/>
            <w:vMerge w:val="continue"/>
            <w:noWrap w:val="0"/>
            <w:vAlign w:val="center"/>
          </w:tcPr>
          <w:p/>
        </w:tc>
        <w:tc>
          <w:tcPr>
            <w:tcW w:w="2693" w:type="dxa"/>
            <w:vMerge w:val="continue"/>
            <w:noWrap w:val="0"/>
            <w:vAlign w:val="center"/>
          </w:tcPr>
          <w:p/>
        </w:tc>
        <w:tc>
          <w:tcPr>
            <w:tcW w:w="3685" w:type="dxa"/>
            <w:vMerge w:val="continue"/>
            <w:noWrap w:val="0"/>
            <w:vAlign w:val="center"/>
          </w:tcPr>
          <w:p/>
        </w:tc>
        <w:tc>
          <w:tcPr>
            <w:tcW w:w="709" w:type="dxa"/>
            <w:noWrap w:val="0"/>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67" w:type="dxa"/>
            <w:noWrap w:val="0"/>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662" w:type="dxa"/>
            <w:noWrap w:val="0"/>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307" w:type="dxa"/>
            <w:vMerge w:val="restart"/>
            <w:noWrap w:val="0"/>
            <w:vAlign w:val="center"/>
          </w:tcPr>
          <w:p>
            <w:pPr>
              <w:widowControl/>
              <w:adjustRightInd w:val="0"/>
              <w:snapToGrid w:val="0"/>
              <w:jc w:val="center"/>
              <w:rPr>
                <w:rFonts w:ascii="方正书宋_GBK" w:eastAsia="方正书宋_GBK"/>
                <w:b/>
                <w:bCs/>
              </w:rPr>
            </w:pPr>
            <w:r>
              <w:rPr>
                <w:rFonts w:hint="eastAsia" w:ascii="方正书宋_GBK" w:eastAsia="方正书宋_GBK"/>
                <w:b/>
                <w:bCs/>
                <w:lang w:eastAsia="zh-CN"/>
              </w:rPr>
              <w:t>单位</w:t>
            </w:r>
            <w:r>
              <w:rPr>
                <w:rFonts w:ascii="方正书宋_GBK" w:eastAsia="方正书宋_GBK"/>
                <w:b/>
                <w:bCs/>
              </w:rPr>
              <w:t>产出</w:t>
            </w:r>
          </w:p>
        </w:tc>
        <w:tc>
          <w:tcPr>
            <w:tcW w:w="1009" w:type="dxa"/>
            <w:noWrap w:val="0"/>
            <w:vAlign w:val="center"/>
          </w:tcPr>
          <w:p>
            <w:pPr>
              <w:widowControl/>
              <w:adjustRightInd w:val="0"/>
              <w:snapToGrid w:val="0"/>
              <w:jc w:val="center"/>
              <w:rPr>
                <w:rFonts w:ascii="方正书宋_GBK" w:eastAsia="方正书宋_GBK"/>
                <w:b/>
                <w:bCs/>
              </w:rPr>
            </w:pPr>
            <w:r>
              <w:rPr>
                <w:rFonts w:ascii="方正书宋_GBK" w:eastAsia="方正书宋_GBK"/>
                <w:b/>
                <w:bCs/>
              </w:rPr>
              <w:t>数量</w:t>
            </w:r>
          </w:p>
        </w:tc>
        <w:tc>
          <w:tcPr>
            <w:tcW w:w="976"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业务培训次数</w:t>
            </w:r>
          </w:p>
        </w:tc>
        <w:tc>
          <w:tcPr>
            <w:tcW w:w="2693"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等于指标值得10分，不等于指标值得0分</w:t>
            </w:r>
          </w:p>
        </w:tc>
        <w:tc>
          <w:tcPr>
            <w:tcW w:w="3685"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业务培训次数</w:t>
            </w:r>
          </w:p>
        </w:tc>
        <w:tc>
          <w:tcPr>
            <w:tcW w:w="709"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w:t>
            </w:r>
          </w:p>
        </w:tc>
        <w:tc>
          <w:tcPr>
            <w:tcW w:w="567"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1</w:t>
            </w:r>
          </w:p>
        </w:tc>
        <w:tc>
          <w:tcPr>
            <w:tcW w:w="662"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次</w:t>
            </w:r>
          </w:p>
        </w:tc>
        <w:tc>
          <w:tcPr>
            <w:tcW w:w="1277"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07" w:type="dxa"/>
            <w:vMerge w:val="continue"/>
            <w:noWrap w:val="0"/>
            <w:vAlign w:val="center"/>
          </w:tcPr>
          <w:p>
            <w:pPr>
              <w:rPr>
                <w:b/>
                <w:bCs/>
              </w:rPr>
            </w:pPr>
          </w:p>
        </w:tc>
        <w:tc>
          <w:tcPr>
            <w:tcW w:w="1009" w:type="dxa"/>
            <w:noWrap w:val="0"/>
            <w:vAlign w:val="center"/>
          </w:tcPr>
          <w:p>
            <w:pPr>
              <w:widowControl/>
              <w:adjustRightInd w:val="0"/>
              <w:snapToGrid w:val="0"/>
              <w:jc w:val="center"/>
              <w:rPr>
                <w:rFonts w:ascii="方正书宋_GBK" w:eastAsia="方正书宋_GBK"/>
                <w:b/>
                <w:bCs/>
              </w:rPr>
            </w:pPr>
            <w:r>
              <w:rPr>
                <w:rFonts w:ascii="方正书宋_GBK" w:eastAsia="方正书宋_GBK"/>
                <w:b/>
                <w:bCs/>
              </w:rPr>
              <w:t>质量</w:t>
            </w:r>
          </w:p>
        </w:tc>
        <w:tc>
          <w:tcPr>
            <w:tcW w:w="976"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专项统计完成率</w:t>
            </w:r>
          </w:p>
        </w:tc>
        <w:tc>
          <w:tcPr>
            <w:tcW w:w="2693"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大于等于90%得20分，大于等于80%小于90%得10分，小于80%得0分</w:t>
            </w:r>
          </w:p>
        </w:tc>
        <w:tc>
          <w:tcPr>
            <w:tcW w:w="3685"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各类专项统计调查任务（包括各项调查报表的月报、季报、年报）完成程度占所有调查任务的比重</w:t>
            </w:r>
          </w:p>
        </w:tc>
        <w:tc>
          <w:tcPr>
            <w:tcW w:w="709"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w:t>
            </w:r>
          </w:p>
        </w:tc>
        <w:tc>
          <w:tcPr>
            <w:tcW w:w="567"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90</w:t>
            </w:r>
          </w:p>
        </w:tc>
        <w:tc>
          <w:tcPr>
            <w:tcW w:w="662"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w:t>
            </w:r>
          </w:p>
        </w:tc>
        <w:tc>
          <w:tcPr>
            <w:tcW w:w="1277"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307" w:type="dxa"/>
            <w:vMerge w:val="continue"/>
            <w:noWrap w:val="0"/>
            <w:vAlign w:val="center"/>
          </w:tcPr>
          <w:p>
            <w:pPr>
              <w:rPr>
                <w:b/>
                <w:bCs/>
              </w:rPr>
            </w:pPr>
          </w:p>
        </w:tc>
        <w:tc>
          <w:tcPr>
            <w:tcW w:w="1009" w:type="dxa"/>
            <w:noWrap w:val="0"/>
            <w:vAlign w:val="center"/>
          </w:tcPr>
          <w:p>
            <w:pPr>
              <w:widowControl/>
              <w:adjustRightInd w:val="0"/>
              <w:snapToGrid w:val="0"/>
              <w:jc w:val="center"/>
              <w:rPr>
                <w:rFonts w:ascii="方正书宋_GBK" w:eastAsia="方正书宋_GBK"/>
                <w:b/>
                <w:bCs/>
              </w:rPr>
            </w:pPr>
            <w:r>
              <w:rPr>
                <w:rFonts w:ascii="方正书宋_GBK" w:eastAsia="方正书宋_GBK"/>
                <w:b/>
                <w:bCs/>
              </w:rPr>
              <w:t>时效</w:t>
            </w:r>
          </w:p>
        </w:tc>
        <w:tc>
          <w:tcPr>
            <w:tcW w:w="976"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经费保障及时性</w:t>
            </w:r>
          </w:p>
        </w:tc>
        <w:tc>
          <w:tcPr>
            <w:tcW w:w="2693"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等于指标值得10分，不等于指标值得0分</w:t>
            </w:r>
          </w:p>
        </w:tc>
        <w:tc>
          <w:tcPr>
            <w:tcW w:w="3685"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及时保障各项工作需要</w:t>
            </w:r>
          </w:p>
        </w:tc>
        <w:tc>
          <w:tcPr>
            <w:tcW w:w="709"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文字描述</w:t>
            </w:r>
          </w:p>
        </w:tc>
        <w:tc>
          <w:tcPr>
            <w:tcW w:w="567" w:type="dxa"/>
            <w:noWrap w:val="0"/>
            <w:vAlign w:val="top"/>
          </w:tcPr>
          <w:p>
            <w:pPr>
              <w:jc w:val="left"/>
              <w:rPr>
                <w:rFonts w:ascii="仿宋" w:hAnsi="仿宋" w:eastAsia="仿宋"/>
              </w:rPr>
            </w:pPr>
          </w:p>
        </w:tc>
        <w:tc>
          <w:tcPr>
            <w:tcW w:w="662"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及时保障</w:t>
            </w:r>
          </w:p>
        </w:tc>
        <w:tc>
          <w:tcPr>
            <w:tcW w:w="1277"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07" w:type="dxa"/>
            <w:vMerge w:val="continue"/>
            <w:noWrap w:val="0"/>
            <w:vAlign w:val="center"/>
          </w:tcPr>
          <w:p>
            <w:pPr>
              <w:rPr>
                <w:b/>
                <w:bCs/>
              </w:rPr>
            </w:pPr>
          </w:p>
        </w:tc>
        <w:tc>
          <w:tcPr>
            <w:tcW w:w="1009" w:type="dxa"/>
            <w:noWrap w:val="0"/>
            <w:vAlign w:val="center"/>
          </w:tcPr>
          <w:p>
            <w:pPr>
              <w:widowControl/>
              <w:adjustRightInd w:val="0"/>
              <w:snapToGrid w:val="0"/>
              <w:jc w:val="center"/>
              <w:rPr>
                <w:rFonts w:ascii="方正书宋_GBK" w:eastAsia="方正书宋_GBK"/>
                <w:b/>
                <w:bCs/>
              </w:rPr>
            </w:pPr>
            <w:r>
              <w:rPr>
                <w:rFonts w:ascii="方正书宋_GBK" w:eastAsia="方正书宋_GBK"/>
                <w:b/>
                <w:bCs/>
              </w:rPr>
              <w:t>成本</w:t>
            </w:r>
          </w:p>
        </w:tc>
        <w:tc>
          <w:tcPr>
            <w:tcW w:w="976"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各项经费支出标准</w:t>
            </w:r>
          </w:p>
        </w:tc>
        <w:tc>
          <w:tcPr>
            <w:tcW w:w="2693"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等于指标值得20分，不等于指标值得0分</w:t>
            </w:r>
          </w:p>
        </w:tc>
        <w:tc>
          <w:tcPr>
            <w:tcW w:w="3685"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办公费、水电费、交通费、会议费、工会经费、招待费及其他各项经费的开支符合标准</w:t>
            </w:r>
          </w:p>
        </w:tc>
        <w:tc>
          <w:tcPr>
            <w:tcW w:w="709"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文字描述</w:t>
            </w:r>
          </w:p>
        </w:tc>
        <w:tc>
          <w:tcPr>
            <w:tcW w:w="567" w:type="dxa"/>
            <w:noWrap w:val="0"/>
            <w:vAlign w:val="top"/>
          </w:tcPr>
          <w:p>
            <w:pPr>
              <w:jc w:val="left"/>
              <w:rPr>
                <w:rFonts w:ascii="仿宋" w:hAnsi="仿宋" w:eastAsia="仿宋"/>
              </w:rPr>
            </w:pPr>
          </w:p>
        </w:tc>
        <w:tc>
          <w:tcPr>
            <w:tcW w:w="662"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按统一规定执行</w:t>
            </w:r>
          </w:p>
        </w:tc>
        <w:tc>
          <w:tcPr>
            <w:tcW w:w="1277"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07" w:type="dxa"/>
            <w:vMerge w:val="restart"/>
            <w:noWrap w:val="0"/>
            <w:vAlign w:val="center"/>
          </w:tcPr>
          <w:p>
            <w:pPr>
              <w:adjustRightInd w:val="0"/>
              <w:snapToGrid w:val="0"/>
              <w:jc w:val="center"/>
              <w:rPr>
                <w:rFonts w:ascii="方正书宋_GBK" w:eastAsia="方正书宋_GBK"/>
                <w:b/>
                <w:bCs/>
              </w:rPr>
            </w:pPr>
            <w:r>
              <w:rPr>
                <w:rFonts w:hint="eastAsia" w:ascii="方正书宋_GBK" w:eastAsia="方正书宋_GBK"/>
                <w:b/>
                <w:bCs/>
                <w:lang w:eastAsia="zh-CN"/>
              </w:rPr>
              <w:t>单位</w:t>
            </w:r>
            <w:r>
              <w:rPr>
                <w:rFonts w:hint="eastAsia" w:ascii="方正书宋_GBK" w:eastAsia="方正书宋_GBK"/>
                <w:b/>
                <w:bCs/>
              </w:rPr>
              <w:t>效果</w:t>
            </w:r>
          </w:p>
        </w:tc>
        <w:tc>
          <w:tcPr>
            <w:tcW w:w="1009" w:type="dxa"/>
            <w:noWrap w:val="0"/>
            <w:vAlign w:val="center"/>
          </w:tcPr>
          <w:p>
            <w:pPr>
              <w:widowControl/>
              <w:adjustRightInd w:val="0"/>
              <w:snapToGrid w:val="0"/>
              <w:jc w:val="center"/>
              <w:rPr>
                <w:rFonts w:ascii="方正书宋_GBK" w:eastAsia="方正书宋_GBK"/>
                <w:b/>
                <w:bCs/>
              </w:rPr>
            </w:pPr>
            <w:r>
              <w:rPr>
                <w:rFonts w:ascii="方正书宋_GBK" w:eastAsia="方正书宋_GBK"/>
                <w:b/>
                <w:bCs/>
              </w:rPr>
              <w:t>社会</w:t>
            </w:r>
          </w:p>
          <w:p>
            <w:pPr>
              <w:widowControl/>
              <w:adjustRightInd w:val="0"/>
              <w:snapToGrid w:val="0"/>
              <w:jc w:val="center"/>
              <w:rPr>
                <w:rFonts w:ascii="方正书宋_GBK" w:eastAsia="方正书宋_GBK"/>
                <w:b/>
                <w:bCs/>
              </w:rPr>
            </w:pPr>
            <w:r>
              <w:rPr>
                <w:rFonts w:ascii="方正书宋_GBK" w:eastAsia="方正书宋_GBK"/>
                <w:b/>
                <w:bCs/>
              </w:rPr>
              <w:t>效益</w:t>
            </w:r>
          </w:p>
        </w:tc>
        <w:tc>
          <w:tcPr>
            <w:tcW w:w="976" w:type="dxa"/>
            <w:noWrap w:val="0"/>
            <w:vAlign w:val="top"/>
          </w:tcPr>
          <w:p>
            <w:pPr>
              <w:widowControl/>
              <w:jc w:val="left"/>
              <w:textAlignment w:val="top"/>
              <w:rPr>
                <w:rFonts w:ascii="仿宋" w:hAnsi="仿宋" w:eastAsia="仿宋" w:cs="Calibri"/>
                <w:color w:val="000000"/>
                <w:sz w:val="22"/>
              </w:rPr>
            </w:pPr>
            <w:r>
              <w:rPr>
                <w:rFonts w:ascii="仿宋" w:hAnsi="仿宋" w:eastAsia="仿宋" w:cs="Calibri"/>
                <w:color w:val="000000"/>
                <w:kern w:val="0"/>
                <w:sz w:val="22"/>
                <w:lang w:bidi="ar"/>
              </w:rPr>
              <w:t>保障办公需要，维持单位正常运转</w:t>
            </w:r>
          </w:p>
        </w:tc>
        <w:tc>
          <w:tcPr>
            <w:tcW w:w="2693" w:type="dxa"/>
            <w:noWrap w:val="0"/>
            <w:vAlign w:val="top"/>
          </w:tcPr>
          <w:p>
            <w:pPr>
              <w:widowControl/>
              <w:jc w:val="left"/>
              <w:textAlignment w:val="top"/>
              <w:rPr>
                <w:rFonts w:ascii="仿宋" w:hAnsi="仿宋" w:eastAsia="仿宋" w:cs="Calibri"/>
                <w:color w:val="000000"/>
                <w:sz w:val="22"/>
              </w:rPr>
            </w:pPr>
            <w:r>
              <w:rPr>
                <w:rFonts w:ascii="仿宋" w:hAnsi="仿宋" w:eastAsia="仿宋" w:cs="Calibri"/>
                <w:color w:val="000000"/>
                <w:kern w:val="0"/>
                <w:sz w:val="22"/>
                <w:lang w:bidi="ar"/>
              </w:rPr>
              <w:t>等于指标值得10分，不等于指标值得0分</w:t>
            </w:r>
          </w:p>
        </w:tc>
        <w:tc>
          <w:tcPr>
            <w:tcW w:w="3685" w:type="dxa"/>
            <w:noWrap w:val="0"/>
            <w:vAlign w:val="top"/>
          </w:tcPr>
          <w:p>
            <w:pPr>
              <w:widowControl/>
              <w:jc w:val="left"/>
              <w:textAlignment w:val="top"/>
              <w:rPr>
                <w:rFonts w:ascii="仿宋" w:hAnsi="仿宋" w:eastAsia="仿宋" w:cs="Calibri"/>
                <w:color w:val="000000"/>
                <w:sz w:val="22"/>
              </w:rPr>
            </w:pPr>
            <w:r>
              <w:rPr>
                <w:rFonts w:ascii="仿宋" w:hAnsi="仿宋" w:eastAsia="仿宋" w:cs="Calibri"/>
                <w:color w:val="000000"/>
                <w:kern w:val="0"/>
                <w:sz w:val="22"/>
                <w:lang w:bidi="ar"/>
              </w:rPr>
              <w:t>保障办公需要，维持单位正常运转</w:t>
            </w:r>
          </w:p>
        </w:tc>
        <w:tc>
          <w:tcPr>
            <w:tcW w:w="709"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文字描述</w:t>
            </w:r>
          </w:p>
        </w:tc>
        <w:tc>
          <w:tcPr>
            <w:tcW w:w="567" w:type="dxa"/>
            <w:noWrap w:val="0"/>
            <w:vAlign w:val="top"/>
          </w:tcPr>
          <w:p>
            <w:pPr>
              <w:jc w:val="left"/>
              <w:rPr>
                <w:rFonts w:ascii="仿宋" w:hAnsi="仿宋" w:eastAsia="仿宋"/>
              </w:rPr>
            </w:pPr>
          </w:p>
        </w:tc>
        <w:tc>
          <w:tcPr>
            <w:tcW w:w="662"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维持单位正常运转</w:t>
            </w:r>
          </w:p>
        </w:tc>
        <w:tc>
          <w:tcPr>
            <w:tcW w:w="1277"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07" w:type="dxa"/>
            <w:vMerge w:val="continue"/>
            <w:noWrap w:val="0"/>
            <w:vAlign w:val="center"/>
          </w:tcPr>
          <w:p>
            <w:pPr>
              <w:adjustRightInd w:val="0"/>
              <w:snapToGrid w:val="0"/>
              <w:jc w:val="center"/>
              <w:rPr>
                <w:rFonts w:ascii="方正书宋_GBK" w:eastAsia="方正书宋_GBK"/>
                <w:b/>
                <w:bCs/>
              </w:rPr>
            </w:pPr>
          </w:p>
        </w:tc>
        <w:tc>
          <w:tcPr>
            <w:tcW w:w="1009" w:type="dxa"/>
            <w:noWrap w:val="0"/>
            <w:vAlign w:val="center"/>
          </w:tcPr>
          <w:p>
            <w:pPr>
              <w:widowControl/>
              <w:adjustRightInd w:val="0"/>
              <w:snapToGrid w:val="0"/>
              <w:jc w:val="center"/>
              <w:rPr>
                <w:rFonts w:ascii="方正书宋_GBK" w:eastAsia="方正书宋_GBK"/>
                <w:b/>
                <w:bCs/>
              </w:rPr>
            </w:pPr>
            <w:r>
              <w:rPr>
                <w:rFonts w:ascii="方正书宋_GBK" w:eastAsia="方正书宋_GBK"/>
                <w:b/>
                <w:bCs/>
              </w:rPr>
              <w:t>社会</w:t>
            </w:r>
          </w:p>
          <w:p>
            <w:pPr>
              <w:widowControl/>
              <w:adjustRightInd w:val="0"/>
              <w:snapToGrid w:val="0"/>
              <w:jc w:val="center"/>
              <w:rPr>
                <w:rFonts w:ascii="方正书宋_GBK" w:eastAsia="方正书宋_GBK"/>
                <w:b/>
                <w:bCs/>
              </w:rPr>
            </w:pPr>
            <w:r>
              <w:rPr>
                <w:rFonts w:ascii="方正书宋_GBK" w:eastAsia="方正书宋_GBK"/>
                <w:b/>
                <w:bCs/>
              </w:rPr>
              <w:t>效益</w:t>
            </w:r>
          </w:p>
        </w:tc>
        <w:tc>
          <w:tcPr>
            <w:tcW w:w="976" w:type="dxa"/>
            <w:noWrap w:val="0"/>
            <w:vAlign w:val="top"/>
          </w:tcPr>
          <w:p>
            <w:pPr>
              <w:widowControl/>
              <w:jc w:val="left"/>
              <w:textAlignment w:val="top"/>
              <w:rPr>
                <w:rFonts w:ascii="仿宋" w:hAnsi="仿宋" w:eastAsia="仿宋" w:cs="Calibri"/>
                <w:color w:val="000000"/>
                <w:sz w:val="22"/>
              </w:rPr>
            </w:pPr>
            <w:r>
              <w:rPr>
                <w:rFonts w:ascii="仿宋" w:hAnsi="仿宋" w:eastAsia="仿宋" w:cs="Calibri"/>
                <w:color w:val="000000"/>
                <w:kern w:val="0"/>
                <w:sz w:val="22"/>
                <w:lang w:bidi="ar"/>
              </w:rPr>
              <w:t>社会影响力</w:t>
            </w:r>
          </w:p>
        </w:tc>
        <w:tc>
          <w:tcPr>
            <w:tcW w:w="2693" w:type="dxa"/>
            <w:noWrap w:val="0"/>
            <w:vAlign w:val="top"/>
          </w:tcPr>
          <w:p>
            <w:pPr>
              <w:widowControl/>
              <w:jc w:val="left"/>
              <w:textAlignment w:val="top"/>
              <w:rPr>
                <w:rFonts w:ascii="仿宋" w:hAnsi="仿宋" w:eastAsia="仿宋" w:cs="Calibri"/>
                <w:color w:val="000000"/>
                <w:sz w:val="22"/>
              </w:rPr>
            </w:pPr>
            <w:r>
              <w:rPr>
                <w:rFonts w:ascii="仿宋" w:hAnsi="仿宋" w:eastAsia="仿宋" w:cs="Calibri"/>
                <w:color w:val="000000"/>
                <w:kern w:val="0"/>
                <w:sz w:val="22"/>
                <w:lang w:bidi="ar"/>
              </w:rPr>
              <w:t>等于指标值得10分，不等于指标值得0分</w:t>
            </w:r>
          </w:p>
        </w:tc>
        <w:tc>
          <w:tcPr>
            <w:tcW w:w="3685" w:type="dxa"/>
            <w:noWrap w:val="0"/>
            <w:vAlign w:val="top"/>
          </w:tcPr>
          <w:p>
            <w:pPr>
              <w:widowControl/>
              <w:jc w:val="left"/>
              <w:textAlignment w:val="top"/>
              <w:rPr>
                <w:rFonts w:ascii="仿宋" w:hAnsi="仿宋" w:eastAsia="仿宋" w:cs="Calibri"/>
                <w:color w:val="000000"/>
                <w:sz w:val="22"/>
              </w:rPr>
            </w:pPr>
            <w:r>
              <w:rPr>
                <w:rFonts w:ascii="仿宋" w:hAnsi="仿宋" w:eastAsia="仿宋" w:cs="Calibri"/>
                <w:color w:val="000000"/>
                <w:kern w:val="0"/>
                <w:sz w:val="22"/>
                <w:lang w:bidi="ar"/>
              </w:rPr>
              <w:t>主要调查数据产品是否得到社会认可，没有产生不良影响</w:t>
            </w:r>
          </w:p>
        </w:tc>
        <w:tc>
          <w:tcPr>
            <w:tcW w:w="709"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文字描述</w:t>
            </w:r>
          </w:p>
        </w:tc>
        <w:tc>
          <w:tcPr>
            <w:tcW w:w="567" w:type="dxa"/>
            <w:noWrap w:val="0"/>
            <w:vAlign w:val="top"/>
          </w:tcPr>
          <w:p>
            <w:pPr>
              <w:jc w:val="left"/>
              <w:rPr>
                <w:rFonts w:ascii="仿宋" w:hAnsi="仿宋" w:eastAsia="仿宋"/>
              </w:rPr>
            </w:pPr>
          </w:p>
        </w:tc>
        <w:tc>
          <w:tcPr>
            <w:tcW w:w="662"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认可</w:t>
            </w:r>
          </w:p>
        </w:tc>
        <w:tc>
          <w:tcPr>
            <w:tcW w:w="1277"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307" w:type="dxa"/>
            <w:vMerge w:val="continue"/>
            <w:noWrap w:val="0"/>
            <w:vAlign w:val="center"/>
          </w:tcPr>
          <w:p>
            <w:pPr>
              <w:rPr>
                <w:b/>
                <w:bCs/>
              </w:rPr>
            </w:pPr>
          </w:p>
        </w:tc>
        <w:tc>
          <w:tcPr>
            <w:tcW w:w="1009" w:type="dxa"/>
            <w:noWrap w:val="0"/>
            <w:vAlign w:val="center"/>
          </w:tcPr>
          <w:p>
            <w:pPr>
              <w:widowControl/>
              <w:adjustRightInd w:val="0"/>
              <w:snapToGrid w:val="0"/>
              <w:jc w:val="center"/>
              <w:rPr>
                <w:rFonts w:ascii="方正书宋_GBK" w:eastAsia="方正书宋_GBK"/>
                <w:b/>
                <w:bCs/>
              </w:rPr>
            </w:pPr>
            <w:r>
              <w:rPr>
                <w:rFonts w:hint="eastAsia" w:ascii="方正书宋_GBK" w:eastAsia="方正书宋_GBK"/>
                <w:b/>
                <w:bCs/>
              </w:rPr>
              <w:t>满意度</w:t>
            </w:r>
          </w:p>
        </w:tc>
        <w:tc>
          <w:tcPr>
            <w:tcW w:w="976" w:type="dxa"/>
            <w:noWrap/>
            <w:vAlign w:val="top"/>
          </w:tcPr>
          <w:p>
            <w:pPr>
              <w:widowControl/>
              <w:jc w:val="left"/>
              <w:textAlignment w:val="top"/>
              <w:rPr>
                <w:rFonts w:ascii="仿宋" w:hAnsi="仿宋" w:eastAsia="仿宋" w:cs="Calibri"/>
                <w:color w:val="000000"/>
                <w:sz w:val="22"/>
              </w:rPr>
            </w:pPr>
            <w:r>
              <w:rPr>
                <w:rFonts w:ascii="仿宋" w:hAnsi="仿宋" w:eastAsia="仿宋" w:cs="Calibri"/>
                <w:color w:val="000000"/>
                <w:kern w:val="0"/>
                <w:sz w:val="22"/>
                <w:lang w:bidi="ar"/>
              </w:rPr>
              <w:t>服务对象满意度</w:t>
            </w:r>
          </w:p>
        </w:tc>
        <w:tc>
          <w:tcPr>
            <w:tcW w:w="2693" w:type="dxa"/>
            <w:noWrap/>
            <w:vAlign w:val="top"/>
          </w:tcPr>
          <w:p>
            <w:pPr>
              <w:widowControl/>
              <w:jc w:val="left"/>
              <w:textAlignment w:val="top"/>
              <w:rPr>
                <w:rFonts w:ascii="仿宋" w:hAnsi="仿宋" w:eastAsia="仿宋" w:cs="Calibri"/>
                <w:color w:val="000000"/>
                <w:sz w:val="22"/>
              </w:rPr>
            </w:pPr>
            <w:r>
              <w:rPr>
                <w:rFonts w:ascii="仿宋" w:hAnsi="仿宋" w:eastAsia="仿宋" w:cs="Calibri"/>
                <w:color w:val="000000"/>
                <w:kern w:val="0"/>
                <w:sz w:val="22"/>
                <w:lang w:bidi="ar"/>
              </w:rPr>
              <w:t>大于等于90%得20分，大于等于80%小于90%得1分，小于8</w:t>
            </w:r>
            <w:r>
              <w:rPr>
                <w:rFonts w:ascii="仿宋_GB2312" w:hAnsi="仿宋_GB2312" w:eastAsia="仿宋_GB2312" w:cs="仿宋_GB2312"/>
                <w:kern w:val="0"/>
                <w:szCs w:val="24"/>
                <w:lang w:eastAsia="uk-UA"/>
              </w:rPr>
              <w:t>0%得0分</w:t>
            </w:r>
          </w:p>
        </w:tc>
        <w:tc>
          <w:tcPr>
            <w:tcW w:w="3685" w:type="dxa"/>
            <w:noWrap/>
            <w:vAlign w:val="top"/>
          </w:tcPr>
          <w:p>
            <w:pPr>
              <w:widowControl/>
              <w:jc w:val="left"/>
              <w:textAlignment w:val="top"/>
              <w:rPr>
                <w:rFonts w:ascii="仿宋" w:hAnsi="仿宋" w:eastAsia="仿宋" w:cs="Calibri"/>
                <w:color w:val="000000"/>
                <w:sz w:val="22"/>
              </w:rPr>
            </w:pPr>
            <w:r>
              <w:rPr>
                <w:rFonts w:ascii="仿宋" w:hAnsi="仿宋" w:eastAsia="仿宋" w:cs="Calibri"/>
                <w:color w:val="000000"/>
                <w:kern w:val="0"/>
                <w:sz w:val="22"/>
                <w:lang w:bidi="ar"/>
              </w:rPr>
              <w:t>服务对象对此项工作的满意人数占服务对象意见总人数的比重</w:t>
            </w:r>
          </w:p>
        </w:tc>
        <w:tc>
          <w:tcPr>
            <w:tcW w:w="709"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w:t>
            </w:r>
          </w:p>
        </w:tc>
        <w:tc>
          <w:tcPr>
            <w:tcW w:w="567"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90</w:t>
            </w:r>
          </w:p>
        </w:tc>
        <w:tc>
          <w:tcPr>
            <w:tcW w:w="662"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w:t>
            </w:r>
          </w:p>
        </w:tc>
        <w:tc>
          <w:tcPr>
            <w:tcW w:w="1277"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工作计划</w:t>
            </w:r>
          </w:p>
        </w:tc>
      </w:tr>
    </w:tbl>
    <w:p>
      <w:pPr>
        <w:numPr>
          <w:ilvl w:val="0"/>
          <w:numId w:val="1"/>
        </w:numPr>
        <w:spacing w:line="584"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1.四上企业培训费及统计人员补助经费绩效目标表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1.确保统计数据质量</w:t>
            </w:r>
          </w:p>
          <w:p>
            <w:pPr>
              <w:spacing w:line="280" w:lineRule="exact"/>
              <w:rPr>
                <w:rFonts w:ascii="Times New Roman" w:hAnsi="Times New Roman" w:eastAsia="仿宋_GB2312" w:cs="Times New Roman"/>
                <w:b/>
              </w:rPr>
            </w:pPr>
            <w:r>
              <w:rPr>
                <w:rFonts w:hint="eastAsia" w:ascii="仿宋_GB2312" w:hAnsi="仿宋_GB2312" w:eastAsia="仿宋_GB2312" w:cs="仿宋_GB2312"/>
              </w:rPr>
              <w:t>2.确保各项统计调查任务完成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noWrap w:val="0"/>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noWrap w:val="0"/>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noWrap w:val="0"/>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noWrap w:val="0"/>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noWrap w:val="0"/>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280" w:lineRule="exact"/>
              <w:jc w:val="center"/>
              <w:rPr>
                <w:rFonts w:ascii="Times New Roman" w:hAnsi="Times New Roman" w:eastAsia="仿宋_GB2312" w:cs="Times New Roman"/>
              </w:rPr>
            </w:pPr>
            <w:r>
              <w:rPr>
                <w:rFonts w:ascii="Times New Roman" w:hAnsi="Times New Roman" w:eastAsia="仿宋_GB2312" w:cs="Times New Roman"/>
              </w:rPr>
              <w:t>产出指标</w:t>
            </w:r>
          </w:p>
          <w:p>
            <w:pPr>
              <w:spacing w:line="280" w:lineRule="exact"/>
            </w:pPr>
          </w:p>
        </w:tc>
        <w:tc>
          <w:tcPr>
            <w:tcW w:w="2268"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补贴发放人次</w:t>
            </w:r>
          </w:p>
        </w:tc>
        <w:tc>
          <w:tcPr>
            <w:tcW w:w="3402"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补贴发放人次</w:t>
            </w:r>
          </w:p>
        </w:tc>
        <w:tc>
          <w:tcPr>
            <w:tcW w:w="1843"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4000人次</w:t>
            </w:r>
          </w:p>
        </w:tc>
        <w:tc>
          <w:tcPr>
            <w:tcW w:w="215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spacing w:line="280" w:lineRule="exact"/>
            </w:pPr>
          </w:p>
        </w:tc>
        <w:tc>
          <w:tcPr>
            <w:tcW w:w="2268"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业务培训人数</w:t>
            </w:r>
          </w:p>
        </w:tc>
        <w:tc>
          <w:tcPr>
            <w:tcW w:w="3402"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业务培训人数</w:t>
            </w:r>
          </w:p>
        </w:tc>
        <w:tc>
          <w:tcPr>
            <w:tcW w:w="1843"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1000人</w:t>
            </w:r>
          </w:p>
        </w:tc>
        <w:tc>
          <w:tcPr>
            <w:tcW w:w="215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spacing w:line="280" w:lineRule="exact"/>
            </w:pPr>
          </w:p>
        </w:tc>
        <w:tc>
          <w:tcPr>
            <w:tcW w:w="2268"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业务培训次数</w:t>
            </w:r>
          </w:p>
        </w:tc>
        <w:tc>
          <w:tcPr>
            <w:tcW w:w="3402"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业务培训次数</w:t>
            </w:r>
          </w:p>
        </w:tc>
        <w:tc>
          <w:tcPr>
            <w:tcW w:w="1843"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1次</w:t>
            </w:r>
          </w:p>
        </w:tc>
        <w:tc>
          <w:tcPr>
            <w:tcW w:w="215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1" w:hRule="atLeast"/>
          <w:jc w:val="center"/>
        </w:trPr>
        <w:tc>
          <w:tcPr>
            <w:tcW w:w="2409" w:type="dxa"/>
            <w:vMerge w:val="continue"/>
            <w:noWrap w:val="0"/>
            <w:vAlign w:val="center"/>
          </w:tcPr>
          <w:p>
            <w:pPr>
              <w:spacing w:line="280" w:lineRule="exact"/>
            </w:pPr>
          </w:p>
        </w:tc>
        <w:tc>
          <w:tcPr>
            <w:tcW w:w="2268"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专项统计完成率</w:t>
            </w:r>
          </w:p>
        </w:tc>
        <w:tc>
          <w:tcPr>
            <w:tcW w:w="3402"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各类专项统计调查任务（包括各项调查报表的月报、季报、年报）完成程度占所有调查任务的比重</w:t>
            </w:r>
          </w:p>
        </w:tc>
        <w:tc>
          <w:tcPr>
            <w:tcW w:w="1843"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spacing w:line="280" w:lineRule="exact"/>
            </w:pPr>
          </w:p>
        </w:tc>
        <w:tc>
          <w:tcPr>
            <w:tcW w:w="2268"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补助发放及时性</w:t>
            </w:r>
          </w:p>
        </w:tc>
        <w:tc>
          <w:tcPr>
            <w:tcW w:w="3402"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按照季度及时发放补助</w:t>
            </w:r>
          </w:p>
        </w:tc>
        <w:tc>
          <w:tcPr>
            <w:tcW w:w="1843"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及时发放</w:t>
            </w:r>
          </w:p>
        </w:tc>
        <w:tc>
          <w:tcPr>
            <w:tcW w:w="215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spacing w:line="280" w:lineRule="exact"/>
            </w:pPr>
          </w:p>
        </w:tc>
        <w:tc>
          <w:tcPr>
            <w:tcW w:w="2268"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资金投入量</w:t>
            </w:r>
          </w:p>
        </w:tc>
        <w:tc>
          <w:tcPr>
            <w:tcW w:w="3402"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对项目经费进行控制</w:t>
            </w:r>
          </w:p>
        </w:tc>
        <w:tc>
          <w:tcPr>
            <w:tcW w:w="1843"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≤50万元</w:t>
            </w:r>
          </w:p>
        </w:tc>
        <w:tc>
          <w:tcPr>
            <w:tcW w:w="215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年度决算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28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社会影响力</w:t>
            </w:r>
          </w:p>
        </w:tc>
        <w:tc>
          <w:tcPr>
            <w:tcW w:w="3402"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主要调查数据产品是否得到社会认可，没有产生不良影响</w:t>
            </w:r>
          </w:p>
        </w:tc>
        <w:tc>
          <w:tcPr>
            <w:tcW w:w="1843"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认可</w:t>
            </w:r>
          </w:p>
        </w:tc>
        <w:tc>
          <w:tcPr>
            <w:tcW w:w="215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28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3402"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“四上企业”统计人员对此项工作的满意人数占服务对象意见总人数的比重</w:t>
            </w:r>
          </w:p>
        </w:tc>
        <w:tc>
          <w:tcPr>
            <w:tcW w:w="1843"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00" w:lineRule="exact"/>
        <w:ind w:firstLine="420"/>
        <w:rPr>
          <w:rFonts w:ascii="Times New Roman" w:hAnsi="Times New Roman" w:eastAsia="等线"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w:t>
      </w:r>
      <w:bookmarkEnd w:id="1"/>
      <w:r>
        <w:rPr>
          <w:rFonts w:ascii="Times New Roman" w:hAnsi="Times New Roman" w:eastAsia="仿宋_GB2312" w:cs="Times New Roman"/>
          <w:sz w:val="32"/>
          <w:szCs w:val="24"/>
        </w:rPr>
        <w:t>具体内容见下表。</w:t>
      </w:r>
    </w:p>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jc w:val="left"/>
        <w:outlineLvl w:val="1"/>
        <w:rPr>
          <w:rFonts w:ascii="方正小标宋_GBK" w:eastAsia="方正小标宋_GBK" w:cs="Times New Roman"/>
          <w:sz w:val="32"/>
        </w:rPr>
      </w:pPr>
      <w:r>
        <w:rPr>
          <w:rFonts w:hint="eastAsia"/>
        </w:rPr>
        <w:t>[</w:t>
      </w:r>
      <w:r>
        <w:t>227001]廊坊市</w:t>
      </w:r>
      <w:r>
        <w:rPr>
          <w:rFonts w:hint="eastAsia"/>
        </w:rPr>
        <w:t>广阳区统计局</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90"/>
        <w:gridCol w:w="1043"/>
        <w:gridCol w:w="1043"/>
        <w:gridCol w:w="652"/>
        <w:gridCol w:w="782"/>
        <w:gridCol w:w="782"/>
        <w:gridCol w:w="887"/>
        <w:gridCol w:w="887"/>
        <w:gridCol w:w="887"/>
        <w:gridCol w:w="887"/>
        <w:gridCol w:w="887"/>
        <w:gridCol w:w="888"/>
        <w:gridCol w:w="888"/>
        <w:gridCol w:w="888"/>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0" w:type="pct"/>
            <w:gridSpan w:val="2"/>
            <w:noWrap w:val="0"/>
            <w:vAlign w:val="center"/>
          </w:tcPr>
          <w:p>
            <w:pPr>
              <w:pStyle w:val="12"/>
            </w:pPr>
            <w:r>
              <w:t>政府采购项目来源</w:t>
            </w:r>
          </w:p>
        </w:tc>
        <w:tc>
          <w:tcPr>
            <w:tcW w:w="368" w:type="pct"/>
            <w:vMerge w:val="restart"/>
            <w:noWrap w:val="0"/>
            <w:vAlign w:val="center"/>
          </w:tcPr>
          <w:p>
            <w:pPr>
              <w:pStyle w:val="12"/>
            </w:pPr>
            <w:r>
              <w:t>采购物品名称</w:t>
            </w:r>
          </w:p>
        </w:tc>
        <w:tc>
          <w:tcPr>
            <w:tcW w:w="368" w:type="pct"/>
            <w:vMerge w:val="restart"/>
            <w:noWrap w:val="0"/>
            <w:vAlign w:val="center"/>
          </w:tcPr>
          <w:p>
            <w:pPr>
              <w:pStyle w:val="12"/>
            </w:pPr>
            <w:r>
              <w:t>政府采购目录序号</w:t>
            </w:r>
          </w:p>
        </w:tc>
        <w:tc>
          <w:tcPr>
            <w:tcW w:w="230" w:type="pct"/>
            <w:vMerge w:val="restart"/>
            <w:noWrap w:val="0"/>
            <w:vAlign w:val="center"/>
          </w:tcPr>
          <w:p>
            <w:pPr>
              <w:pStyle w:val="12"/>
            </w:pPr>
            <w:r>
              <w:t>计量  单位</w:t>
            </w:r>
          </w:p>
        </w:tc>
        <w:tc>
          <w:tcPr>
            <w:tcW w:w="276" w:type="pct"/>
            <w:vMerge w:val="restart"/>
            <w:noWrap w:val="0"/>
            <w:vAlign w:val="center"/>
          </w:tcPr>
          <w:p>
            <w:pPr>
              <w:pStyle w:val="12"/>
            </w:pPr>
            <w:r>
              <w:t>数量</w:t>
            </w:r>
          </w:p>
        </w:tc>
        <w:tc>
          <w:tcPr>
            <w:tcW w:w="276" w:type="pct"/>
            <w:vMerge w:val="restart"/>
            <w:noWrap w:val="0"/>
            <w:vAlign w:val="center"/>
          </w:tcPr>
          <w:p>
            <w:pPr>
              <w:pStyle w:val="12"/>
            </w:pPr>
            <w:r>
              <w:t>单价</w:t>
            </w:r>
          </w:p>
        </w:tc>
        <w:tc>
          <w:tcPr>
            <w:tcW w:w="2503" w:type="pct"/>
            <w:gridSpan w:val="8"/>
            <w:noWrap w:val="0"/>
            <w:vAlign w:val="center"/>
          </w:tcPr>
          <w:p>
            <w:pPr>
              <w:pStyle w:val="12"/>
            </w:pPr>
            <w:r>
              <w:t>政府采购金额（当年</w:t>
            </w:r>
            <w:r>
              <w:rPr>
                <w:rFonts w:hint="eastAsia"/>
                <w:lang w:eastAsia="zh-CN"/>
              </w:rPr>
              <w:t>单位</w:t>
            </w:r>
            <w:r>
              <w:t>预算安排资金）</w:t>
            </w:r>
          </w:p>
        </w:tc>
        <w:tc>
          <w:tcPr>
            <w:tcW w:w="309" w:type="pct"/>
            <w:vMerge w:val="restart"/>
            <w:noWrap w:val="0"/>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6" w:type="pct"/>
            <w:noWrap w:val="0"/>
            <w:vAlign w:val="center"/>
          </w:tcPr>
          <w:p>
            <w:pPr>
              <w:pStyle w:val="12"/>
            </w:pPr>
            <w:r>
              <w:t>项目名称</w:t>
            </w:r>
          </w:p>
        </w:tc>
        <w:tc>
          <w:tcPr>
            <w:tcW w:w="313" w:type="pct"/>
            <w:noWrap w:val="0"/>
            <w:vAlign w:val="center"/>
          </w:tcPr>
          <w:p>
            <w:pPr>
              <w:pStyle w:val="12"/>
            </w:pPr>
            <w:r>
              <w:t>预算    资金</w:t>
            </w:r>
          </w:p>
        </w:tc>
        <w:tc>
          <w:tcPr>
            <w:tcW w:w="368" w:type="pct"/>
            <w:vMerge w:val="continue"/>
            <w:noWrap w:val="0"/>
            <w:vAlign w:val="top"/>
          </w:tcPr>
          <w:p/>
        </w:tc>
        <w:tc>
          <w:tcPr>
            <w:tcW w:w="368" w:type="pct"/>
            <w:vMerge w:val="continue"/>
            <w:noWrap w:val="0"/>
            <w:vAlign w:val="top"/>
          </w:tcPr>
          <w:p/>
        </w:tc>
        <w:tc>
          <w:tcPr>
            <w:tcW w:w="230" w:type="pct"/>
            <w:vMerge w:val="continue"/>
            <w:noWrap w:val="0"/>
            <w:vAlign w:val="top"/>
          </w:tcPr>
          <w:p/>
        </w:tc>
        <w:tc>
          <w:tcPr>
            <w:tcW w:w="276" w:type="pct"/>
            <w:vMerge w:val="continue"/>
            <w:noWrap w:val="0"/>
            <w:vAlign w:val="top"/>
          </w:tcPr>
          <w:p/>
        </w:tc>
        <w:tc>
          <w:tcPr>
            <w:tcW w:w="276" w:type="pct"/>
            <w:vMerge w:val="continue"/>
            <w:noWrap w:val="0"/>
            <w:vAlign w:val="top"/>
          </w:tcPr>
          <w:p/>
        </w:tc>
        <w:tc>
          <w:tcPr>
            <w:tcW w:w="313" w:type="pct"/>
            <w:noWrap w:val="0"/>
            <w:vAlign w:val="center"/>
          </w:tcPr>
          <w:p>
            <w:pPr>
              <w:pStyle w:val="12"/>
            </w:pPr>
            <w:r>
              <w:t>合计</w:t>
            </w:r>
          </w:p>
        </w:tc>
        <w:tc>
          <w:tcPr>
            <w:tcW w:w="313" w:type="pct"/>
            <w:noWrap w:val="0"/>
            <w:vAlign w:val="center"/>
          </w:tcPr>
          <w:p>
            <w:pPr>
              <w:pStyle w:val="12"/>
            </w:pPr>
            <w:r>
              <w:t>一般公共预算拨款</w:t>
            </w:r>
          </w:p>
        </w:tc>
        <w:tc>
          <w:tcPr>
            <w:tcW w:w="313" w:type="pct"/>
            <w:noWrap w:val="0"/>
            <w:vAlign w:val="center"/>
          </w:tcPr>
          <w:p>
            <w:pPr>
              <w:pStyle w:val="12"/>
            </w:pPr>
            <w:r>
              <w:t>基金预算拨款</w:t>
            </w:r>
          </w:p>
        </w:tc>
        <w:tc>
          <w:tcPr>
            <w:tcW w:w="313" w:type="pct"/>
            <w:noWrap w:val="0"/>
            <w:vAlign w:val="center"/>
          </w:tcPr>
          <w:p>
            <w:pPr>
              <w:pStyle w:val="12"/>
            </w:pPr>
            <w:r>
              <w:t>国有资本经营预算拨款</w:t>
            </w:r>
          </w:p>
        </w:tc>
        <w:tc>
          <w:tcPr>
            <w:tcW w:w="313" w:type="pct"/>
            <w:noWrap w:val="0"/>
            <w:vAlign w:val="center"/>
          </w:tcPr>
          <w:p>
            <w:pPr>
              <w:pStyle w:val="12"/>
            </w:pPr>
            <w:r>
              <w:t>财政专户核拨</w:t>
            </w:r>
          </w:p>
        </w:tc>
        <w:tc>
          <w:tcPr>
            <w:tcW w:w="313" w:type="pct"/>
            <w:noWrap w:val="0"/>
            <w:vAlign w:val="center"/>
          </w:tcPr>
          <w:p>
            <w:pPr>
              <w:pStyle w:val="12"/>
            </w:pPr>
            <w:r>
              <w:t>单位    资金</w:t>
            </w:r>
          </w:p>
        </w:tc>
        <w:tc>
          <w:tcPr>
            <w:tcW w:w="313" w:type="pct"/>
            <w:noWrap w:val="0"/>
            <w:vAlign w:val="center"/>
          </w:tcPr>
          <w:p>
            <w:pPr>
              <w:pStyle w:val="12"/>
            </w:pPr>
            <w:r>
              <w:t>财政拨    款结转</w:t>
            </w:r>
          </w:p>
        </w:tc>
        <w:tc>
          <w:tcPr>
            <w:tcW w:w="313" w:type="pct"/>
            <w:noWrap w:val="0"/>
            <w:vAlign w:val="center"/>
          </w:tcPr>
          <w:p>
            <w:pPr>
              <w:pStyle w:val="12"/>
            </w:pPr>
            <w:r>
              <w:t>非财政    拨款结    转结余</w:t>
            </w:r>
          </w:p>
        </w:tc>
        <w:tc>
          <w:tcPr>
            <w:tcW w:w="309" w:type="pct"/>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noWrap w:val="0"/>
            <w:vAlign w:val="center"/>
          </w:tcPr>
          <w:p>
            <w:pPr>
              <w:pStyle w:val="16"/>
            </w:pPr>
            <w:r>
              <w:t>合  计</w:t>
            </w:r>
          </w:p>
        </w:tc>
        <w:tc>
          <w:tcPr>
            <w:tcW w:w="313" w:type="pct"/>
            <w:noWrap w:val="0"/>
            <w:vAlign w:val="center"/>
          </w:tcPr>
          <w:p>
            <w:pPr>
              <w:pStyle w:val="17"/>
              <w:rPr>
                <w:lang w:eastAsia="zh-CN"/>
              </w:rPr>
            </w:pPr>
          </w:p>
        </w:tc>
        <w:tc>
          <w:tcPr>
            <w:tcW w:w="368" w:type="pct"/>
            <w:noWrap w:val="0"/>
            <w:vAlign w:val="center"/>
          </w:tcPr>
          <w:p>
            <w:pPr>
              <w:pStyle w:val="18"/>
            </w:pPr>
          </w:p>
        </w:tc>
        <w:tc>
          <w:tcPr>
            <w:tcW w:w="368" w:type="pct"/>
            <w:noWrap w:val="0"/>
            <w:vAlign w:val="center"/>
          </w:tcPr>
          <w:p>
            <w:pPr>
              <w:pStyle w:val="18"/>
            </w:pPr>
          </w:p>
        </w:tc>
        <w:tc>
          <w:tcPr>
            <w:tcW w:w="230" w:type="pct"/>
            <w:noWrap w:val="0"/>
            <w:vAlign w:val="center"/>
          </w:tcPr>
          <w:p>
            <w:pPr>
              <w:pStyle w:val="16"/>
            </w:pPr>
          </w:p>
        </w:tc>
        <w:tc>
          <w:tcPr>
            <w:tcW w:w="276" w:type="pct"/>
            <w:noWrap w:val="0"/>
            <w:vAlign w:val="center"/>
          </w:tcPr>
          <w:p>
            <w:pPr>
              <w:pStyle w:val="17"/>
            </w:pPr>
          </w:p>
        </w:tc>
        <w:tc>
          <w:tcPr>
            <w:tcW w:w="276"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09"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noWrap w:val="0"/>
            <w:vAlign w:val="center"/>
          </w:tcPr>
          <w:p>
            <w:pPr>
              <w:pStyle w:val="16"/>
            </w:pPr>
          </w:p>
        </w:tc>
        <w:tc>
          <w:tcPr>
            <w:tcW w:w="313" w:type="pct"/>
            <w:noWrap w:val="0"/>
            <w:vAlign w:val="center"/>
          </w:tcPr>
          <w:p>
            <w:pPr>
              <w:pStyle w:val="17"/>
            </w:pPr>
          </w:p>
        </w:tc>
        <w:tc>
          <w:tcPr>
            <w:tcW w:w="368" w:type="pct"/>
            <w:noWrap w:val="0"/>
            <w:vAlign w:val="center"/>
          </w:tcPr>
          <w:p>
            <w:pPr>
              <w:pStyle w:val="18"/>
            </w:pPr>
          </w:p>
        </w:tc>
        <w:tc>
          <w:tcPr>
            <w:tcW w:w="368" w:type="pct"/>
            <w:noWrap w:val="0"/>
            <w:vAlign w:val="center"/>
          </w:tcPr>
          <w:p>
            <w:pPr>
              <w:pStyle w:val="18"/>
            </w:pPr>
          </w:p>
        </w:tc>
        <w:tc>
          <w:tcPr>
            <w:tcW w:w="230" w:type="pct"/>
            <w:noWrap w:val="0"/>
            <w:vAlign w:val="center"/>
          </w:tcPr>
          <w:p>
            <w:pPr>
              <w:pStyle w:val="16"/>
            </w:pPr>
          </w:p>
        </w:tc>
        <w:tc>
          <w:tcPr>
            <w:tcW w:w="276" w:type="pct"/>
            <w:noWrap w:val="0"/>
            <w:vAlign w:val="center"/>
          </w:tcPr>
          <w:p>
            <w:pPr>
              <w:pStyle w:val="17"/>
            </w:pPr>
          </w:p>
        </w:tc>
        <w:tc>
          <w:tcPr>
            <w:tcW w:w="276"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09" w:type="pct"/>
            <w:noWrap w:val="0"/>
            <w:vAlign w:val="center"/>
          </w:tcPr>
          <w:p>
            <w:pPr>
              <w:pStyle w:val="17"/>
            </w:pPr>
          </w:p>
        </w:tc>
      </w:tr>
    </w:tbl>
    <w:p>
      <w:pPr>
        <w:spacing w:line="500" w:lineRule="exact"/>
        <w:ind w:firstLine="420"/>
        <w:rPr>
          <w:rFonts w:hint="eastAsia" w:ascii="Times New Roman" w:hAnsi="Times New Roman" w:eastAsia="等线" w:cs="Times New Roman"/>
          <w:sz w:val="32"/>
          <w:szCs w:val="24"/>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640" w:firstLineChars="200"/>
        <w:rPr>
          <w:rFonts w:ascii="Times New Roman" w:hAnsi="Times New Roman" w:eastAsia="黑体" w:cs="Times New Roman"/>
          <w:sz w:val="32"/>
          <w:szCs w:val="32"/>
        </w:rPr>
      </w:pPr>
    </w:p>
    <w:p>
      <w:pPr>
        <w:spacing w:line="5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广阳区统计局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162.05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廊坊市</w:t>
            </w:r>
            <w:r>
              <w:rPr>
                <w:rFonts w:hint="eastAsia" w:ascii="Times New Roman" w:hAnsi="Times New Roman" w:eastAsia="仿宋_GB2312" w:cs="Times New Roman"/>
                <w:b/>
                <w:bCs/>
                <w:sz w:val="32"/>
                <w:szCs w:val="32"/>
              </w:rPr>
              <w:t>广阳区统计局</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spacing w:line="584" w:lineRule="exact"/>
              <w:jc w:val="left"/>
              <w:rPr>
                <w:rFonts w:hint="eastAsia"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广阳区统计局</w:t>
            </w:r>
          </w:p>
        </w:tc>
        <w:tc>
          <w:tcPr>
            <w:tcW w:w="5103" w:type="dxa"/>
            <w:tcBorders>
              <w:top w:val="nil"/>
              <w:left w:val="nil"/>
              <w:bottom w:val="nil"/>
              <w:right w:val="nil"/>
            </w:tcBorders>
            <w:noWrap/>
            <w:vAlign w:val="center"/>
          </w:tcPr>
          <w:p>
            <w:pPr>
              <w:widowControl/>
              <w:spacing w:line="584" w:lineRule="exact"/>
              <w:ind w:firstLine="1760" w:firstLineChars="8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162.05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hint="eastAsia" w:ascii="Times New Roman" w:hAnsi="Times New Roman" w:eastAsia="仿宋_GB2312" w:cs="Times New Roman"/>
                <w:sz w:val="22"/>
              </w:rPr>
            </w:pPr>
            <w:r>
              <w:rPr>
                <w:rFonts w:hint="eastAsia" w:ascii="Times New Roman" w:hAnsi="Times New Roman" w:eastAsia="仿宋_GB2312" w:cs="Times New Roman"/>
                <w:sz w:val="22"/>
              </w:rPr>
              <w:t>0</w:t>
            </w:r>
          </w:p>
          <w:p>
            <w:pPr>
              <w:spacing w:line="584" w:lineRule="exact"/>
              <w:jc w:val="center"/>
              <w:rPr>
                <w:rFonts w:hint="eastAsia"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hint="eastAsia" w:ascii="Times New Roman" w:hAnsi="Times New Roman" w:eastAsia="仿宋_GB2312" w:cs="Times New Roman"/>
                <w:sz w:val="22"/>
              </w:rPr>
            </w:pPr>
            <w:r>
              <w:rPr>
                <w:rFonts w:hint="eastAsia" w:ascii="Times New Roman" w:hAnsi="Times New Roman" w:eastAsia="仿宋_GB2312" w:cs="Times New Roman"/>
                <w:sz w:val="22"/>
              </w:rPr>
              <w:t>0</w:t>
            </w:r>
          </w:p>
          <w:p>
            <w:pPr>
              <w:spacing w:line="584" w:lineRule="exact"/>
              <w:jc w:val="center"/>
              <w:rPr>
                <w:rFonts w:hint="eastAsia"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hint="eastAsia"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19.88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hint="eastAsia"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142.17</w:t>
            </w:r>
          </w:p>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75325E-246B-4A94-AA94-8CC9F0CA13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宋体"/>
    <w:panose1 w:val="00000000000000000000"/>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89047FA1-915F-44F4-A39B-9086E5990F9E}"/>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3" w:fontKey="{9F2F69CA-75BF-4606-B7BE-B10B7DA9AD90}"/>
  </w:font>
  <w:font w:name="方正小标宋_GBK">
    <w:altName w:val="宋体"/>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4" w:fontKey="{F8ABD103-BDA8-4AEF-B268-E9F7A68CB3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52BE8"/>
    <w:multiLevelType w:val="singleLevel"/>
    <w:tmpl w:val="63252BE8"/>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A7231"/>
    <w:rsid w:val="000C4392"/>
    <w:rsid w:val="000F6018"/>
    <w:rsid w:val="00116F1C"/>
    <w:rsid w:val="001A339A"/>
    <w:rsid w:val="0025632D"/>
    <w:rsid w:val="003059E0"/>
    <w:rsid w:val="003117CD"/>
    <w:rsid w:val="004A54AA"/>
    <w:rsid w:val="00515730"/>
    <w:rsid w:val="005E0B8A"/>
    <w:rsid w:val="005F451F"/>
    <w:rsid w:val="007B69A7"/>
    <w:rsid w:val="00944233"/>
    <w:rsid w:val="00B40732"/>
    <w:rsid w:val="00B80935"/>
    <w:rsid w:val="00D2193C"/>
    <w:rsid w:val="00D347CC"/>
    <w:rsid w:val="00D77F33"/>
    <w:rsid w:val="00D867BD"/>
    <w:rsid w:val="00DC72B4"/>
    <w:rsid w:val="00F34FAF"/>
    <w:rsid w:val="0AE56593"/>
    <w:rsid w:val="0C6C76C6"/>
    <w:rsid w:val="0CEC1180"/>
    <w:rsid w:val="16CA1EBB"/>
    <w:rsid w:val="45F363B7"/>
    <w:rsid w:val="541D5974"/>
    <w:rsid w:val="5BAB02B1"/>
    <w:rsid w:val="60300076"/>
    <w:rsid w:val="63B75D24"/>
    <w:rsid w:val="63BE7BBB"/>
    <w:rsid w:val="73693C55"/>
    <w:rsid w:val="7FB81E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827</Words>
  <Characters>4716</Characters>
  <Lines>39</Lines>
  <Paragraphs>11</Paragraphs>
  <TotalTime>0</TotalTime>
  <ScaleCrop>false</ScaleCrop>
  <LinksUpToDate>false</LinksUpToDate>
  <CharactersWithSpaces>5532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2023-08-01T04:36:34Z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6EEAE14220A94524BFA51C76849E08BD</vt:lpwstr>
  </property>
</Properties>
</file>