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融媒体中心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职责是坚持和加强党对宣传工作的集中统一领导；贯彻落实中央、省委、市委和区委关于融媒体工作的方针、政策、决策部署和区委有关工作要求；贯彻执行党和国家关于融媒体宣传工作的法律法规、规章和政策，把握正确的舆论和创作导向；整合区内广播电视、报刊、内部资料性出版物、新媒体、新闻网站等资源，利用媒体融合的优势进行内外宣传报道，传播新闻信息；搭建开展媒体服务、党建服务、政务服务、公共服务等业务的融合媒体平台；负责组织协调本区融媒体系统人才队伍建设及人员教育工作；完成区委、区政府和上级</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廊坊市广阳区融媒体中心</w:t>
            </w:r>
          </w:p>
        </w:tc>
        <w:tc>
          <w:tcPr>
            <w:tcW w:w="1134"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财政性资金定额或定向补助（差额事业）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282.96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258.55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24.41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165.05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lang w:val="en-US" w:eastAsia="zh-CN"/>
        </w:rPr>
        <w:t>时代广阳运行经费、招聘专业技术人员经费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138.33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减少6.72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145.05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招聘专业技术人员经费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24.41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中心</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中心</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highlight w:val="none"/>
          <w:lang w:val="en-US" w:eastAsia="zh-CN"/>
        </w:rPr>
        <w:t>4.38万元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w:t>
      </w:r>
      <w:r>
        <w:rPr>
          <w:rFonts w:hint="eastAsia" w:ascii="Times New Roman" w:hAnsi="Times New Roman" w:eastAsia="仿宋_GB2312" w:cs="Times New Roman"/>
          <w:sz w:val="32"/>
          <w:szCs w:val="32"/>
          <w:lang w:val="en-US" w:eastAsia="zh-CN"/>
        </w:rPr>
        <w:t>尽量</w:t>
      </w:r>
      <w:r>
        <w:rPr>
          <w:rFonts w:hint="eastAsia" w:ascii="Times New Roman" w:hAnsi="Times New Roman" w:eastAsia="仿宋_GB2312" w:cs="Times New Roman"/>
          <w:sz w:val="32"/>
          <w:szCs w:val="32"/>
        </w:rPr>
        <w:t>压减公车运行经费支出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保证经费不超支</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1年相比持平，无增减变化。</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融媒体中心始终坚持以习近平新时代中国特色社会主义思想为指导，认真学习党的十九大精神和习近平总书记系列重要讲话精神，贯彻执行新闻宣传方针政策，紧密结合党史学习教育，扎实开展增强“四力”教育实践工作，围绕区委、区政府中心工作，充分发挥全媒体宣传职能，坚持宣传抓导向、事业谋发展、服务惠民生、队伍强管理的理念，全面推进各项工作取得新进展。</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1、传统媒体突出重点。融媒体中心围绕全区大局和区委区政府中心工作，牢牢把握全区新闻媒体第一话语权，坚持团结稳定鼓劲、正面宣传为主的方针，唱响主旋律，打好主动仗。</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2、新媒体彰显亮点。融媒体中心按照移动优先原则，优化资源配置，强化“媒体+政务+服务”功能，推动媒体融合各项运行管理机制创新。</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3、主题报道精彩纷呈。一是党史宣传守正创新。二是疫情报道浓墨重彩。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对外宣传成果显著。融媒体中心始终把外宣工作放到突出位置，着眼于全区的特色、亮点和优势，采取积极有效措施，整合新闻资源，精心策划选题，大力宣传全区经济社会建设取得的新成就，全面报道广大干部群众建设广阳的新风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广阳区融媒体中心招聘专业技术人员专项经费</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绩效目标：为确保融媒体中心工作正常运转、职责有效发挥、任务圆满完成，结合区融媒体中心建设改革实际，公开招聘合同制专业技术人员，依照实施方案，合理合规为聘用人员发放工资及缴纳保险。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时代广阳运行经费</w:t>
      </w:r>
    </w:p>
    <w:p>
      <w:pPr>
        <w:pStyle w:val="20"/>
        <w:keepNext w:val="0"/>
        <w:keepLines w:val="0"/>
        <w:pageBreakBefore w:val="0"/>
        <w:widowControl w:val="0"/>
        <w:kinsoku/>
        <w:wordWrap/>
        <w:overflowPunct/>
        <w:topLinePunct w:val="0"/>
        <w:bidi w:val="0"/>
        <w:snapToGrid/>
        <w:spacing w:line="584" w:lineRule="exact"/>
        <w:ind w:firstLine="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绩效目标：全面深入多渠道的宣传贯彻习近平新时代中国特色社会主义思想和党的十九大精神，能够长期坚持报纸高质量出版，为全区各级各</w:t>
      </w:r>
      <w:r>
        <w:rPr>
          <w:rFonts w:hint="eastAsia" w:eastAsia="仿宋_GB2312" w:cs="Times New Roman"/>
          <w:sz w:val="32"/>
          <w:szCs w:val="32"/>
          <w:lang w:eastAsia="zh-CN"/>
        </w:rPr>
        <w:t>单位</w:t>
      </w:r>
      <w:r>
        <w:rPr>
          <w:rFonts w:hint="eastAsia" w:ascii="Times New Roman" w:hAnsi="Times New Roman" w:eastAsia="仿宋_GB2312" w:cs="Times New Roman"/>
          <w:sz w:val="32"/>
          <w:szCs w:val="32"/>
        </w:rPr>
        <w:t>宣传特色亮点工作，为领导决策提供</w:t>
      </w:r>
      <w:r>
        <w:rPr>
          <w:rFonts w:hint="eastAsia" w:eastAsia="仿宋_GB2312" w:cs="Times New Roman"/>
          <w:sz w:val="32"/>
          <w:szCs w:val="32"/>
          <w:lang w:eastAsia="zh-CN"/>
        </w:rPr>
        <w:t>有力保障</w:t>
      </w:r>
      <w:r>
        <w:rPr>
          <w:rFonts w:hint="eastAsia" w:ascii="Times New Roman" w:hAnsi="Times New Roman" w:eastAsia="仿宋_GB2312" w:cs="Times New Roman"/>
          <w:sz w:val="32"/>
          <w:szCs w:val="32"/>
        </w:rPr>
        <w:t>。</w:t>
      </w:r>
    </w:p>
    <w:p>
      <w:pPr>
        <w:pStyle w:val="20"/>
        <w:keepNext w:val="0"/>
        <w:keepLines w:val="0"/>
        <w:pageBreakBefore w:val="0"/>
        <w:widowControl w:val="0"/>
        <w:kinsoku/>
        <w:wordWrap/>
        <w:overflowPunct/>
        <w:topLinePunct w:val="0"/>
        <w:bidi w:val="0"/>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《蝶变2020、奋进2020》拍摄制作经费</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绩效目标：按要求完成40分钟专题片制作，专题片须画质清晰，能够完整的表现创意及主体思想，按照合作期限与原则支付专题片费用19.8万元。通过专题片的制作可以达到宣传广阳、推介广阳的宣传效果。</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机关运行经费</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绩效目标:维持机关工作正常运转，按时上缴水电费、电话费，支付办公用品采购及门卫工资等劳务费用，保障工作正常开展，合理合规各项支出，保障融媒体中心正常运行。  </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《广阳之声》人员工资及保险</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按照规定要求，保障媒体节目播放数量、质量，不出现节目失误；在规定时效内完成节目制作、按时发放聘用人员工资、缴纳各种保险，保障节目按时制作完成并且按时播出，最终完成宣传党和政府声音的职责并且提高群众对广阳时讯节目的满意度。</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融媒体中心建设</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对办公平台的升级可以有效的组合信息终端平台、入驻“冀云”平台强化“媒体+政务+服务”功能。通过对机房改造、车辆及监控、线路改造的实施，可以有效推进办公条件改善。通过此项目的实施，完成规定节目的制作，达到设备安全有效运转，在合同要求规定内完成项目建设，预算资金控制在357万元之内。以此达到提高广阳知名度的要求，并且得到群众广泛认可。</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融媒体中心在区委区政府的正确领导下，积极探索传统媒体与新兴媒体共同发展，推进媒体深层次融合。为实现年度绩效目标融媒体中心制定了财务管理制度、绩效管理制度、绩效评定管理办法等一系列管理制度，规范了绩效管理流程，按照工作部署要求，保证了绩效目标的实现。</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24"/>
        <w:gridCol w:w="1246"/>
        <w:gridCol w:w="1362"/>
        <w:gridCol w:w="3666"/>
        <w:gridCol w:w="2606"/>
        <w:gridCol w:w="733"/>
        <w:gridCol w:w="713"/>
        <w:gridCol w:w="85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tblHeader/>
          <w:jc w:val="center"/>
        </w:trPr>
        <w:tc>
          <w:tcPr>
            <w:tcW w:w="29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4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48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31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3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23"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0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tblHeader/>
          <w:jc w:val="center"/>
        </w:trPr>
        <w:tc>
          <w:tcPr>
            <w:tcW w:w="295" w:type="pct"/>
            <w:vMerge w:val="continue"/>
            <w:tcBorders>
              <w:tl2br w:val="nil"/>
              <w:tr2bl w:val="nil"/>
            </w:tcBorders>
            <w:vAlign w:val="center"/>
          </w:tcPr>
          <w:p/>
        </w:tc>
        <w:tc>
          <w:tcPr>
            <w:tcW w:w="446" w:type="pct"/>
            <w:vMerge w:val="continue"/>
            <w:tcBorders>
              <w:tl2br w:val="nil"/>
              <w:tr2bl w:val="nil"/>
            </w:tcBorders>
            <w:vAlign w:val="center"/>
          </w:tcPr>
          <w:p/>
        </w:tc>
        <w:tc>
          <w:tcPr>
            <w:tcW w:w="487" w:type="pct"/>
            <w:vMerge w:val="continue"/>
            <w:tcBorders>
              <w:tl2br w:val="nil"/>
              <w:tr2bl w:val="nil"/>
            </w:tcBorders>
            <w:vAlign w:val="center"/>
          </w:tcPr>
          <w:p/>
        </w:tc>
        <w:tc>
          <w:tcPr>
            <w:tcW w:w="1311" w:type="pct"/>
            <w:vMerge w:val="continue"/>
            <w:tcBorders>
              <w:tl2br w:val="nil"/>
              <w:tr2bl w:val="nil"/>
            </w:tcBorders>
            <w:vAlign w:val="center"/>
          </w:tcPr>
          <w:p/>
        </w:tc>
        <w:tc>
          <w:tcPr>
            <w:tcW w:w="932" w:type="pct"/>
            <w:vMerge w:val="continue"/>
            <w:tcBorders>
              <w:tl2br w:val="nil"/>
              <w:tr2bl w:val="nil"/>
            </w:tcBorders>
            <w:vAlign w:val="center"/>
          </w:tcPr>
          <w:p/>
        </w:tc>
        <w:tc>
          <w:tcPr>
            <w:tcW w:w="26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5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0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03"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重点工作实际完成率</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达到要求得10分，未达到要求扣5分</w:t>
            </w:r>
            <w:r>
              <w:rPr>
                <w:rFonts w:hint="eastAsia" w:ascii="仿宋_GB2312" w:hAnsi="仿宋_GB2312" w:eastAsia="仿宋_GB2312" w:cs="仿宋_GB2312"/>
              </w:rPr>
              <w:t xml:space="preserve">                           </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及时完成各项工作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500</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期</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重点工作质量达标率</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达到要求得10分，未达到要求扣5分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按要求完成各项工作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95</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全年工作实际情况测算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重点工作完成及时性</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达到要求得10分，未达到要求扣5分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及时完成各项工作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文字描述</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按要求及时完成各项工作</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公用经费控制率</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达到要求得10分，未达到要求扣5分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按要求支付使用经费</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100</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支付费用回单凭证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已支持的新媒体、全媒体项</w:t>
            </w:r>
          </w:p>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目的传播</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达到要求得25分，未达到要求扣10分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宣传推介广阳效果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95</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全媒体、新媒体播放报道期数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487"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人员的满意度</w:t>
            </w:r>
          </w:p>
        </w:tc>
        <w:tc>
          <w:tcPr>
            <w:tcW w:w="1311"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达到要求得25分，未达到要求扣10分</w:t>
            </w:r>
          </w:p>
        </w:tc>
        <w:tc>
          <w:tcPr>
            <w:tcW w:w="932"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满意群众占总人数的比例</w:t>
            </w:r>
          </w:p>
        </w:tc>
        <w:tc>
          <w:tcPr>
            <w:tcW w:w="262"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55"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305"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703"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实际调查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1.《时代广阳》运行经费绩效目标表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23"/>
        <w:gridCol w:w="2284"/>
        <w:gridCol w:w="1998"/>
        <w:gridCol w:w="3427"/>
        <w:gridCol w:w="1856"/>
        <w:gridCol w:w="2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4144" w:type="pct"/>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1.《时代广阳》运行经费，印刷费用、设备维护费用</w:t>
            </w:r>
          </w:p>
          <w:p>
            <w:pPr>
              <w:spacing w:line="300" w:lineRule="exact"/>
              <w:rPr>
                <w:rFonts w:ascii="Times New Roman" w:hAnsi="Times New Roman" w:eastAsia="仿宋_GB2312" w:cs="Times New Roman"/>
                <w:b/>
              </w:rPr>
            </w:pPr>
            <w:r>
              <w:rPr>
                <w:rFonts w:ascii="Times New Roman" w:hAnsi="Times New Roman" w:eastAsia="仿宋_GB2312" w:cs="Times New Roman"/>
                <w:b/>
              </w:rPr>
              <w:t>2.全面深入多渠道的宣传贯彻习近平新时代中国特色社会主义思想和党的十九大精神，能够长期坚持报纸高质量出版，为全区各级各</w:t>
            </w:r>
            <w:r>
              <w:rPr>
                <w:rFonts w:hint="eastAsia" w:ascii="Times New Roman" w:hAnsi="Times New Roman" w:eastAsia="仿宋_GB2312" w:cs="Times New Roman"/>
                <w:b/>
                <w:lang w:eastAsia="zh-CN"/>
              </w:rPr>
              <w:t>单位</w:t>
            </w:r>
            <w:r>
              <w:rPr>
                <w:rFonts w:ascii="Times New Roman" w:hAnsi="Times New Roman" w:eastAsia="仿宋_GB2312" w:cs="Times New Roman"/>
                <w:b/>
              </w:rPr>
              <w:t>宣传特色亮点工作，为领导决策提供</w:t>
            </w:r>
            <w:r>
              <w:rPr>
                <w:rFonts w:hint="eastAsia" w:ascii="Times New Roman" w:hAnsi="Times New Roman" w:eastAsia="仿宋_GB2312" w:cs="Times New Roman"/>
                <w:b/>
                <w:lang w:eastAsia="zh-CN"/>
              </w:rPr>
              <w:t>有力保障</w:t>
            </w:r>
            <w:r>
              <w:rPr>
                <w:rFonts w:ascii="Times New Roman" w:hAnsi="Times New Roman" w:eastAsia="仿宋_GB2312" w:cs="Times New Roman"/>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806"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70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1209"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65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768"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数量指标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报纸印刷期数</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全年报纸印刷期数</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52期</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廊广融字【2021】14号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质量指标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宣传材料发放率</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全区宣传材料发放率</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100%</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时效指标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工作完成及时率</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工作任务完成的及时率</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100%</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成本指标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资金成本</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资金成本</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≤10万元</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廊广融字【2021】14号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1"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社会效益指标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宣传广阳相关政策使各单位及民众知晓程度</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宣传广阳相关政策使各单位及民众知晓程度</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提高</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全区知晓程度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24" w:hRule="atLeast"/>
          <w:jc w:val="center"/>
        </w:trPr>
        <w:tc>
          <w:tcPr>
            <w:tcW w:w="855" w:type="pc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全区阅读时代广阳报纸满意度</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全区阅读时代广阳报纸满意度</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≥95%</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电话回访</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2.招聘专业技术人员经费绩效目标表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主要用于人员工资、保险的支出，保障办公正常运转。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数量指标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保障人数</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保障办公人数</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18人</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质量指标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工资发放的准确性</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工资发放数据的准确性</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100%</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时效指标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工资发放的及时性</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保障工资及时发放</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按要求及时发放</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发放凭证回单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成本指标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人员工资及保险</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聘用人员工资及保险</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≤155.05万元</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测算结果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社会效益指标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加强工作人员归属感</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通过按时发放工资，增强工作人员归属感，保障工作正常开展。</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保障工作正常开展</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依据办公需要，维持公共正常运转。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服务对象满意度指标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工作单位对专业技术人员满意度</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通过调查干部职工对专业技术人员的满意度</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≥95%</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实地调查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lang w:val="en-US" w:eastAsia="zh-CN"/>
        </w:rPr>
        <w:t>廊坊市广阳区融媒体中心</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单价</w:t>
            </w:r>
          </w:p>
        </w:tc>
        <w:tc>
          <w:tcPr>
            <w:tcW w:w="2504" w:type="pct"/>
            <w:gridSpan w:val="8"/>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财政拨    款结转</w:t>
            </w:r>
          </w:p>
        </w:tc>
        <w:tc>
          <w:tcPr>
            <w:tcW w:w="318"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58.13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融媒体中心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58.13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12.7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39.77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CEC1180"/>
    <w:rsid w:val="12A15C55"/>
    <w:rsid w:val="305E6AC2"/>
    <w:rsid w:val="36B3306D"/>
    <w:rsid w:val="452D597D"/>
    <w:rsid w:val="4E681CEF"/>
    <w:rsid w:val="57EE15EC"/>
    <w:rsid w:val="62894195"/>
    <w:rsid w:val="73693C55"/>
    <w:rsid w:val="78B963ED"/>
    <w:rsid w:val="7B86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0</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2024-05-15T02:39:27Z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5A41BC9AA2EB491FA6BD14D93D1BA10C</vt:lpwstr>
  </property>
</Properties>
</file>