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bookmarkStart w:id="3" w:name="_GoBack"/>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w:t>
      </w:r>
      <w:r>
        <w:rPr>
          <w:rFonts w:ascii="Times New Roman" w:hAnsi="Times New Roman" w:eastAsia="方正小标宋简体" w:cs="Times New Roman"/>
          <w:sz w:val="44"/>
          <w:szCs w:val="44"/>
        </w:rPr>
        <w:t>解放道街道办事处20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bookmarkEnd w:id="3"/>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w:t>
      </w:r>
      <w:r>
        <w:rPr>
          <w:rFonts w:ascii="Times New Roman" w:hAnsi="Times New Roman" w:eastAsia="仿宋_GB2312" w:cs="Times New Roman"/>
          <w:sz w:val="32"/>
          <w:szCs w:val="32"/>
        </w:rPr>
        <w:t>解放道街道办事处20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（一）党政综合办公室：</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1.负责监督检查和指导所属单位和行政村的档案工作。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2.做好信访工作，畅通信访渠道、处理来信、接待来访。</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3.负责辖区内的统计工作。履行统计职责，广泛引导、动员和组织社会力量积极参与并认真配合做好国家规定的周期性普查工作。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（二）党建工作办公室</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1.宣传执行党的路线、方针、政策，宣传和执行党中央、上级党组织和本级党组织的决议，团结、组织党内外的干部和群众，努力完成本单位所担负的任务。</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 维护和执行党的纪律，监督党员干部和其他任何工作人员严格遵守国家法律法规。</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3.负责乡镇和街道党（工）委自身建设和基层党组织建设，以及其他隶属乡镇和街道党（工）委的党组织建设。</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 负责下级党的基层组织选举工作、对下级党组织的成立或撤销作出决定。</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 负责非公有制企业和社会组织党建工作、扩大新兴领域党建有效覆盖</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6.加强党员队伍建设，对党员进行教育、管理、监督和服务，做好经常性的发展党员工作。加强流动党员管理。</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7. 做好人才服务工作，发现、培养、推荐党员和群众中的优秀人才。</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8.落实意识形态工作责任制，组织党员群众学习习近平新时代中国特色社会主义思想，培育和践行社会主义核心价值观，加强精神文明建设和文化建设</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9. 落实统一战线工作任务要求，做好民族事务工作。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10. 领导辖区内人大工作，以及工会、共青团、妇联等工作。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11. 根据委托授权负责本辖区内的宗教事务管理工作。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12.依照法定权限，做好本辖区的征兵、民兵、预备役、国防教育、国民经济动员、人民防空、国防交通、国防设施保护等工作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13.负责联系街道辖区内的人民代表大会代表，组织代表开展活动，反映代表和群众的建议、批评和意见，办理常务委员会交办的监督、选举以及其他工作，并向常务委员会报告工作。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（三）应急管理办公室</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1.负责辖区内的食品安全隐患排查、信息报告、协助执法和宣传教育等工作、做好本行政区域内小作坊、小餐饮、小摊点的监督管理工作。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2.加强本辖区生产经营单位安全生产状况的监督检查、协助上级有关</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依法履行安全生产监督管理职责。</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3.负责本辖区的消防工作、开展消防宣传、防火巡查、隐患查改。指导村（居）民委员会开展群众性的消防工作。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 负责辖区防汛抗洪、抗旱等相关工作。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 负责辖区防灾减灾等相关工作。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6.依法做好本辖区的突发事件应对工作，制定本级突发事件应急预案，组织开展应急演练。</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7.负责辖区应急管理工作，建立健全应急联动机制，严格落实应急管理责任，加强基层综合应急队伍建设和应急保障能力建设。</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8.负责本辖区内自然灾害救助工作，做好自然灾害风险排查、隐患治理、救助准备、信息报告、先期处置、应急救助、灾后救助和救助款物管理等工作。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（四）自然资源和生态环境办公室</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 动员和组织社会力量参与土地调查工作。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 按照职责分工负责辖区市容、村容和环境卫生、农村生活污水管理责任。</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3.按照职责分工负责本辖区河湖的水资源保护、水域岸线管理、水污染防治、水环境治理等工作，协助上级人民政府及其有关</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做好地下水相关管理和监督工作。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 根据本地区的实际，组织开展大气污染防治工作。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 落实属地监管责任，做好禁止露天焚烧秸秆工作。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6．根据本地区的实际，组织开展扬尘污染防治工作。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7. 按照职责分工做好“散乱污”企业综合整治工作。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8. 按照职责分工和相关预案开展突发环境事件应急处置工作，按照有关规定向上级报告。</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（五）综合行政执法队</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1.根据法律法规和省政府授权，承担综合行政执法工作。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2.协助有关</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查处传销行为。</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3.加大信用信息归集应用力度，落实守信联合激励和失信联合惩戒制度、推进信用分级分类监管。</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4.制定本辖区社会治安综合治理规划、检查、推动社会治安综合治理措施的落实，协调和督促有关</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开展法制宣传教育工作、调解各类纠纷。</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5.组织群众开展各种形式的治安防范活动和军民、警民联防活动；指导、帮助村（居）民委员会做好社会治安综合治理工作。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6.组织协调辖区社会治安防控体系建设及普法工作，开展基层平安创建活动及各种形式的治安防范活动。加强群防群治组织建设，动员、组织人民群众维护社会治安和社会秩序，做好防范邪教工作。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7.承担民间纠纷调解相关工作。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8.协调有关</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做好未成年人的保护工作。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9.承担企业劳动争议调解相关工作。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10.组织相关单位开展社区矫正工作和对户籍或居住地在本辖区的刑满释放人员做好接收建档和安置帮教工作，做好重点帮教对象的衔接工作。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11.负责社区戒毒、社区康复工作。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（六）行政综合服务中心</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1.负责指导居民委员会的换届选举工作。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2.指导村（居）民委员会建立健全各项自治制度，并予以备案。</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3.按权限负责基层社区社会组织的分类指导和业务指导。</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4.负责加强本辖区健康教育工作及其专业人才培养、建立健康知识和技能核心信息发布制度、普及健康科学知识、向公众提供科学、准确的健康信息。</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5.负责本辖区健康中国建设，健全实施健康中国行动领导推进工作机制，逐项抓好任务落实。</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6.根据法律法规和省政府授权，承担行政审批服务工作。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7.开展就业政策宣传、就业援助等就业服务工作。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8.负责辖区内人口与计划生育工作。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9.组织开展全民健身活动，建立健全全民健身工作协调机制。</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10.负责本辖区爱国卫生日常工作。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11.按权限开展社会救助工作。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12.按权限做好残疾人保障工作。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13.负责组织开展预防精神障碍发生、促进精神障碍患者康复等工作。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14.按照职责分工负责做好辖区城乡居民基本养老保险工作。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（七）社区建设和物业监督管理办公室</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1.组织实施居家养老服务工作，建设居家养老服务设施，落实政府购买服务、经费补贴等扶持政策措施、组织、指导社会各界参与居家养老和空巢、留守老年人关爱服务。</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2.负责指导辖区内业主大会的成立和业主委员会的选举工作。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3.按权限负责社区工作者的日常管理工作。</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（八）、综合文化服务站</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1.组织开展本辖区科普活动，宣传科学、文明的生产和生活方式。</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2.负责本辖区综合文化站、新时代文明实践中心（所、站）建设和日常管理、实施免费开放。</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（九）、退役军人服务站</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负责拥军优属、退役军人服务等工作</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廊坊市广阳区解放道街道办事处</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行政单位</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广阳区</w:t>
      </w:r>
      <w:r>
        <w:rPr>
          <w:rFonts w:ascii="Times New Roman" w:hAnsi="Times New Roman" w:eastAsia="仿宋_GB2312" w:cs="Times New Roman"/>
          <w:sz w:val="32"/>
          <w:szCs w:val="32"/>
        </w:rPr>
        <w:t>解放道街道办事处机关的收支包含在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2998.28</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2998.28</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w:t>
      </w:r>
      <w:r>
        <w:rPr>
          <w:rFonts w:ascii="Times New Roman" w:hAnsi="Times New Roman" w:eastAsia="仿宋_GB2312" w:cs="Times New Roman"/>
          <w:sz w:val="32"/>
          <w:szCs w:val="32"/>
        </w:rPr>
        <w:t>解放道街道办事处</w:t>
      </w:r>
      <w:r>
        <w:rPr>
          <w:rFonts w:hint="eastAsia" w:ascii="Times New Roman" w:hAnsi="Times New Roman" w:eastAsia="仿宋_GB2312" w:cs="Times New Roman"/>
          <w:sz w:val="32"/>
          <w:szCs w:val="32"/>
        </w:rPr>
        <w:t>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2998.28</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2119.40</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lang w:val="en-US" w:eastAsia="zh-CN"/>
        </w:rPr>
        <w:t>1887.85</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lang w:val="en-US" w:eastAsia="zh-CN"/>
        </w:rPr>
        <w:t>231.55</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8</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8.88</w:t>
      </w:r>
      <w:r>
        <w:rPr>
          <w:rFonts w:ascii="Times New Roman" w:hAnsi="Times New Roman" w:eastAsia="仿宋_GB2312" w:cs="Times New Roman"/>
          <w:sz w:val="32"/>
          <w:szCs w:val="32"/>
        </w:rPr>
        <w:t>万元，包括本级支出，主要为</w:t>
      </w:r>
      <w:r>
        <w:rPr>
          <w:rFonts w:hint="eastAsia" w:ascii="Times New Roman" w:hAnsi="Times New Roman" w:eastAsia="仿宋_GB2312" w:cs="Times New Roman"/>
          <w:sz w:val="32"/>
          <w:szCs w:val="32"/>
        </w:rPr>
        <w:t>基层政权建设和社区治理</w:t>
      </w:r>
      <w:r>
        <w:rPr>
          <w:rFonts w:ascii="Times New Roman" w:hAnsi="Times New Roman" w:eastAsia="仿宋_GB2312" w:cs="Times New Roman"/>
          <w:sz w:val="32"/>
          <w:szCs w:val="32"/>
        </w:rPr>
        <w:t>等。</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2998.28</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243.55</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135.35</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商品和服务</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108.20</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社会保障和就业支出</w:t>
      </w:r>
      <w:r>
        <w:rPr>
          <w:rFonts w:ascii="Times New Roman" w:hAnsi="Times New Roman" w:eastAsia="仿宋_GB2312" w:cs="Times New Roman"/>
          <w:sz w:val="32"/>
          <w:szCs w:val="32"/>
        </w:rPr>
        <w:t>。</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街道</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231.55</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解放道办事处</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街道</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4.38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4.38</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4.38</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持平，无增减变化</w:t>
      </w:r>
      <w:r>
        <w:rPr>
          <w:rFonts w:hint="eastAsia" w:ascii="Times New Roman" w:hAnsi="Times New Roman" w:eastAsia="仿宋_GB2312" w:cs="Times New Roman"/>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预算绩效信息</w:t>
      </w:r>
    </w:p>
    <w:p>
      <w:pPr>
        <w:numPr>
          <w:ilvl w:val="0"/>
          <w:numId w:val="0"/>
        </w:num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widowControl/>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积极招商引资，大力发展城市经济。</w:t>
      </w:r>
    </w:p>
    <w:p>
      <w:pPr>
        <w:widowControl/>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是加快集聚，重塑楼宇优势。楼宇经济已成为城市经济发展的新风向。我们始终坚持把发展楼宇经济放在更加突出的位置，整合调动各种招商资源力量，促进楼宇品牌知名度大幅提升。解放道辖区内共有商务楼宇10栋，楼宇内注册企业达700余家。针对新世界中心、浙商广场、尚都金茂、尚都世贸等现代商务楼宇聚集的爱民道两侧区域，着力打造以科技、金融、电子商务为核心的现代服务业企业集群。利用金属大厦地靠钢材市场的区位优势，重点打造以商贸、物流企业为主的商贸企业集群。针对新朝阳二期、辉腾大厦两个新建楼宇，我们加强楼宇招商引资指导，鼓励引进培育高新技术、创意设计、电子商务等新业态。我街道将进一步完善机制、优化举措，不断丰富楼宇经济业态结构，营造区域联动、协调推进的良好氛围，为楼宇经济规模化、集群化发展提供新思路。</w:t>
      </w:r>
    </w:p>
    <w:p>
      <w:pPr>
        <w:widowControl/>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是银企对接，实现互利双赢。面对经济下行压力，我们要立足辖区内企业实际，通过召开座谈会、登门拜访等方式，了解企业发展状况及现实困难。同时结合辖区内新世界中心、浙商广场等楼宇集聚的建设银行、廊坊银行、平安银行、招商银行等金融机构，组织召开银企对接会议，针对辖区内企业提出的融资需求及在融资过程中遇到的困难，为银企双方搭建沟通合作平台，银行机构针对企业尤其是中小微企业的优秀融资产品与企业进行沟通交流，有效解决银企信息不对称问题，有力提升金融服务的针对性和实效性。同时街道做好后续跟踪服务，确保融资意向早日落地，实现金融机构与企业双赢的局面。</w:t>
      </w:r>
    </w:p>
    <w:p>
      <w:pPr>
        <w:widowControl/>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三是外贸联盟，抱团出海受益。受国外疫情影响，外贸行业“举步维艰”。我们要对辖区19家外贸企业进行积极走访，通过对企业主营业务进行了解，分别帮助同业务领域的澳澜玻璃微珠、迪兰科技、回章贸易等三家出口玻璃微珠的企业，领尚家具、都华家具、赛唯进出口贸易等出口家具为主的企业召开座谈会，说困难、谈想法、解难题，从而做到抱团取暖。同时鼓励各外贸企业加入广阳区外贸协会，以市场为导向，遵守商业原则，加强行业自律，遵守联盟协议，拓展合作方式，扩大合作范围，实现互利共赢，促进全区外贸企业抱团出海，共同发展。下一步我们要加快洽谈“龙工场”跨境电商产业园项目，促进项目尽快成功落地后可以与外贸企业合作，为外贸企业提供业务订单及综合服务。</w:t>
      </w:r>
    </w:p>
    <w:p>
      <w:pPr>
        <w:widowControl/>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四是拉动消费，点亮夜间经济。要想进一步挖掘夜间经济的消费潜力，激发新一轮消费升级，仅是延长营业时间和增加商户数量是远远不够的。我们计划通过不断优化“廊坊印巷”软、硬件环境，提升“廊坊印巷”综合实力，引入运营企业进行整体提升和管理，联动步行街、时代广场等区域，打造特色夜间景观旅游、文艺演出、主题展览等多元文化形态，以满足不同年龄、文化背景和消费层次人群的需求。通过引进品牌店、网红店、体验店等新业态模式，营造体验式、沉浸式场景空间，利用互联网、媒体等方式加大对“廊坊印巷”的曝光力，打造网红打卡地，以“夜经济”为龙头聚人气、促经济，拉动第三产业回暖，聚焦“食、购、游、娱、文、体”，打造高端休闲商贸圈。</w:t>
      </w:r>
    </w:p>
    <w:p>
      <w:pPr>
        <w:widowControl/>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突出民生福祉，扎实推动共同富裕。</w:t>
      </w:r>
    </w:p>
    <w:p>
      <w:pPr>
        <w:widowControl/>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是增强就业创业保障。坚持把促进就业放在各项工作首要位置，健全基本公共服务体系，坚持把解决人民群众最关心最直接最现实的利益问题作为民生建设的出发点和落脚点，加强普惠性、基础性、兜底性民生建设，使改革发展成果更多更公平惠及人民。二是做好低保动态化管理。应保尽保、应退尽退。做好80岁以上老人高龄补贴申报、复核及散居孤儿补贴申请申报工作。进一步加大社会救助政策宣传力度，切实提高居民对政策的知晓度和了解度，使符合救助条件的家庭及时提出社会救助申请，使社会救助政策真正受惠于民。三是积极推进医保扩面工作。在全面摸排的基础上，针对未参保人群，通过电话联系、微信群通知、张贴海报和发放宣传材料等方式大力宣传国家政策及相关规定，面对居民做到讲明白，说清楚，全面推进城镇居民基本医疗保险扩面工作，鼓励居民积极参保。</w:t>
      </w:r>
    </w:p>
    <w:p>
      <w:pPr>
        <w:widowControl/>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深化安全监管，加强安全隐患排查</w:t>
      </w:r>
    </w:p>
    <w:p>
      <w:pPr>
        <w:widowControl/>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落实社区巡查员、企业安管员培训，从业务能力、工作规范等多个方面提升综合检查能力。进一步加大隐患整治力度，对街道辖区内的安全生产重点监管单位、重大危险源进行重点监管检查，对一般单位实施定期或不定期专项检查，通过检查及时发现隐患，遏制一般事故，杜绝重大事故。</w:t>
      </w:r>
    </w:p>
    <w:p>
      <w:pPr>
        <w:widowControl/>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加强环境治理，强化城市管理水平</w:t>
      </w:r>
    </w:p>
    <w:p>
      <w:pPr>
        <w:widowControl/>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主抓重点街巷的治理，强化管理力度，对于重点街巷反映出来的市容环境、门前三包、摊点治理等难点问题及时解决，保证辖区环境良好，群众满意度不断提升。加大科技治霾力度加强学习培训，充分利用上级配发的各种检测仪器，坚持以数据说话，用事实说话，充分发挥群管理作用，利用辖区餐饮油烟管控群，加强管理，突出自行监督与巡查管控相结合，提高辖区企业的环保意识。</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widowControl/>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1.社区党组织服务群众专项经费</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绩效目标：通过基层项目的开展解决好关系群众切身利益问题和联系服务群众工作，促进社区基层党建工作顺利开展。</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绩效指标：为加强党对城市工作的全面领导，推动城市经济社会发展，结合我辖区14个社区实际情况，推动我社区基层党建工作，发挥社区党组织的主导作用，提升专业化服务水平。解决关系群众切身利益问题和联系服务群众工作，包括便民利民服务、服务设施维护、文化体育活动、党建工作宣传教育等方面支出。</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2.社区工作经费</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绩效目标：通过社区各项日常办公费用支出，达到社区各项日常工作正常运转，实现加强和完善社区治理，基层和谐稳定，进一步健全城乡社区治理体系，推进治理能力现代化。      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绩效指标：社区办公经费主要用于社区居委会购置办公用品，支付水费、电费、取暖费、通信费、订阅报刊杂志，综合服务设施小额应急维修，组织居民和社区开展各种社会公益活动等费用。经费主要用于保障社区数量，维持社区日常工作的运转。</w:t>
      </w:r>
    </w:p>
    <w:p>
      <w:pPr>
        <w:widowControl/>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3.社区招聘人员经费</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绩效目标：通过按时发放社区聘用人员工资，缴纳各项保险，确保人员稳定，达到加强和完善社区治理，基层和谐稳定。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绩效指标：落实社区聘用人员工资及时准确发放，缴纳各项保险，确保人员稳定，实现进一步健全城乡社区治理体系，推进治理能力现代化。完善社区治理，事关基层和谐稳定，进一步健全城乡社区治理体系，推进治理能力现代化。</w:t>
      </w:r>
    </w:p>
    <w:p>
      <w:pPr>
        <w:widowControl/>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4.社区楼门长工作经费</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绩效目标：通过项目的开展完成楼门长补贴经费支出计划，推进社会治理重心向基层下移，实现政府治理和社会调节、居民参与的良性互动。</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绩效指标：确保楼门长的人数数量，以及补贴发放的及时性和准确性。</w:t>
      </w:r>
    </w:p>
    <w:p>
      <w:pPr>
        <w:widowControl/>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5.新春驿站建设经费</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绩效目标：按照街道党工委提出的“党建引领、分级管理、分类指导、平台助力、促进发展”的工作思路，启动“两新”组织党建指导服务中心建设，通过“党建+融合”方式，把党的先进思想和理念融合到非公企业经济发展和企业文化中，把非公党建新春驿站打造成助推民营经济高质量发展的开放平台。      </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绩效指标：及时完成驿站装修，提高驿站维修合格率，提升民营经济发展质量。</w:t>
      </w:r>
    </w:p>
    <w:p>
      <w:pPr>
        <w:widowControl/>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6.机关事务管理经费</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绩效目标：保证街道日常工作运转，水电费、办公用品、取暖、维稳、食堂运营的经费。</w:t>
      </w:r>
    </w:p>
    <w:p>
      <w:pPr>
        <w:widowControl/>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绩效指标：保障办公人数，日常办公需要，维持单位正常运转。</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widowControl/>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1.完善制度建设。</w:t>
      </w:r>
    </w:p>
    <w:p>
      <w:pPr>
        <w:widowControl/>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对财务制度以及相关配套制度进行更新和完善，规范票据管理和报销流程，确保有章可循和有章必循，进一步提升财政资金管理使用科学化规范化水平，为全年预算绩效目标的实现奠定制度基础。</w:t>
      </w:r>
    </w:p>
    <w:p>
      <w:pPr>
        <w:widowControl/>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2.加强支出管理。</w:t>
      </w:r>
    </w:p>
    <w:p>
      <w:pPr>
        <w:widowControl/>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结合年度目标任务将全面工作进行细化分解，按月按活动制定支出计划，明确指出分类，不断优化支出结构，同时，严格经费使用管理，严把各个环节支出流程，确保资金使用合规。加快资金支付进度，与工作同时跟进，杜绝滞后现象，通过优化支出结构、编细编实预算、加快履行政府采购手续、尽快启动项目、及时支付资金、细化代编预算、按规定及时安排资金等多种措施，确保支出进度达标。</w:t>
      </w:r>
    </w:p>
    <w:p>
      <w:pPr>
        <w:widowControl/>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3.加强绩效运行监控。 </w:t>
      </w:r>
    </w:p>
    <w:p>
      <w:pPr>
        <w:widowControl/>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按要求开展绩效运行监控，建立健全加强绩效监督管理运行长效机制，按月进行自查自纠，发现问题及时采取措施，确保绩效目标如期保质实现。</w:t>
      </w:r>
    </w:p>
    <w:p>
      <w:pPr>
        <w:widowControl/>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4.做好绩效自评。</w:t>
      </w:r>
    </w:p>
    <w:p>
      <w:pPr>
        <w:widowControl/>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按区财政局要求开展上年度</w:t>
      </w:r>
      <w:r>
        <w:rPr>
          <w:rFonts w:hint="eastAsia" w:ascii="仿宋_GB2312" w:hAnsi="仿宋_GB2312" w:eastAsia="仿宋_GB2312" w:cs="仿宋_GB2312"/>
          <w:color w:val="000000"/>
          <w:kern w:val="0"/>
          <w:sz w:val="32"/>
          <w:szCs w:val="32"/>
          <w:lang w:eastAsia="zh-CN"/>
        </w:rPr>
        <w:t>单位</w:t>
      </w:r>
      <w:r>
        <w:rPr>
          <w:rFonts w:hint="eastAsia" w:ascii="仿宋_GB2312" w:hAnsi="仿宋_GB2312" w:eastAsia="仿宋_GB2312" w:cs="仿宋_GB2312"/>
          <w:color w:val="000000"/>
          <w:kern w:val="0"/>
          <w:sz w:val="32"/>
          <w:szCs w:val="32"/>
        </w:rPr>
        <w:t>预算绩效自评和重点评价工作，做好自评工作，对评价中发现的问题及时整改，调整优化支出结构，提高财政资金使用效益。</w:t>
      </w:r>
    </w:p>
    <w:p>
      <w:pPr>
        <w:widowControl/>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5.规范资产管理。</w:t>
      </w:r>
    </w:p>
    <w:p>
      <w:pPr>
        <w:widowControl/>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不断完善财务管理制度，提高规范化科学化管理水平，严格审批程序，加强固定资产登记、使用和报废处置管理，做到支出合理，物尽其用。</w:t>
      </w:r>
    </w:p>
    <w:p>
      <w:pPr>
        <w:widowControl/>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6.加强内部监督。</w:t>
      </w:r>
    </w:p>
    <w:p>
      <w:pPr>
        <w:widowControl/>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widowControl/>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7.加强宣传培训调研等。</w:t>
      </w:r>
    </w:p>
    <w:p>
      <w:pPr>
        <w:widowControl/>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加强人员培训，提高本</w:t>
      </w:r>
      <w:r>
        <w:rPr>
          <w:rFonts w:hint="eastAsia" w:ascii="仿宋_GB2312" w:hAnsi="仿宋_GB2312" w:eastAsia="仿宋_GB2312" w:cs="仿宋_GB2312"/>
          <w:color w:val="000000"/>
          <w:kern w:val="0"/>
          <w:sz w:val="32"/>
          <w:szCs w:val="32"/>
          <w:lang w:eastAsia="zh-CN"/>
        </w:rPr>
        <w:t>单位</w:t>
      </w:r>
      <w:r>
        <w:rPr>
          <w:rFonts w:hint="eastAsia" w:ascii="仿宋_GB2312" w:hAnsi="仿宋_GB2312" w:eastAsia="仿宋_GB2312" w:cs="仿宋_GB2312"/>
          <w:color w:val="000000"/>
          <w:kern w:val="0"/>
          <w:sz w:val="32"/>
          <w:szCs w:val="32"/>
        </w:rPr>
        <w:t>职工业务素质；加强调研，提出优化财政资金配置、提高资金使用效益的</w:t>
      </w:r>
      <w:r>
        <w:rPr>
          <w:rFonts w:hint="eastAsia" w:ascii="仿宋_GB2312" w:hAnsi="仿宋_GB2312" w:eastAsia="仿宋_GB2312" w:cs="仿宋_GB2312"/>
          <w:color w:val="000000"/>
          <w:kern w:val="0"/>
          <w:sz w:val="32"/>
          <w:szCs w:val="32"/>
          <w:lang w:eastAsia="zh-CN"/>
        </w:rPr>
        <w:t>意见</w:t>
      </w:r>
      <w:r>
        <w:rPr>
          <w:rFonts w:hint="eastAsia" w:ascii="仿宋_GB2312" w:hAnsi="仿宋_GB2312" w:eastAsia="仿宋_GB2312" w:cs="仿宋_GB2312"/>
          <w:color w:val="000000"/>
          <w:kern w:val="0"/>
          <w:sz w:val="32"/>
          <w:szCs w:val="32"/>
        </w:rPr>
        <w:t>；加大宣传力度，强化预算绩效管理意识，促进预算绩效管理水平进一步提升。</w:t>
      </w: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11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399"/>
        <w:gridCol w:w="1417"/>
        <w:gridCol w:w="1701"/>
        <w:gridCol w:w="2126"/>
        <w:gridCol w:w="1701"/>
        <w:gridCol w:w="685"/>
        <w:gridCol w:w="488"/>
        <w:gridCol w:w="67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1399"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141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1701"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126"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701"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843"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18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1399" w:type="dxa"/>
            <w:vMerge w:val="continue"/>
            <w:tcBorders>
              <w:tl2br w:val="nil"/>
              <w:tr2bl w:val="nil"/>
            </w:tcBorders>
            <w:vAlign w:val="center"/>
          </w:tcPr>
          <w:p/>
        </w:tc>
        <w:tc>
          <w:tcPr>
            <w:tcW w:w="1417" w:type="dxa"/>
            <w:vMerge w:val="continue"/>
            <w:tcBorders>
              <w:tl2br w:val="nil"/>
              <w:tr2bl w:val="nil"/>
            </w:tcBorders>
            <w:vAlign w:val="center"/>
          </w:tcPr>
          <w:p/>
        </w:tc>
        <w:tc>
          <w:tcPr>
            <w:tcW w:w="1701" w:type="dxa"/>
            <w:vMerge w:val="continue"/>
            <w:tcBorders>
              <w:tl2br w:val="nil"/>
              <w:tr2bl w:val="nil"/>
            </w:tcBorders>
            <w:vAlign w:val="center"/>
          </w:tcPr>
          <w:p/>
        </w:tc>
        <w:tc>
          <w:tcPr>
            <w:tcW w:w="2126" w:type="dxa"/>
            <w:vMerge w:val="continue"/>
            <w:tcBorders>
              <w:tl2br w:val="nil"/>
              <w:tr2bl w:val="nil"/>
            </w:tcBorders>
            <w:vAlign w:val="center"/>
          </w:tcPr>
          <w:p/>
        </w:tc>
        <w:tc>
          <w:tcPr>
            <w:tcW w:w="1701" w:type="dxa"/>
            <w:vMerge w:val="continue"/>
            <w:tcBorders>
              <w:tl2br w:val="nil"/>
              <w:tr2bl w:val="nil"/>
            </w:tcBorders>
            <w:vAlign w:val="center"/>
          </w:tcPr>
          <w:p/>
        </w:tc>
        <w:tc>
          <w:tcPr>
            <w:tcW w:w="685"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670"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180"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399" w:type="dxa"/>
            <w:vMerge w:val="restar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单位</w:t>
            </w:r>
            <w:r>
              <w:rPr>
                <w:rFonts w:ascii="方正书宋_GBK" w:eastAsia="方正书宋_GBK"/>
              </w:rPr>
              <w:t>产出</w:t>
            </w:r>
          </w:p>
        </w:tc>
        <w:tc>
          <w:tcPr>
            <w:tcW w:w="1417"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1701"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保障人数</w:t>
            </w:r>
          </w:p>
        </w:tc>
        <w:tc>
          <w:tcPr>
            <w:tcW w:w="2126"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反映保障人数</w:t>
            </w:r>
          </w:p>
        </w:tc>
        <w:tc>
          <w:tcPr>
            <w:tcW w:w="1701"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此项15分，每少一个人扣0.1分</w:t>
            </w:r>
          </w:p>
        </w:tc>
        <w:tc>
          <w:tcPr>
            <w:tcW w:w="685"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文字描述</w:t>
            </w:r>
          </w:p>
        </w:tc>
        <w:tc>
          <w:tcPr>
            <w:tcW w:w="488" w:type="dxa"/>
            <w:tcBorders>
              <w:tl2br w:val="nil"/>
              <w:tr2bl w:val="nil"/>
            </w:tcBorders>
          </w:tcPr>
          <w:p>
            <w:pPr>
              <w:rPr>
                <w:rFonts w:hint="eastAsia" w:ascii="仿宋_GB2312" w:hAnsi="仿宋_GB2312" w:eastAsia="仿宋_GB2312" w:cs="仿宋_GB2312"/>
                <w:color w:val="000000"/>
                <w:sz w:val="22"/>
              </w:rPr>
            </w:pPr>
          </w:p>
        </w:tc>
        <w:tc>
          <w:tcPr>
            <w:tcW w:w="670"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保人员稳定障</w:t>
            </w:r>
          </w:p>
        </w:tc>
        <w:tc>
          <w:tcPr>
            <w:tcW w:w="1180"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年度考核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399" w:type="dxa"/>
            <w:vMerge w:val="continue"/>
            <w:tcBorders>
              <w:tl2br w:val="nil"/>
              <w:tr2bl w:val="nil"/>
            </w:tcBorders>
            <w:vAlign w:val="center"/>
          </w:tcPr>
          <w:p/>
        </w:tc>
        <w:tc>
          <w:tcPr>
            <w:tcW w:w="1417"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1701"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运转保障率</w:t>
            </w:r>
          </w:p>
        </w:tc>
        <w:tc>
          <w:tcPr>
            <w:tcW w:w="2126"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反映各项日常工作保障情况</w:t>
            </w:r>
          </w:p>
        </w:tc>
        <w:tc>
          <w:tcPr>
            <w:tcW w:w="1701"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此项15分，每少1%扣0.2分</w:t>
            </w:r>
          </w:p>
        </w:tc>
        <w:tc>
          <w:tcPr>
            <w:tcW w:w="685" w:type="dxa"/>
            <w:tcBorders>
              <w:tl2br w:val="nil"/>
              <w:tr2bl w:val="nil"/>
            </w:tcBorders>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488"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670"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80"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年度考核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399" w:type="dxa"/>
            <w:vMerge w:val="continue"/>
            <w:tcBorders>
              <w:tl2br w:val="nil"/>
              <w:tr2bl w:val="nil"/>
            </w:tcBorders>
            <w:vAlign w:val="center"/>
          </w:tcPr>
          <w:p/>
        </w:tc>
        <w:tc>
          <w:tcPr>
            <w:tcW w:w="1417"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1701"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职工工资及社保发放及时率</w:t>
            </w:r>
          </w:p>
        </w:tc>
        <w:tc>
          <w:tcPr>
            <w:tcW w:w="2126"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反映工资发放的时效情况</w:t>
            </w:r>
          </w:p>
        </w:tc>
        <w:tc>
          <w:tcPr>
            <w:tcW w:w="1701"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此项15分，每少1%扣0.2分</w:t>
            </w:r>
          </w:p>
        </w:tc>
        <w:tc>
          <w:tcPr>
            <w:tcW w:w="685" w:type="dxa"/>
            <w:tcBorders>
              <w:tl2br w:val="nil"/>
              <w:tr2bl w:val="nil"/>
            </w:tcBorders>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488"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670"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80"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年度考核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399" w:type="dxa"/>
            <w:vMerge w:val="continue"/>
            <w:tcBorders>
              <w:tl2br w:val="nil"/>
              <w:tr2bl w:val="nil"/>
            </w:tcBorders>
            <w:vAlign w:val="center"/>
          </w:tcPr>
          <w:p/>
        </w:tc>
        <w:tc>
          <w:tcPr>
            <w:tcW w:w="1417"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1701"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资金成本</w:t>
            </w:r>
          </w:p>
        </w:tc>
        <w:tc>
          <w:tcPr>
            <w:tcW w:w="2126"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反映单位资金成本</w:t>
            </w:r>
          </w:p>
        </w:tc>
        <w:tc>
          <w:tcPr>
            <w:tcW w:w="1701"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此项15分，每加减1万扣0.1分</w:t>
            </w:r>
          </w:p>
        </w:tc>
        <w:tc>
          <w:tcPr>
            <w:tcW w:w="685" w:type="dxa"/>
            <w:tcBorders>
              <w:tl2br w:val="nil"/>
              <w:tr2bl w:val="nil"/>
            </w:tcBorders>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488"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231.55</w:t>
            </w:r>
          </w:p>
        </w:tc>
        <w:tc>
          <w:tcPr>
            <w:tcW w:w="670"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万元/年</w:t>
            </w:r>
          </w:p>
        </w:tc>
        <w:tc>
          <w:tcPr>
            <w:tcW w:w="1180"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年度考核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399" w:type="dxa"/>
            <w:vMerge w:val="restart"/>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lang w:eastAsia="zh-CN"/>
              </w:rPr>
              <w:t>单位</w:t>
            </w:r>
            <w:r>
              <w:rPr>
                <w:rFonts w:hint="eastAsia" w:ascii="方正书宋_GBK" w:eastAsia="方正书宋_GBK"/>
              </w:rPr>
              <w:t>效果</w:t>
            </w:r>
          </w:p>
        </w:tc>
        <w:tc>
          <w:tcPr>
            <w:tcW w:w="1417"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1701"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加强工作人员归属感，保持干部队伍稳定</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通过按时按标准发放工资福利等，进一步增强职工的归属感，保障办公正常运转</w:t>
            </w:r>
          </w:p>
          <w:p>
            <w:pPr>
              <w:widowControl/>
              <w:adjustRightInd w:val="0"/>
              <w:snapToGrid w:val="0"/>
              <w:rPr>
                <w:rFonts w:hint="eastAsia" w:ascii="仿宋_GB2312" w:hAnsi="仿宋_GB2312" w:eastAsia="仿宋_GB2312" w:cs="仿宋_GB2312"/>
              </w:rPr>
            </w:pPr>
          </w:p>
        </w:tc>
        <w:tc>
          <w:tcPr>
            <w:tcW w:w="1701"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此项20分，每少1%扣0.2分</w:t>
            </w:r>
          </w:p>
          <w:p>
            <w:pPr>
              <w:widowControl/>
              <w:adjustRightInd w:val="0"/>
              <w:snapToGrid w:val="0"/>
              <w:rPr>
                <w:rFonts w:hint="eastAsia" w:ascii="仿宋_GB2312" w:hAnsi="仿宋_GB2312" w:eastAsia="仿宋_GB2312" w:cs="仿宋_GB2312"/>
              </w:rPr>
            </w:pPr>
          </w:p>
        </w:tc>
        <w:tc>
          <w:tcPr>
            <w:tcW w:w="685" w:type="dxa"/>
            <w:tcBorders>
              <w:tl2br w:val="nil"/>
              <w:tr2bl w:val="nil"/>
            </w:tcBorders>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488"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90</w:t>
            </w:r>
          </w:p>
        </w:tc>
        <w:tc>
          <w:tcPr>
            <w:tcW w:w="670"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80"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sz w:val="22"/>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1399" w:type="dxa"/>
            <w:vMerge w:val="continue"/>
            <w:tcBorders>
              <w:tl2br w:val="nil"/>
              <w:tr2bl w:val="nil"/>
            </w:tcBorders>
            <w:vAlign w:val="center"/>
          </w:tcPr>
          <w:p/>
        </w:tc>
        <w:tc>
          <w:tcPr>
            <w:tcW w:w="1417"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1701" w:type="dxa"/>
            <w:tcBorders>
              <w:tl2br w:val="nil"/>
              <w:tr2bl w:val="nil"/>
            </w:tcBorders>
            <w:noWrap/>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群众满意度</w:t>
            </w:r>
          </w:p>
        </w:tc>
        <w:tc>
          <w:tcPr>
            <w:tcW w:w="2126" w:type="dxa"/>
            <w:tcBorders>
              <w:tl2br w:val="nil"/>
              <w:tr2bl w:val="nil"/>
            </w:tcBorders>
            <w:noWrap/>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反映群众对街道当年工作满意度</w:t>
            </w:r>
          </w:p>
        </w:tc>
        <w:tc>
          <w:tcPr>
            <w:tcW w:w="1701" w:type="dxa"/>
            <w:tcBorders>
              <w:tl2br w:val="nil"/>
              <w:tr2bl w:val="nil"/>
            </w:tcBorders>
            <w:noWrap/>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此项20分，每少1%扣0.2分</w:t>
            </w:r>
          </w:p>
        </w:tc>
        <w:tc>
          <w:tcPr>
            <w:tcW w:w="685"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488"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90</w:t>
            </w:r>
          </w:p>
        </w:tc>
        <w:tc>
          <w:tcPr>
            <w:tcW w:w="670"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180"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bl>
    <w:p>
      <w:pPr>
        <w:spacing w:line="584" w:lineRule="exact"/>
        <w:rPr>
          <w:rFonts w:ascii="仿宋_GB2312" w:eastAsia="仿宋_GB2312"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1.社区招聘人员经费[区级]（项目名称）绩效目标表</w:t>
      </w:r>
      <w:bookmarkStart w:id="0" w:name="_Toc29799657"/>
      <w:bookmarkEnd w:id="0"/>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line="300" w:lineRule="exact"/>
              <w:rPr>
                <w:rFonts w:hint="eastAsia" w:ascii="仿宋_GB2312" w:hAnsi="仿宋_GB2312" w:eastAsia="仿宋_GB2312" w:cs="仿宋_GB2312"/>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数量指标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保障人数</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反映保障人数</w:t>
            </w:r>
          </w:p>
        </w:tc>
        <w:tc>
          <w:tcPr>
            <w:tcW w:w="1843"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≥61人</w:t>
            </w:r>
          </w:p>
        </w:tc>
        <w:tc>
          <w:tcPr>
            <w:tcW w:w="215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廊办发〔2012〕6号、廊发〔2017〕23号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质量指标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工资发放准确率</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反映工资发放精准情况</w:t>
            </w:r>
          </w:p>
        </w:tc>
        <w:tc>
          <w:tcPr>
            <w:tcW w:w="1843"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=100%</w:t>
            </w:r>
          </w:p>
        </w:tc>
        <w:tc>
          <w:tcPr>
            <w:tcW w:w="215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廊办发〔2012〕6号、廊发〔2017〕23号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质量指标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个人保险申报表</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反映保险申报情况</w:t>
            </w:r>
          </w:p>
        </w:tc>
        <w:tc>
          <w:tcPr>
            <w:tcW w:w="1843"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=100%</w:t>
            </w:r>
          </w:p>
        </w:tc>
        <w:tc>
          <w:tcPr>
            <w:tcW w:w="215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廊办发〔2012〕6号、廊发〔2017〕23号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时效指标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工资发放及时率</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反映工资发放的时效情况</w:t>
            </w:r>
          </w:p>
        </w:tc>
        <w:tc>
          <w:tcPr>
            <w:tcW w:w="1843"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≥95%</w:t>
            </w:r>
          </w:p>
        </w:tc>
        <w:tc>
          <w:tcPr>
            <w:tcW w:w="215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廊办发〔2012〕6号、廊发〔2017〕23号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成本指标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社区聘用人员人均工资标准</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社区聘用人员人均工资标准</w:t>
            </w:r>
          </w:p>
        </w:tc>
        <w:tc>
          <w:tcPr>
            <w:tcW w:w="1843"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≤4203元/人/月</w:t>
            </w:r>
          </w:p>
        </w:tc>
        <w:tc>
          <w:tcPr>
            <w:tcW w:w="215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廊办发〔2012〕6号、廊发〔2017〕23号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成本指标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社区聘用人员人均保险所需资金</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社区聘用人员人均保险所需资金</w:t>
            </w:r>
          </w:p>
        </w:tc>
        <w:tc>
          <w:tcPr>
            <w:tcW w:w="1843"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≤2469元/人/月</w:t>
            </w:r>
          </w:p>
        </w:tc>
        <w:tc>
          <w:tcPr>
            <w:tcW w:w="215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廊办发〔2012〕6号、廊发〔2017〕23号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社会效益指标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确保人员稳定，实现进一步提升</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反映人员稳定提升情况</w:t>
            </w:r>
          </w:p>
        </w:tc>
        <w:tc>
          <w:tcPr>
            <w:tcW w:w="1843" w:type="dxa"/>
            <w:shd w:val="clear" w:color="auto" w:fill="auto"/>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文字描述 不上访</w:t>
            </w:r>
          </w:p>
        </w:tc>
        <w:tc>
          <w:tcPr>
            <w:tcW w:w="2155"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color w:val="000000"/>
                <w:kern w:val="0"/>
                <w:sz w:val="22"/>
              </w:rPr>
              <w:t>廊办发〔2012〕6号、廊发〔2017〕23号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服务对象满意度指标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社区聘用人员的满意度</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社区聘用人员满意的占总人数的比例</w:t>
            </w:r>
          </w:p>
        </w:tc>
        <w:tc>
          <w:tcPr>
            <w:tcW w:w="184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≥90</w:t>
            </w:r>
            <w:r>
              <w:rPr>
                <w:rFonts w:hint="eastAsia" w:ascii="仿宋_GB2312" w:hAnsi="仿宋_GB2312" w:eastAsia="仿宋_GB2312" w:cs="仿宋_GB2312"/>
                <w:color w:val="000000"/>
                <w:kern w:val="0"/>
                <w:sz w:val="22"/>
              </w:rPr>
              <w:t>%</w:t>
            </w:r>
          </w:p>
        </w:tc>
        <w:tc>
          <w:tcPr>
            <w:tcW w:w="2155" w:type="dxa"/>
            <w:shd w:val="clear" w:color="auto" w:fill="auto"/>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年度考核</w:t>
            </w:r>
          </w:p>
        </w:tc>
      </w:tr>
    </w:tbl>
    <w:p>
      <w:pPr>
        <w:ind w:firstLine="560" w:firstLineChars="200"/>
        <w:jc w:val="left"/>
        <w:outlineLvl w:val="1"/>
        <w:rPr>
          <w:rFonts w:hint="eastAsia" w:ascii="仿宋_GB2312" w:hAnsi="仿宋_GB2312" w:eastAsia="仿宋_GB2312" w:cs="仿宋_GB2312"/>
          <w:sz w:val="28"/>
          <w:lang w:val="en-US" w:eastAsia="zh-CN"/>
        </w:rPr>
      </w:pPr>
    </w:p>
    <w:p>
      <w:pPr>
        <w:ind w:firstLine="560" w:firstLineChars="200"/>
        <w:jc w:val="left"/>
        <w:outlineLvl w:val="1"/>
        <w:rPr>
          <w:rFonts w:hint="eastAsia" w:ascii="仿宋_GB2312" w:hAnsi="仿宋_GB2312" w:eastAsia="仿宋_GB2312" w:cs="仿宋_GB2312"/>
          <w:sz w:val="28"/>
          <w:lang w:val="en-US" w:eastAsia="zh-CN"/>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2</w:t>
      </w:r>
      <w:r>
        <w:rPr>
          <w:rFonts w:hint="eastAsia" w:ascii="仿宋_GB2312" w:hAnsi="仿宋_GB2312" w:eastAsia="仿宋_GB2312" w:cs="仿宋_GB2312"/>
          <w:sz w:val="28"/>
        </w:rPr>
        <w:t>.社区楼门长工作经费</w:t>
      </w:r>
      <w:r>
        <w:rPr>
          <w:rFonts w:hint="eastAsia" w:ascii="仿宋_GB2312" w:hAnsi="仿宋_GB2312" w:eastAsia="仿宋_GB2312" w:cs="仿宋_GB2312"/>
          <w:sz w:val="28"/>
          <w:lang w:val="en-US" w:eastAsia="zh-CN"/>
        </w:rPr>
        <w:t xml:space="preserve"> </w:t>
      </w:r>
      <w:r>
        <w:rPr>
          <w:rFonts w:hint="eastAsia" w:ascii="仿宋_GB2312" w:hAnsi="仿宋_GB2312" w:eastAsia="仿宋_GB2312" w:cs="仿宋_GB2312"/>
          <w:sz w:val="28"/>
        </w:rPr>
        <w:t>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kern w:val="0"/>
                <w:sz w:val="24"/>
              </w:rPr>
              <w:t>通过项目的开展完成楼门长补贴经费支出计划，推进社会治理重心向基层下移，实现政府治理和社会调节、居民参与的良性互动。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数量指标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补贴楼门长人员数量</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反映发放补贴的人数</w:t>
            </w:r>
          </w:p>
        </w:tc>
        <w:tc>
          <w:tcPr>
            <w:tcW w:w="1843"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=606人</w:t>
            </w:r>
          </w:p>
        </w:tc>
        <w:tc>
          <w:tcPr>
            <w:tcW w:w="215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廊广办发〔2020〕1号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质量指标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补贴发放精准性</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反应补贴资金发放人员范围和发放数据的准确性</w:t>
            </w:r>
          </w:p>
        </w:tc>
        <w:tc>
          <w:tcPr>
            <w:tcW w:w="1843"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=100%</w:t>
            </w:r>
          </w:p>
        </w:tc>
        <w:tc>
          <w:tcPr>
            <w:tcW w:w="215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廊广办发〔2020〕1号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时效指标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补贴发放及时率</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反映补贴发放时间及时性情况</w:t>
            </w:r>
          </w:p>
        </w:tc>
        <w:tc>
          <w:tcPr>
            <w:tcW w:w="1843"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≥95%</w:t>
            </w:r>
          </w:p>
        </w:tc>
        <w:tc>
          <w:tcPr>
            <w:tcW w:w="215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廊广办发〔2020〕1号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成本指标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有物业小区单元长补贴标准</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有物业小区单元长补贴标准</w:t>
            </w:r>
          </w:p>
        </w:tc>
        <w:tc>
          <w:tcPr>
            <w:tcW w:w="1843"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=50元/月/人</w:t>
            </w:r>
          </w:p>
        </w:tc>
        <w:tc>
          <w:tcPr>
            <w:tcW w:w="215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廊广办发〔2020〕1号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成本指标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有物业小区楼长、无物业小区单元长补贴标准</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有物业小区楼长、无物业小区单元长补贴标准</w:t>
            </w:r>
          </w:p>
        </w:tc>
        <w:tc>
          <w:tcPr>
            <w:tcW w:w="1843"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=100元/月/人</w:t>
            </w:r>
          </w:p>
        </w:tc>
        <w:tc>
          <w:tcPr>
            <w:tcW w:w="215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廊广办发〔2020〕1号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成本指标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无物业小区楼长补贴标准</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无物业小区楼长补贴标准</w:t>
            </w:r>
          </w:p>
        </w:tc>
        <w:tc>
          <w:tcPr>
            <w:tcW w:w="1843"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=200元/月/人</w:t>
            </w:r>
          </w:p>
        </w:tc>
        <w:tc>
          <w:tcPr>
            <w:tcW w:w="215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廊广办发〔2020〕1号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社会效益指标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补贴人群生活水平提高程度</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反应补贴人群生活水平提高程度</w:t>
            </w:r>
          </w:p>
        </w:tc>
        <w:tc>
          <w:tcPr>
            <w:tcW w:w="1843" w:type="dxa"/>
            <w:shd w:val="clear" w:color="auto" w:fill="auto"/>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提升楼门长工作积极性</w:t>
            </w:r>
          </w:p>
        </w:tc>
        <w:tc>
          <w:tcPr>
            <w:tcW w:w="2155" w:type="dxa"/>
            <w:shd w:val="clear" w:color="auto" w:fill="auto"/>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服务对象满意度指标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满意度</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楼门长满意度</w:t>
            </w:r>
          </w:p>
        </w:tc>
        <w:tc>
          <w:tcPr>
            <w:tcW w:w="184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color w:val="000000"/>
                <w:kern w:val="0"/>
                <w:sz w:val="22"/>
              </w:rPr>
              <w:t>≥90%</w:t>
            </w:r>
          </w:p>
        </w:tc>
        <w:tc>
          <w:tcPr>
            <w:tcW w:w="2155" w:type="dxa"/>
            <w:shd w:val="clear" w:color="auto" w:fill="auto"/>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调查问卷</w:t>
            </w:r>
          </w:p>
        </w:tc>
      </w:tr>
    </w:tbl>
    <w:p>
      <w:pPr>
        <w:ind w:firstLine="560" w:firstLineChars="200"/>
        <w:jc w:val="left"/>
        <w:outlineLvl w:val="1"/>
        <w:rPr>
          <w:rFonts w:hint="eastAsia" w:ascii="仿宋_GB2312" w:hAnsi="仿宋_GB2312" w:eastAsia="仿宋_GB2312" w:cs="仿宋_GB2312"/>
          <w:sz w:val="28"/>
          <w:lang w:val="en-US" w:eastAsia="zh-CN"/>
        </w:rPr>
      </w:pPr>
    </w:p>
    <w:p>
      <w:pPr>
        <w:ind w:firstLine="560" w:firstLineChars="200"/>
        <w:jc w:val="left"/>
        <w:outlineLvl w:val="1"/>
        <w:rPr>
          <w:rFonts w:hint="eastAsia" w:ascii="仿宋_GB2312" w:hAnsi="仿宋_GB2312" w:eastAsia="仿宋_GB2312" w:cs="仿宋_GB2312"/>
          <w:sz w:val="28"/>
          <w:lang w:val="en-US" w:eastAsia="zh-CN"/>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3</w:t>
      </w:r>
      <w:r>
        <w:rPr>
          <w:rFonts w:hint="eastAsia" w:ascii="仿宋_GB2312" w:hAnsi="仿宋_GB2312" w:eastAsia="仿宋_GB2312" w:cs="仿宋_GB2312"/>
          <w:sz w:val="28"/>
        </w:rPr>
        <w:t>.社区工作经费</w:t>
      </w:r>
      <w:r>
        <w:rPr>
          <w:rFonts w:hint="eastAsia" w:ascii="仿宋_GB2312" w:hAnsi="仿宋_GB2312" w:eastAsia="仿宋_GB2312" w:cs="仿宋_GB2312"/>
          <w:sz w:val="28"/>
          <w:lang w:val="en-US" w:eastAsia="zh-CN"/>
        </w:rPr>
        <w:t xml:space="preserve"> </w:t>
      </w:r>
      <w:r>
        <w:rPr>
          <w:rFonts w:hint="eastAsia" w:ascii="仿宋_GB2312" w:hAnsi="仿宋_GB2312" w:eastAsia="仿宋_GB2312" w:cs="仿宋_GB2312"/>
          <w:sz w:val="28"/>
        </w:rPr>
        <w:t>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szCs w:val="21"/>
              </w:rPr>
              <w:t>通过社区各项日常办公费用支出，达到社区各项日常工作正常运转，实现加强和完善社区治理，基层和谐稳定，进一步健全城乡社区治理体系，推进治理能力现代化。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数量指标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经费保障社区数量</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反应经费保障社区数量</w:t>
            </w:r>
          </w:p>
        </w:tc>
        <w:tc>
          <w:tcPr>
            <w:tcW w:w="1843"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=14个</w:t>
            </w:r>
          </w:p>
        </w:tc>
        <w:tc>
          <w:tcPr>
            <w:tcW w:w="215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中办发〔2019〕30冀办〔2019〕41号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质量指标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运转保障率</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反映各项日常工作保障情况</w:t>
            </w:r>
          </w:p>
        </w:tc>
        <w:tc>
          <w:tcPr>
            <w:tcW w:w="1843"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=100%</w:t>
            </w:r>
          </w:p>
        </w:tc>
        <w:tc>
          <w:tcPr>
            <w:tcW w:w="215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中办发〔2019〕30冀办〔2019〕41号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时效指标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经费保障及时率</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反映及时保障各项日常办公需要</w:t>
            </w:r>
          </w:p>
        </w:tc>
        <w:tc>
          <w:tcPr>
            <w:tcW w:w="1843"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≥95%</w:t>
            </w:r>
          </w:p>
        </w:tc>
        <w:tc>
          <w:tcPr>
            <w:tcW w:w="215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中办发〔2019〕30冀办〔2019〕41号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成本指标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资金成本</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反映单位资金成本</w:t>
            </w:r>
          </w:p>
        </w:tc>
        <w:tc>
          <w:tcPr>
            <w:tcW w:w="1843"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≤10万元/社区/年</w:t>
            </w:r>
          </w:p>
        </w:tc>
        <w:tc>
          <w:tcPr>
            <w:tcW w:w="215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中办发〔2019〕30冀办〔2019〕41号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社会效益指标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保障日常办公需要，维持社区正常运转</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反映保障日常办公需要，维持社区正常运转</w:t>
            </w:r>
          </w:p>
        </w:tc>
        <w:tc>
          <w:tcPr>
            <w:tcW w:w="1843" w:type="dxa"/>
            <w:shd w:val="clear" w:color="auto" w:fill="auto"/>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维持社区正常运转</w:t>
            </w:r>
          </w:p>
        </w:tc>
        <w:tc>
          <w:tcPr>
            <w:tcW w:w="2155" w:type="dxa"/>
            <w:shd w:val="clear" w:color="auto" w:fill="auto"/>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服务对象满意度指标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社区居民对社区服务的满意度</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社区居民对社区当年工作满意度</w:t>
            </w:r>
          </w:p>
        </w:tc>
        <w:tc>
          <w:tcPr>
            <w:tcW w:w="184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color w:val="000000"/>
                <w:kern w:val="0"/>
                <w:sz w:val="22"/>
              </w:rPr>
              <w:t>≥90%</w:t>
            </w:r>
          </w:p>
        </w:tc>
        <w:tc>
          <w:tcPr>
            <w:tcW w:w="2155" w:type="dxa"/>
            <w:shd w:val="clear" w:color="auto" w:fill="auto"/>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调查问卷</w:t>
            </w:r>
          </w:p>
        </w:tc>
      </w:tr>
    </w:tbl>
    <w:p>
      <w:pPr>
        <w:ind w:firstLine="560" w:firstLineChars="200"/>
        <w:jc w:val="left"/>
        <w:outlineLvl w:val="1"/>
        <w:rPr>
          <w:rFonts w:hint="eastAsia" w:ascii="仿宋_GB2312" w:hAnsi="仿宋_GB2312" w:eastAsia="仿宋_GB2312" w:cs="仿宋_GB2312"/>
          <w:sz w:val="28"/>
          <w:lang w:val="en-US" w:eastAsia="zh-CN"/>
        </w:rPr>
      </w:pPr>
    </w:p>
    <w:p>
      <w:pPr>
        <w:ind w:firstLine="560" w:firstLineChars="200"/>
        <w:jc w:val="left"/>
        <w:outlineLvl w:val="1"/>
        <w:rPr>
          <w:rFonts w:hint="eastAsia" w:ascii="仿宋_GB2312" w:hAnsi="仿宋_GB2312" w:eastAsia="仿宋_GB2312" w:cs="仿宋_GB2312"/>
          <w:sz w:val="28"/>
          <w:lang w:val="en-US" w:eastAsia="zh-CN"/>
        </w:rPr>
      </w:pPr>
    </w:p>
    <w:p>
      <w:pPr>
        <w:ind w:firstLine="560" w:firstLineChars="200"/>
        <w:jc w:val="left"/>
        <w:outlineLvl w:val="1"/>
        <w:rPr>
          <w:rFonts w:hint="eastAsia" w:ascii="仿宋_GB2312" w:hAnsi="仿宋_GB2312" w:eastAsia="仿宋_GB2312" w:cs="仿宋_GB2312"/>
          <w:sz w:val="28"/>
          <w:lang w:val="en-US" w:eastAsia="zh-CN"/>
        </w:rPr>
      </w:pPr>
    </w:p>
    <w:p>
      <w:pPr>
        <w:ind w:firstLine="560" w:firstLineChars="200"/>
        <w:jc w:val="left"/>
        <w:outlineLvl w:val="1"/>
        <w:rPr>
          <w:rFonts w:hint="eastAsia" w:ascii="仿宋_GB2312" w:hAnsi="仿宋_GB2312" w:eastAsia="仿宋_GB2312" w:cs="仿宋_GB2312"/>
          <w:sz w:val="28"/>
          <w:lang w:val="en-US" w:eastAsia="zh-CN"/>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4</w:t>
      </w:r>
      <w:r>
        <w:rPr>
          <w:rFonts w:hint="eastAsia" w:ascii="仿宋_GB2312" w:hAnsi="仿宋_GB2312" w:eastAsia="仿宋_GB2312" w:cs="仿宋_GB2312"/>
          <w:sz w:val="28"/>
        </w:rPr>
        <w:t>.社区党组织服务群众专项经费[区级]</w:t>
      </w:r>
      <w:r>
        <w:rPr>
          <w:rFonts w:hint="eastAsia" w:ascii="仿宋_GB2312" w:hAnsi="仿宋_GB2312" w:eastAsia="仿宋_GB2312" w:cs="仿宋_GB2312"/>
          <w:sz w:val="28"/>
          <w:lang w:val="en-US" w:eastAsia="zh-CN"/>
        </w:rPr>
        <w:t xml:space="preserve"> </w:t>
      </w:r>
      <w:r>
        <w:rPr>
          <w:rFonts w:hint="eastAsia" w:ascii="仿宋_GB2312" w:hAnsi="仿宋_GB2312" w:eastAsia="仿宋_GB2312" w:cs="仿宋_GB2312"/>
          <w:sz w:val="28"/>
        </w:rPr>
        <w:t>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color w:val="000000"/>
                <w:kern w:val="0"/>
                <w:sz w:val="22"/>
              </w:rPr>
              <w:t>通过推动我社区基层党建工作，实现社区党组织的主导作用，提升专业化服务水平。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数量指标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项目保障社区数</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反映项目保障服务人数</w:t>
            </w:r>
          </w:p>
        </w:tc>
        <w:tc>
          <w:tcPr>
            <w:tcW w:w="1843"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=14个</w:t>
            </w:r>
          </w:p>
        </w:tc>
        <w:tc>
          <w:tcPr>
            <w:tcW w:w="215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中办发〔2019〕30冀办〔2019〕41号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质量指标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运转保障率</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反映党组织日常工作保障情况</w:t>
            </w:r>
          </w:p>
        </w:tc>
        <w:tc>
          <w:tcPr>
            <w:tcW w:w="1843"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=100%</w:t>
            </w:r>
          </w:p>
        </w:tc>
        <w:tc>
          <w:tcPr>
            <w:tcW w:w="215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中办发〔2019〕30冀办〔2019〕41号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时效指标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经费保障及时率</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反应工作完成及时率</w:t>
            </w:r>
          </w:p>
        </w:tc>
        <w:tc>
          <w:tcPr>
            <w:tcW w:w="1843"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≥95%</w:t>
            </w:r>
          </w:p>
        </w:tc>
        <w:tc>
          <w:tcPr>
            <w:tcW w:w="215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中办发〔2019〕30冀办〔2019〕41号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成本指标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资金成本</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反映单位资金成本</w:t>
            </w:r>
          </w:p>
        </w:tc>
        <w:tc>
          <w:tcPr>
            <w:tcW w:w="1843"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≤20万元/社区/年</w:t>
            </w:r>
          </w:p>
        </w:tc>
        <w:tc>
          <w:tcPr>
            <w:tcW w:w="215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中办发〔2019〕30冀办〔2019〕41号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社会效益指标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提升专业化服务水平</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反映专业化服务水平情况</w:t>
            </w:r>
          </w:p>
        </w:tc>
        <w:tc>
          <w:tcPr>
            <w:tcW w:w="1843" w:type="dxa"/>
            <w:shd w:val="clear" w:color="auto" w:fill="auto"/>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进一步提升</w:t>
            </w:r>
          </w:p>
        </w:tc>
        <w:tc>
          <w:tcPr>
            <w:tcW w:w="2155" w:type="dxa"/>
            <w:shd w:val="clear" w:color="auto" w:fill="auto"/>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服务对象满意度指标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社区居民对社区服务的满意度</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社区居民对社区当年工作满意度</w:t>
            </w:r>
          </w:p>
        </w:tc>
        <w:tc>
          <w:tcPr>
            <w:tcW w:w="184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color w:val="000000"/>
                <w:kern w:val="0"/>
                <w:sz w:val="22"/>
              </w:rPr>
              <w:t>≥90%</w:t>
            </w:r>
          </w:p>
        </w:tc>
        <w:tc>
          <w:tcPr>
            <w:tcW w:w="2155" w:type="dxa"/>
            <w:shd w:val="clear" w:color="auto" w:fill="auto"/>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调查问卷</w:t>
            </w:r>
          </w:p>
        </w:tc>
      </w:tr>
    </w:tbl>
    <w:p>
      <w:pPr>
        <w:ind w:firstLine="560" w:firstLineChars="200"/>
        <w:jc w:val="left"/>
        <w:outlineLvl w:val="1"/>
        <w:rPr>
          <w:rFonts w:hint="eastAsia" w:ascii="仿宋_GB2312" w:hAnsi="仿宋_GB2312" w:eastAsia="仿宋_GB2312" w:cs="仿宋_GB2312"/>
          <w:sz w:val="28"/>
          <w:lang w:val="en-US" w:eastAsia="zh-CN"/>
        </w:rPr>
      </w:pPr>
    </w:p>
    <w:p>
      <w:pPr>
        <w:ind w:firstLine="560" w:firstLineChars="200"/>
        <w:jc w:val="left"/>
        <w:outlineLvl w:val="1"/>
        <w:rPr>
          <w:rFonts w:hint="eastAsia" w:ascii="仿宋_GB2312" w:hAnsi="仿宋_GB2312" w:eastAsia="仿宋_GB2312" w:cs="仿宋_GB2312"/>
          <w:sz w:val="28"/>
          <w:lang w:val="en-US" w:eastAsia="zh-CN"/>
        </w:rPr>
      </w:pPr>
    </w:p>
    <w:p>
      <w:pPr>
        <w:ind w:firstLine="560" w:firstLineChars="200"/>
        <w:jc w:val="left"/>
        <w:outlineLvl w:val="1"/>
        <w:rPr>
          <w:rFonts w:hint="eastAsia" w:ascii="仿宋_GB2312" w:hAnsi="仿宋_GB2312" w:eastAsia="仿宋_GB2312" w:cs="仿宋_GB2312"/>
          <w:sz w:val="28"/>
          <w:lang w:val="en-US" w:eastAsia="zh-CN"/>
        </w:rPr>
      </w:pPr>
    </w:p>
    <w:p>
      <w:pPr>
        <w:ind w:firstLine="560" w:firstLineChars="200"/>
        <w:jc w:val="left"/>
        <w:outlineLvl w:val="1"/>
        <w:rPr>
          <w:rFonts w:hint="eastAsia" w:ascii="仿宋_GB2312" w:hAnsi="仿宋_GB2312" w:eastAsia="仿宋_GB2312" w:cs="仿宋_GB2312"/>
          <w:sz w:val="28"/>
          <w:lang w:val="en-US" w:eastAsia="zh-CN"/>
        </w:rPr>
      </w:pPr>
    </w:p>
    <w:p>
      <w:pPr>
        <w:ind w:firstLine="560" w:firstLineChars="200"/>
        <w:jc w:val="left"/>
        <w:outlineLvl w:val="1"/>
        <w:rPr>
          <w:rFonts w:hint="eastAsia" w:ascii="仿宋_GB2312" w:hAnsi="仿宋_GB2312" w:eastAsia="仿宋_GB2312" w:cs="仿宋_GB2312"/>
          <w:sz w:val="28"/>
          <w:lang w:val="en-US" w:eastAsia="zh-CN"/>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5</w:t>
      </w:r>
      <w:r>
        <w:rPr>
          <w:rFonts w:hint="eastAsia" w:ascii="仿宋_GB2312" w:hAnsi="仿宋_GB2312" w:eastAsia="仿宋_GB2312" w:cs="仿宋_GB2312"/>
          <w:sz w:val="28"/>
        </w:rPr>
        <w:t>.新春驿站建设经费</w:t>
      </w:r>
      <w:r>
        <w:rPr>
          <w:rFonts w:hint="eastAsia" w:ascii="仿宋_GB2312" w:hAnsi="仿宋_GB2312" w:eastAsia="仿宋_GB2312" w:cs="仿宋_GB2312"/>
          <w:sz w:val="28"/>
          <w:lang w:val="en-US" w:eastAsia="zh-CN"/>
        </w:rPr>
        <w:t xml:space="preserve"> </w:t>
      </w:r>
      <w:r>
        <w:rPr>
          <w:rFonts w:hint="eastAsia" w:ascii="仿宋_GB2312" w:hAnsi="仿宋_GB2312" w:eastAsia="仿宋_GB2312" w:cs="仿宋_GB2312"/>
          <w:sz w:val="28"/>
        </w:rPr>
        <w:t>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line="300" w:lineRule="exact"/>
              <w:rPr>
                <w:rFonts w:hint="eastAsia" w:ascii="仿宋_GB2312" w:hAnsi="仿宋_GB2312" w:eastAsia="仿宋_GB2312" w:cs="仿宋_GB2312"/>
                <w:b w:val="0"/>
                <w:bCs/>
              </w:rPr>
            </w:pPr>
            <w:r>
              <w:rPr>
                <w:rFonts w:hint="eastAsia" w:ascii="仿宋_GB2312" w:hAnsi="仿宋_GB2312" w:eastAsia="仿宋_GB2312" w:cs="仿宋_GB2312"/>
                <w:b w:val="0"/>
                <w:bCs/>
              </w:rPr>
              <w:t>1.1、通过“党建+融合”方式，把党的先进思想和理念融合到非公企业经济发展和企业文化中，把非公党建新春驿站打造成助推民营经济高质量发展的开放平台。</w:t>
            </w:r>
          </w:p>
          <w:p>
            <w:pPr>
              <w:spacing w:line="300" w:lineRule="exact"/>
              <w:rPr>
                <w:rFonts w:hint="eastAsia" w:ascii="仿宋_GB2312" w:hAnsi="仿宋_GB2312" w:eastAsia="仿宋_GB2312" w:cs="仿宋_GB2312"/>
                <w:b w:val="0"/>
                <w:bCs/>
              </w:rPr>
            </w:pPr>
            <w:r>
              <w:rPr>
                <w:rFonts w:hint="eastAsia" w:ascii="仿宋_GB2312" w:hAnsi="仿宋_GB2312" w:eastAsia="仿宋_GB2312" w:cs="仿宋_GB2312"/>
                <w:b w:val="0"/>
                <w:bCs/>
              </w:rPr>
              <w:t>2.2、能够提升服务水平的不同层次、不同类型的典型，激励先进，鞭策后进，为党建工作开展常态化、作用发挥最大化提供坚实保障。</w:t>
            </w:r>
          </w:p>
          <w:p>
            <w:pPr>
              <w:spacing w:line="300" w:lineRule="exact"/>
              <w:rPr>
                <w:rFonts w:hint="eastAsia" w:ascii="仿宋_GB2312" w:hAnsi="仿宋_GB2312" w:eastAsia="仿宋_GB2312" w:cs="仿宋_GB2312"/>
                <w:b w:val="0"/>
                <w:bCs/>
              </w:rPr>
            </w:pPr>
            <w:r>
              <w:rPr>
                <w:rFonts w:hint="eastAsia" w:ascii="仿宋_GB2312" w:hAnsi="仿宋_GB2312" w:eastAsia="仿宋_GB2312" w:cs="仿宋_GB2312"/>
                <w:b w:val="0"/>
                <w:bCs/>
              </w:rPr>
              <w:t>3.3、驿站改造顺利完成，达到可使用状态，预算安排、成本支出合理，党建工作开展可持续健康发展。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数量指标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维修面积</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驿站维修面积</w:t>
            </w:r>
          </w:p>
        </w:tc>
        <w:tc>
          <w:tcPr>
            <w:tcW w:w="1843"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=300平方米</w:t>
            </w:r>
          </w:p>
        </w:tc>
        <w:tc>
          <w:tcPr>
            <w:tcW w:w="215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实际面积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质量指标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维修合格率</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驿站维修合格率</w:t>
            </w:r>
          </w:p>
        </w:tc>
        <w:tc>
          <w:tcPr>
            <w:tcW w:w="1843"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=100%</w:t>
            </w:r>
          </w:p>
        </w:tc>
        <w:tc>
          <w:tcPr>
            <w:tcW w:w="215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成本指标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预算支出资金成本</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资金成本</w:t>
            </w:r>
          </w:p>
        </w:tc>
        <w:tc>
          <w:tcPr>
            <w:tcW w:w="1843"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=45.22万元</w:t>
            </w:r>
          </w:p>
        </w:tc>
        <w:tc>
          <w:tcPr>
            <w:tcW w:w="215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实际支出金额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时效指标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项目完成时间</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在计划间内顺利完成</w:t>
            </w:r>
          </w:p>
        </w:tc>
        <w:tc>
          <w:tcPr>
            <w:tcW w:w="1843" w:type="dxa"/>
            <w:shd w:val="clear" w:color="auto" w:fill="auto"/>
          </w:tcPr>
          <w:p>
            <w:pPr>
              <w:jc w:val="left"/>
              <w:rPr>
                <w:rFonts w:hint="eastAsia" w:ascii="仿宋_GB2312" w:hAnsi="仿宋_GB2312" w:eastAsia="仿宋_GB2312" w:cs="仿宋_GB2312"/>
              </w:rPr>
            </w:pPr>
            <w:r>
              <w:rPr>
                <w:rFonts w:hint="eastAsia" w:ascii="仿宋_GB2312" w:hAnsi="仿宋_GB2312" w:eastAsia="仿宋_GB2312" w:cs="仿宋_GB2312"/>
              </w:rPr>
              <w:t>2022年12月31日前</w:t>
            </w:r>
          </w:p>
        </w:tc>
        <w:tc>
          <w:tcPr>
            <w:tcW w:w="215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廊广解办字〔2021〕16号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可持续影响指标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驿站可使用年限</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驿站可使用年限</w:t>
            </w:r>
          </w:p>
        </w:tc>
        <w:tc>
          <w:tcPr>
            <w:tcW w:w="1843" w:type="dxa"/>
            <w:shd w:val="clear" w:color="auto" w:fill="auto"/>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≥3年</w:t>
            </w:r>
          </w:p>
        </w:tc>
        <w:tc>
          <w:tcPr>
            <w:tcW w:w="2155" w:type="dxa"/>
            <w:shd w:val="clear" w:color="auto" w:fill="auto"/>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廊广解办字〔2021〕16号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社会效益指标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提升民营经济高质量发展</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提升民营经济高质量发展</w:t>
            </w:r>
          </w:p>
        </w:tc>
        <w:tc>
          <w:tcPr>
            <w:tcW w:w="1843" w:type="dxa"/>
            <w:shd w:val="clear" w:color="auto" w:fill="auto"/>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促进民营经济高质量发展</w:t>
            </w:r>
          </w:p>
        </w:tc>
        <w:tc>
          <w:tcPr>
            <w:tcW w:w="215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廊广解办字〔2021〕16号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服务对象满意度指标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群众满意度</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群众对党建活动满意度</w:t>
            </w:r>
          </w:p>
        </w:tc>
        <w:tc>
          <w:tcPr>
            <w:tcW w:w="184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color w:val="000000"/>
                <w:kern w:val="0"/>
                <w:sz w:val="22"/>
              </w:rPr>
              <w:t>≥90%</w:t>
            </w:r>
          </w:p>
        </w:tc>
        <w:tc>
          <w:tcPr>
            <w:tcW w:w="2155" w:type="dxa"/>
            <w:shd w:val="clear" w:color="auto" w:fill="auto"/>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调查问卷</w:t>
            </w:r>
          </w:p>
        </w:tc>
      </w:tr>
    </w:tbl>
    <w:p>
      <w:pPr>
        <w:ind w:firstLine="560" w:firstLineChars="200"/>
        <w:jc w:val="left"/>
        <w:outlineLvl w:val="1"/>
        <w:rPr>
          <w:rFonts w:hint="eastAsia" w:ascii="仿宋_GB2312" w:hAnsi="仿宋_GB2312" w:eastAsia="仿宋_GB2312" w:cs="仿宋_GB2312"/>
          <w:sz w:val="28"/>
          <w:lang w:val="en-US" w:eastAsia="zh-CN"/>
        </w:rPr>
      </w:pPr>
    </w:p>
    <w:p>
      <w:pPr>
        <w:ind w:firstLine="560" w:firstLineChars="200"/>
        <w:jc w:val="left"/>
        <w:outlineLvl w:val="1"/>
        <w:rPr>
          <w:rFonts w:hint="eastAsia" w:ascii="仿宋_GB2312" w:hAnsi="仿宋_GB2312" w:eastAsia="仿宋_GB2312" w:cs="仿宋_GB2312"/>
          <w:sz w:val="28"/>
          <w:lang w:val="en-US" w:eastAsia="zh-CN"/>
        </w:rPr>
      </w:pPr>
    </w:p>
    <w:p>
      <w:pPr>
        <w:ind w:firstLine="560" w:firstLineChars="200"/>
        <w:jc w:val="left"/>
        <w:outlineLvl w:val="1"/>
        <w:rPr>
          <w:rFonts w:hint="eastAsia" w:ascii="仿宋_GB2312" w:hAnsi="仿宋_GB2312" w:eastAsia="仿宋_GB2312" w:cs="仿宋_GB2312"/>
          <w:sz w:val="28"/>
          <w:lang w:val="en-US" w:eastAsia="zh-CN"/>
        </w:rPr>
      </w:pPr>
    </w:p>
    <w:p>
      <w:pPr>
        <w:ind w:firstLine="560" w:firstLineChars="200"/>
        <w:jc w:val="left"/>
        <w:outlineLvl w:val="1"/>
        <w:rPr>
          <w:rFonts w:hint="eastAsia" w:ascii="仿宋_GB2312" w:hAnsi="仿宋_GB2312" w:eastAsia="仿宋_GB2312" w:cs="仿宋_GB2312"/>
          <w:sz w:val="28"/>
          <w:lang w:val="en-US" w:eastAsia="zh-CN"/>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6</w:t>
      </w:r>
      <w:r>
        <w:rPr>
          <w:rFonts w:hint="eastAsia" w:ascii="仿宋_GB2312" w:hAnsi="仿宋_GB2312" w:eastAsia="仿宋_GB2312" w:cs="仿宋_GB2312"/>
          <w:sz w:val="28"/>
        </w:rPr>
        <w:t>.机关事务管理经费绩效目标表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color w:val="000000"/>
                <w:kern w:val="0"/>
                <w:sz w:val="22"/>
              </w:rPr>
              <w:t>保证街道的日常工作的正常运转，群暖、慰问的办公经费。</w:t>
            </w:r>
            <w:r>
              <w:rPr>
                <w:rFonts w:hint="eastAsia" w:ascii="仿宋_GB2312" w:hAnsi="仿宋_GB2312" w:eastAsia="仿宋_GB2312" w:cs="仿宋_GB2312"/>
                <w:color w:val="000000"/>
                <w:kern w:val="0"/>
                <w:sz w:val="22"/>
              </w:rPr>
              <w:tab/>
            </w:r>
            <w:r>
              <w:rPr>
                <w:rFonts w:hint="eastAsia" w:ascii="仿宋_GB2312" w:hAnsi="仿宋_GB2312" w:eastAsia="仿宋_GB2312" w:cs="仿宋_GB2312"/>
                <w:color w:val="000000"/>
                <w:kern w:val="0"/>
                <w:sz w:val="22"/>
              </w:rPr>
              <w:tab/>
            </w:r>
            <w:r>
              <w:rPr>
                <w:rFonts w:hint="eastAsia" w:ascii="仿宋_GB2312" w:hAnsi="仿宋_GB2312" w:eastAsia="仿宋_GB2312" w:cs="仿宋_GB2312"/>
                <w:color w:val="000000"/>
                <w:kern w:val="0"/>
                <w:sz w:val="22"/>
              </w:rPr>
              <w:tab/>
            </w:r>
            <w:r>
              <w:rPr>
                <w:rFonts w:hint="eastAsia" w:ascii="仿宋_GB2312" w:hAnsi="仿宋_GB2312" w:eastAsia="仿宋_GB2312" w:cs="仿宋_GB2312"/>
                <w:color w:val="000000"/>
                <w:kern w:val="0"/>
                <w:sz w:val="22"/>
              </w:rPr>
              <w:tab/>
            </w:r>
            <w:r>
              <w:rPr>
                <w:rFonts w:hint="eastAsia" w:ascii="仿宋_GB2312" w:hAnsi="仿宋_GB2312" w:eastAsia="仿宋_GB2312" w:cs="仿宋_GB2312"/>
                <w:color w:val="000000"/>
                <w:kern w:val="0"/>
                <w:sz w:val="22"/>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数量指标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保障办公人数</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保障办公人数</w:t>
            </w:r>
          </w:p>
        </w:tc>
        <w:tc>
          <w:tcPr>
            <w:tcW w:w="1843"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≥196人</w:t>
            </w:r>
          </w:p>
        </w:tc>
        <w:tc>
          <w:tcPr>
            <w:tcW w:w="215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反映保障办公人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质量指标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运转保障率</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运转保障率</w:t>
            </w:r>
          </w:p>
        </w:tc>
        <w:tc>
          <w:tcPr>
            <w:tcW w:w="1843"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=100%</w:t>
            </w:r>
          </w:p>
        </w:tc>
        <w:tc>
          <w:tcPr>
            <w:tcW w:w="215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反映各项日常工作保障率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时效指标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经费保障及时性</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经费保障及时性</w:t>
            </w:r>
          </w:p>
        </w:tc>
        <w:tc>
          <w:tcPr>
            <w:tcW w:w="1843" w:type="dxa"/>
            <w:shd w:val="clear" w:color="auto" w:fill="auto"/>
          </w:tcPr>
          <w:p>
            <w:pPr>
              <w:jc w:val="left"/>
              <w:rPr>
                <w:rFonts w:hint="eastAsia" w:ascii="仿宋_GB2312" w:hAnsi="仿宋_GB2312" w:eastAsia="仿宋_GB2312" w:cs="仿宋_GB2312"/>
              </w:rPr>
            </w:pPr>
            <w:r>
              <w:rPr>
                <w:rFonts w:hint="eastAsia" w:ascii="仿宋_GB2312" w:hAnsi="仿宋_GB2312" w:eastAsia="仿宋_GB2312" w:cs="仿宋_GB2312"/>
              </w:rPr>
              <w:t>及时</w:t>
            </w:r>
          </w:p>
        </w:tc>
        <w:tc>
          <w:tcPr>
            <w:tcW w:w="215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反映及时保障各项日常办公需要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成本指标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日常公用支出</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日常公用支出</w:t>
            </w:r>
          </w:p>
        </w:tc>
        <w:tc>
          <w:tcPr>
            <w:tcW w:w="1843"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≤60万</w:t>
            </w:r>
          </w:p>
        </w:tc>
        <w:tc>
          <w:tcPr>
            <w:tcW w:w="215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反映办公费及其他公用经费的开支标准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社会效益指标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保障日常办公需要，维持单位正常运转</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保障单位正常运转</w:t>
            </w:r>
          </w:p>
        </w:tc>
        <w:tc>
          <w:tcPr>
            <w:tcW w:w="1843" w:type="dxa"/>
            <w:shd w:val="clear" w:color="auto" w:fill="auto"/>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维持单位正常运转</w:t>
            </w:r>
          </w:p>
        </w:tc>
        <w:tc>
          <w:tcPr>
            <w:tcW w:w="2155" w:type="dxa"/>
            <w:shd w:val="clear" w:color="auto" w:fill="auto"/>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反映保障日常办公需要，维持单位正常运转。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widowControl/>
              <w:jc w:val="left"/>
              <w:textAlignment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服务对象满意度指标</w:t>
            </w:r>
          </w:p>
        </w:tc>
        <w:tc>
          <w:tcPr>
            <w:tcW w:w="1985"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日常办公保障满意度</w:t>
            </w:r>
          </w:p>
        </w:tc>
        <w:tc>
          <w:tcPr>
            <w:tcW w:w="3402" w:type="dxa"/>
            <w:shd w:val="clear" w:color="auto" w:fill="auto"/>
          </w:tcPr>
          <w:p>
            <w:pPr>
              <w:widowControl/>
              <w:jc w:val="left"/>
              <w:textAlignment w:val="top"/>
              <w:rPr>
                <w:rFonts w:hint="eastAsia" w:ascii="仿宋_GB2312" w:hAnsi="仿宋_GB2312" w:eastAsia="仿宋_GB2312" w:cs="仿宋_GB2312"/>
              </w:rPr>
            </w:pPr>
            <w:r>
              <w:rPr>
                <w:rFonts w:hint="eastAsia" w:ascii="仿宋_GB2312" w:hAnsi="仿宋_GB2312" w:eastAsia="仿宋_GB2312" w:cs="仿宋_GB2312"/>
                <w:color w:val="000000"/>
                <w:kern w:val="0"/>
                <w:sz w:val="22"/>
              </w:rPr>
              <w:t>机关工作人员对日常办公保障满意度</w:t>
            </w:r>
          </w:p>
        </w:tc>
        <w:tc>
          <w:tcPr>
            <w:tcW w:w="1843" w:type="dxa"/>
            <w:shd w:val="clear" w:color="auto" w:fill="auto"/>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color w:val="000000"/>
                <w:kern w:val="0"/>
                <w:sz w:val="22"/>
              </w:rPr>
              <w:t>≥90%</w:t>
            </w:r>
          </w:p>
        </w:tc>
        <w:tc>
          <w:tcPr>
            <w:tcW w:w="2155" w:type="dxa"/>
            <w:shd w:val="clear" w:color="auto" w:fill="auto"/>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调查问卷</w:t>
            </w:r>
          </w:p>
        </w:tc>
      </w:tr>
    </w:tbl>
    <w:p>
      <w:pPr>
        <w:autoSpaceDE w:val="0"/>
        <w:autoSpaceDN w:val="0"/>
        <w:adjustRightInd w:val="0"/>
        <w:spacing w:line="584" w:lineRule="exact"/>
        <w:jc w:val="left"/>
        <w:rPr>
          <w:rFonts w:hint="eastAsia" w:ascii="仿宋_GB2312" w:hAnsi="仿宋_GB2312" w:eastAsia="仿宋_GB2312" w:cs="仿宋_GB2312"/>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rPr>
        <w:t>街道</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26.20</w:t>
      </w:r>
      <w:r>
        <w:rPr>
          <w:rFonts w:ascii="Times New Roman" w:hAnsi="Times New Roman" w:eastAsia="仿宋_GB2312" w:cs="Times New Roman"/>
          <w:sz w:val="32"/>
          <w:szCs w:val="24"/>
        </w:rPr>
        <w:t>万元。具体内容见下表。</w:t>
      </w:r>
    </w:p>
    <w:bookmarkEnd w:id="1"/>
    <w:p>
      <w:pPr>
        <w:jc w:val="center"/>
        <w:outlineLvl w:val="1"/>
        <w:rPr>
          <w:rFonts w:ascii="方正小标宋_GBK" w:eastAsia="方正小标宋_GBK" w:cs="Times New Roman"/>
          <w:sz w:val="32"/>
        </w:rPr>
      </w:pPr>
      <w:bookmarkStart w:id="2"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2"/>
    </w:p>
    <w:p>
      <w:pPr>
        <w:outlineLvl w:val="1"/>
        <w:rPr>
          <w:rFonts w:ascii="方正小标宋_GBK" w:eastAsia="方正小标宋_GBK" w:cs="Times New Roman"/>
          <w:sz w:val="32"/>
        </w:rPr>
      </w:pPr>
      <w:r>
        <w:t>廊坊市</w:t>
      </w:r>
      <w:r>
        <w:rPr>
          <w:rFonts w:hint="eastAsia"/>
        </w:rPr>
        <w:t>广阳区解放道街道办事处</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2" w:type="dxa"/>
            <w:gridSpan w:val="8"/>
            <w:vAlign w:val="center"/>
          </w:tcPr>
          <w:p>
            <w:pPr>
              <w:pStyle w:val="16"/>
            </w:pPr>
            <w:r>
              <w:t>政府采购金额（当年</w:t>
            </w:r>
            <w:r>
              <w:rPr>
                <w:rFonts w:hint="eastAsia"/>
                <w:lang w:eastAsia="zh-CN"/>
              </w:rPr>
              <w:t>单位</w:t>
            </w:r>
            <w:r>
              <w:t>预算安排资金）</w:t>
            </w:r>
          </w:p>
        </w:tc>
        <w:tc>
          <w:tcPr>
            <w:tcW w:w="96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20"/>
            </w:pPr>
            <w:r>
              <w:t>合  计</w:t>
            </w:r>
          </w:p>
        </w:tc>
        <w:tc>
          <w:tcPr>
            <w:tcW w:w="964" w:type="dxa"/>
            <w:vAlign w:val="center"/>
          </w:tcPr>
          <w:p>
            <w:pPr>
              <w:pStyle w:val="21"/>
              <w:rPr>
                <w:rFonts w:hint="default" w:eastAsiaTheme="minorEastAsia"/>
                <w:lang w:val="en-US" w:eastAsia="zh-CN"/>
              </w:rPr>
            </w:pPr>
            <w:r>
              <w:rPr>
                <w:rFonts w:hint="eastAsia" w:eastAsiaTheme="minorEastAsia"/>
                <w:lang w:val="en-US" w:eastAsia="zh-CN"/>
              </w:rPr>
              <w:t>40.40</w:t>
            </w:r>
          </w:p>
        </w:tc>
        <w:tc>
          <w:tcPr>
            <w:tcW w:w="1134" w:type="dxa"/>
            <w:vAlign w:val="center"/>
          </w:tcPr>
          <w:p>
            <w:pPr>
              <w:pStyle w:val="22"/>
            </w:pPr>
          </w:p>
        </w:tc>
        <w:tc>
          <w:tcPr>
            <w:tcW w:w="1134" w:type="dxa"/>
            <w:vAlign w:val="center"/>
          </w:tcPr>
          <w:p>
            <w:pPr>
              <w:pStyle w:val="22"/>
            </w:pPr>
          </w:p>
        </w:tc>
        <w:tc>
          <w:tcPr>
            <w:tcW w:w="709" w:type="dxa"/>
            <w:vAlign w:val="center"/>
          </w:tcPr>
          <w:p>
            <w:pPr>
              <w:pStyle w:val="20"/>
            </w:pPr>
          </w:p>
        </w:tc>
        <w:tc>
          <w:tcPr>
            <w:tcW w:w="850" w:type="dxa"/>
            <w:vAlign w:val="center"/>
          </w:tcPr>
          <w:p>
            <w:pPr>
              <w:pStyle w:val="21"/>
            </w:pPr>
          </w:p>
        </w:tc>
        <w:tc>
          <w:tcPr>
            <w:tcW w:w="850" w:type="dxa"/>
            <w:vAlign w:val="center"/>
          </w:tcPr>
          <w:p>
            <w:pPr>
              <w:pStyle w:val="21"/>
            </w:pPr>
          </w:p>
        </w:tc>
        <w:tc>
          <w:tcPr>
            <w:tcW w:w="964" w:type="dxa"/>
            <w:vAlign w:val="center"/>
          </w:tcPr>
          <w:p>
            <w:pPr>
              <w:pStyle w:val="21"/>
              <w:rPr>
                <w:rFonts w:hint="default" w:eastAsia="方正书宋_GBK"/>
                <w:lang w:val="en-US" w:eastAsia="zh-CN"/>
              </w:rPr>
            </w:pPr>
            <w:r>
              <w:rPr>
                <w:rFonts w:hint="eastAsia"/>
                <w:lang w:val="en-US" w:eastAsia="zh-CN"/>
              </w:rPr>
              <w:t>40.40</w:t>
            </w:r>
          </w:p>
        </w:tc>
        <w:tc>
          <w:tcPr>
            <w:tcW w:w="964" w:type="dxa"/>
            <w:vAlign w:val="center"/>
          </w:tcPr>
          <w:p>
            <w:pPr>
              <w:pStyle w:val="21"/>
              <w:rPr>
                <w:rFonts w:hint="default" w:eastAsia="方正书宋_GBK"/>
                <w:lang w:val="en-US" w:eastAsia="zh-CN"/>
              </w:rPr>
            </w:pPr>
            <w:r>
              <w:rPr>
                <w:rFonts w:hint="eastAsia"/>
                <w:lang w:val="en-US" w:eastAsia="zh-CN"/>
              </w:rPr>
              <w:t>40.40</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tcPr>
          <w:p>
            <w:r>
              <w:rPr>
                <w:rFonts w:hint="eastAsia"/>
              </w:rPr>
              <w:t>社区工作经费</w:t>
            </w:r>
          </w:p>
        </w:tc>
        <w:tc>
          <w:tcPr>
            <w:tcW w:w="964" w:type="dxa"/>
            <w:vAlign w:val="top"/>
          </w:tcPr>
          <w:p>
            <w:pPr>
              <w:pStyle w:val="21"/>
              <w:rPr>
                <w:b w:val="0"/>
              </w:rPr>
            </w:pPr>
            <w:r>
              <w:rPr>
                <w:b w:val="0"/>
              </w:rPr>
              <w:t>5.76</w:t>
            </w:r>
          </w:p>
        </w:tc>
        <w:tc>
          <w:tcPr>
            <w:tcW w:w="1134" w:type="dxa"/>
          </w:tcPr>
          <w:p>
            <w:pPr>
              <w:keepNext w:val="0"/>
              <w:keepLines w:val="0"/>
              <w:widowControl/>
              <w:suppressLineNumbers w:val="0"/>
              <w:jc w:val="right"/>
              <w:textAlignment w:val="top"/>
              <w:rPr>
                <w:rFonts w:hint="default" w:ascii="方正书宋_GBK" w:hAnsi="方正书宋_GBK" w:eastAsia="方正书宋_GBK" w:cs="方正书宋_GBK"/>
                <w:i w:val="0"/>
                <w:iCs w:val="0"/>
                <w:color w:val="000000"/>
                <w:kern w:val="0"/>
                <w:sz w:val="21"/>
                <w:szCs w:val="21"/>
                <w:u w:val="none"/>
                <w:lang w:val="en-US" w:eastAsia="zh-CN" w:bidi="ar"/>
              </w:rPr>
            </w:pPr>
            <w:r>
              <w:rPr>
                <w:rFonts w:hint="eastAsia" w:ascii="方正书宋_GBK" w:hAnsi="方正书宋_GBK" w:eastAsia="方正书宋_GBK" w:cs="方正书宋_GBK"/>
                <w:i w:val="0"/>
                <w:iCs w:val="0"/>
                <w:color w:val="000000"/>
                <w:kern w:val="0"/>
                <w:sz w:val="21"/>
                <w:szCs w:val="21"/>
                <w:u w:val="none"/>
                <w:lang w:val="en-US" w:eastAsia="zh-CN" w:bidi="ar"/>
              </w:rPr>
              <w:t>办公桌椅</w:t>
            </w:r>
          </w:p>
        </w:tc>
        <w:tc>
          <w:tcPr>
            <w:tcW w:w="1134" w:type="dxa"/>
            <w:vAlign w:val="center"/>
          </w:tcPr>
          <w:p>
            <w:pPr>
              <w:pStyle w:val="21"/>
            </w:pPr>
          </w:p>
        </w:tc>
        <w:tc>
          <w:tcPr>
            <w:tcW w:w="709" w:type="dxa"/>
          </w:tcPr>
          <w:p>
            <w:pPr>
              <w:pStyle w:val="21"/>
              <w:rPr>
                <w:b w:val="0"/>
              </w:rPr>
            </w:pPr>
            <w:r>
              <w:rPr>
                <w:rFonts w:hint="eastAsia"/>
                <w:b w:val="0"/>
              </w:rPr>
              <w:t>套</w:t>
            </w:r>
          </w:p>
        </w:tc>
        <w:tc>
          <w:tcPr>
            <w:tcW w:w="850" w:type="dxa"/>
          </w:tcPr>
          <w:p>
            <w:pPr>
              <w:pStyle w:val="21"/>
              <w:rPr>
                <w:b w:val="0"/>
              </w:rPr>
            </w:pPr>
            <w:r>
              <w:rPr>
                <w:b w:val="0"/>
              </w:rPr>
              <w:t>48</w:t>
            </w:r>
          </w:p>
        </w:tc>
        <w:tc>
          <w:tcPr>
            <w:tcW w:w="850" w:type="dxa"/>
          </w:tcPr>
          <w:p>
            <w:pPr>
              <w:pStyle w:val="21"/>
              <w:rPr>
                <w:b w:val="0"/>
              </w:rPr>
            </w:pPr>
            <w:r>
              <w:rPr>
                <w:b w:val="0"/>
              </w:rPr>
              <w:t>0.12</w:t>
            </w:r>
          </w:p>
        </w:tc>
        <w:tc>
          <w:tcPr>
            <w:tcW w:w="964" w:type="dxa"/>
          </w:tcPr>
          <w:p>
            <w:pPr>
              <w:pStyle w:val="21"/>
              <w:rPr>
                <w:b w:val="0"/>
              </w:rPr>
            </w:pPr>
            <w:r>
              <w:rPr>
                <w:b w:val="0"/>
              </w:rPr>
              <w:t>5.76</w:t>
            </w:r>
          </w:p>
        </w:tc>
        <w:tc>
          <w:tcPr>
            <w:tcW w:w="964" w:type="dxa"/>
          </w:tcPr>
          <w:p>
            <w:pPr>
              <w:pStyle w:val="21"/>
              <w:rPr>
                <w:b w:val="0"/>
              </w:rPr>
            </w:pPr>
            <w:r>
              <w:rPr>
                <w:b w:val="0"/>
              </w:rPr>
              <w:t>5.76</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tcPr>
          <w:p>
            <w:r>
              <w:rPr>
                <w:rFonts w:hint="eastAsia"/>
              </w:rPr>
              <w:t>社区工作经费</w:t>
            </w:r>
          </w:p>
        </w:tc>
        <w:tc>
          <w:tcPr>
            <w:tcW w:w="964" w:type="dxa"/>
            <w:vAlign w:val="top"/>
          </w:tcPr>
          <w:p>
            <w:pPr>
              <w:pStyle w:val="21"/>
              <w:rPr>
                <w:b w:val="0"/>
              </w:rPr>
            </w:pPr>
            <w:r>
              <w:rPr>
                <w:b w:val="0"/>
              </w:rPr>
              <w:t>13.44</w:t>
            </w:r>
          </w:p>
        </w:tc>
        <w:tc>
          <w:tcPr>
            <w:tcW w:w="1134" w:type="dxa"/>
          </w:tcPr>
          <w:p>
            <w:pPr>
              <w:keepNext w:val="0"/>
              <w:keepLines w:val="0"/>
              <w:widowControl/>
              <w:suppressLineNumbers w:val="0"/>
              <w:jc w:val="right"/>
              <w:textAlignment w:val="top"/>
              <w:rPr>
                <w:rFonts w:hint="default" w:ascii="方正书宋_GBK" w:hAnsi="方正书宋_GBK" w:eastAsia="方正书宋_GBK" w:cs="方正书宋_GBK"/>
                <w:i w:val="0"/>
                <w:iCs w:val="0"/>
                <w:color w:val="000000"/>
                <w:kern w:val="0"/>
                <w:sz w:val="21"/>
                <w:szCs w:val="21"/>
                <w:u w:val="none"/>
                <w:lang w:val="en-US" w:eastAsia="zh-CN" w:bidi="ar"/>
              </w:rPr>
            </w:pPr>
            <w:r>
              <w:rPr>
                <w:rFonts w:hint="eastAsia" w:ascii="方正书宋_GBK" w:hAnsi="方正书宋_GBK" w:eastAsia="方正书宋_GBK" w:cs="方正书宋_GBK"/>
                <w:i w:val="0"/>
                <w:iCs w:val="0"/>
                <w:color w:val="000000"/>
                <w:kern w:val="0"/>
                <w:sz w:val="21"/>
                <w:szCs w:val="21"/>
                <w:u w:val="none"/>
                <w:lang w:val="en-US" w:eastAsia="zh-CN" w:bidi="ar"/>
              </w:rPr>
              <w:t>电脑</w:t>
            </w:r>
          </w:p>
        </w:tc>
        <w:tc>
          <w:tcPr>
            <w:tcW w:w="1134" w:type="dxa"/>
            <w:vAlign w:val="center"/>
          </w:tcPr>
          <w:p>
            <w:pPr>
              <w:pStyle w:val="21"/>
            </w:pPr>
          </w:p>
        </w:tc>
        <w:tc>
          <w:tcPr>
            <w:tcW w:w="709" w:type="dxa"/>
          </w:tcPr>
          <w:p>
            <w:pPr>
              <w:pStyle w:val="21"/>
              <w:rPr>
                <w:b w:val="0"/>
              </w:rPr>
            </w:pPr>
            <w:r>
              <w:rPr>
                <w:rFonts w:hint="eastAsia"/>
                <w:b w:val="0"/>
              </w:rPr>
              <w:t>台</w:t>
            </w:r>
          </w:p>
        </w:tc>
        <w:tc>
          <w:tcPr>
            <w:tcW w:w="850" w:type="dxa"/>
          </w:tcPr>
          <w:p>
            <w:pPr>
              <w:pStyle w:val="21"/>
              <w:rPr>
                <w:b w:val="0"/>
              </w:rPr>
            </w:pPr>
            <w:r>
              <w:rPr>
                <w:b w:val="0"/>
              </w:rPr>
              <w:t>28</w:t>
            </w:r>
          </w:p>
        </w:tc>
        <w:tc>
          <w:tcPr>
            <w:tcW w:w="850" w:type="dxa"/>
          </w:tcPr>
          <w:p>
            <w:pPr>
              <w:pStyle w:val="21"/>
              <w:rPr>
                <w:b w:val="0"/>
              </w:rPr>
            </w:pPr>
            <w:r>
              <w:rPr>
                <w:b w:val="0"/>
              </w:rPr>
              <w:t>0.48</w:t>
            </w:r>
          </w:p>
        </w:tc>
        <w:tc>
          <w:tcPr>
            <w:tcW w:w="964" w:type="dxa"/>
          </w:tcPr>
          <w:p>
            <w:pPr>
              <w:pStyle w:val="21"/>
              <w:rPr>
                <w:b w:val="0"/>
              </w:rPr>
            </w:pPr>
            <w:r>
              <w:rPr>
                <w:b w:val="0"/>
              </w:rPr>
              <w:t>13.44</w:t>
            </w:r>
          </w:p>
        </w:tc>
        <w:tc>
          <w:tcPr>
            <w:tcW w:w="964" w:type="dxa"/>
          </w:tcPr>
          <w:p>
            <w:pPr>
              <w:pStyle w:val="21"/>
              <w:rPr>
                <w:b w:val="0"/>
              </w:rPr>
            </w:pPr>
            <w:r>
              <w:rPr>
                <w:b w:val="0"/>
              </w:rPr>
              <w:t>13.44</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tcPr>
          <w:p>
            <w:r>
              <w:rPr>
                <w:rFonts w:hint="eastAsia"/>
              </w:rPr>
              <w:t>社区工作经费</w:t>
            </w:r>
          </w:p>
        </w:tc>
        <w:tc>
          <w:tcPr>
            <w:tcW w:w="964" w:type="dxa"/>
            <w:vAlign w:val="top"/>
          </w:tcPr>
          <w:p>
            <w:pPr>
              <w:pStyle w:val="21"/>
              <w:rPr>
                <w:b w:val="0"/>
              </w:rPr>
            </w:pPr>
            <w:r>
              <w:rPr>
                <w:b w:val="0"/>
              </w:rPr>
              <w:t>7.00</w:t>
            </w:r>
          </w:p>
        </w:tc>
        <w:tc>
          <w:tcPr>
            <w:tcW w:w="1134" w:type="dxa"/>
          </w:tcPr>
          <w:p>
            <w:pPr>
              <w:keepNext w:val="0"/>
              <w:keepLines w:val="0"/>
              <w:widowControl/>
              <w:suppressLineNumbers w:val="0"/>
              <w:jc w:val="right"/>
              <w:textAlignment w:val="top"/>
              <w:rPr>
                <w:rFonts w:hint="default" w:ascii="方正书宋_GBK" w:hAnsi="方正书宋_GBK" w:eastAsia="方正书宋_GBK" w:cs="方正书宋_GBK"/>
                <w:i w:val="0"/>
                <w:iCs w:val="0"/>
                <w:color w:val="000000"/>
                <w:kern w:val="0"/>
                <w:sz w:val="21"/>
                <w:szCs w:val="21"/>
                <w:u w:val="none"/>
                <w:lang w:val="en-US" w:eastAsia="zh-CN" w:bidi="ar"/>
              </w:rPr>
            </w:pPr>
            <w:r>
              <w:rPr>
                <w:rFonts w:hint="eastAsia" w:ascii="方正书宋_GBK" w:hAnsi="方正书宋_GBK" w:eastAsia="方正书宋_GBK" w:cs="方正书宋_GBK"/>
                <w:i w:val="0"/>
                <w:iCs w:val="0"/>
                <w:color w:val="000000"/>
                <w:kern w:val="0"/>
                <w:sz w:val="21"/>
                <w:szCs w:val="21"/>
                <w:u w:val="none"/>
                <w:lang w:val="en-US" w:eastAsia="zh-CN" w:bidi="ar"/>
              </w:rPr>
              <w:t>空调</w:t>
            </w:r>
          </w:p>
        </w:tc>
        <w:tc>
          <w:tcPr>
            <w:tcW w:w="1134" w:type="dxa"/>
            <w:vAlign w:val="center"/>
          </w:tcPr>
          <w:p>
            <w:pPr>
              <w:pStyle w:val="21"/>
            </w:pPr>
          </w:p>
        </w:tc>
        <w:tc>
          <w:tcPr>
            <w:tcW w:w="709" w:type="dxa"/>
          </w:tcPr>
          <w:p>
            <w:pPr>
              <w:pStyle w:val="21"/>
              <w:rPr>
                <w:b w:val="0"/>
              </w:rPr>
            </w:pPr>
            <w:r>
              <w:rPr>
                <w:rFonts w:hint="eastAsia"/>
                <w:b w:val="0"/>
              </w:rPr>
              <w:t>台</w:t>
            </w:r>
          </w:p>
        </w:tc>
        <w:tc>
          <w:tcPr>
            <w:tcW w:w="850" w:type="dxa"/>
          </w:tcPr>
          <w:p>
            <w:pPr>
              <w:pStyle w:val="21"/>
              <w:rPr>
                <w:b w:val="0"/>
              </w:rPr>
            </w:pPr>
            <w:r>
              <w:rPr>
                <w:b w:val="0"/>
              </w:rPr>
              <w:t>28</w:t>
            </w:r>
          </w:p>
        </w:tc>
        <w:tc>
          <w:tcPr>
            <w:tcW w:w="850" w:type="dxa"/>
          </w:tcPr>
          <w:p>
            <w:pPr>
              <w:pStyle w:val="21"/>
              <w:rPr>
                <w:b w:val="0"/>
              </w:rPr>
            </w:pPr>
            <w:r>
              <w:rPr>
                <w:b w:val="0"/>
              </w:rPr>
              <w:t>0.25</w:t>
            </w:r>
          </w:p>
        </w:tc>
        <w:tc>
          <w:tcPr>
            <w:tcW w:w="964" w:type="dxa"/>
          </w:tcPr>
          <w:p>
            <w:pPr>
              <w:pStyle w:val="21"/>
              <w:rPr>
                <w:b w:val="0"/>
              </w:rPr>
            </w:pPr>
            <w:r>
              <w:rPr>
                <w:b w:val="0"/>
              </w:rPr>
              <w:t>7.00</w:t>
            </w:r>
          </w:p>
        </w:tc>
        <w:tc>
          <w:tcPr>
            <w:tcW w:w="964" w:type="dxa"/>
          </w:tcPr>
          <w:p>
            <w:pPr>
              <w:pStyle w:val="21"/>
              <w:rPr>
                <w:b w:val="0"/>
              </w:rPr>
            </w:pPr>
            <w:r>
              <w:rPr>
                <w:b w:val="0"/>
              </w:rPr>
              <w:t>7.00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8"/>
              <w:rPr>
                <w:rFonts w:hint="eastAsia" w:eastAsia="方正书宋_GBK"/>
                <w:lang w:eastAsia="zh-CN"/>
              </w:rPr>
            </w:pPr>
            <w:r>
              <w:rPr>
                <w:rFonts w:hint="eastAsia"/>
                <w:lang w:eastAsia="zh-CN"/>
              </w:rPr>
              <w:t>办公费</w:t>
            </w:r>
          </w:p>
        </w:tc>
        <w:tc>
          <w:tcPr>
            <w:tcW w:w="964" w:type="dxa"/>
            <w:vAlign w:val="top"/>
          </w:tcPr>
          <w:p>
            <w:pPr>
              <w:keepNext w:val="0"/>
              <w:keepLines w:val="0"/>
              <w:widowControl/>
              <w:suppressLineNumbers w:val="0"/>
              <w:jc w:val="right"/>
              <w:textAlignment w:val="top"/>
            </w:pPr>
            <w:r>
              <w:rPr>
                <w:rFonts w:hint="default" w:ascii="方正书宋_GBK" w:hAnsi="方正书宋_GBK" w:eastAsia="方正书宋_GBK" w:cs="方正书宋_GBK"/>
                <w:i w:val="0"/>
                <w:iCs w:val="0"/>
                <w:color w:val="000000"/>
                <w:kern w:val="0"/>
                <w:sz w:val="21"/>
                <w:szCs w:val="21"/>
                <w:u w:val="none"/>
                <w:lang w:val="en-US" w:eastAsia="zh-CN" w:bidi="ar"/>
              </w:rPr>
              <w:t>1.5</w:t>
            </w:r>
          </w:p>
        </w:tc>
        <w:tc>
          <w:tcPr>
            <w:tcW w:w="1134" w:type="dxa"/>
            <w:vAlign w:val="top"/>
          </w:tcPr>
          <w:p>
            <w:pPr>
              <w:keepNext w:val="0"/>
              <w:keepLines w:val="0"/>
              <w:widowControl/>
              <w:suppressLineNumbers w:val="0"/>
              <w:jc w:val="right"/>
              <w:textAlignment w:val="top"/>
              <w:rPr>
                <w:rFonts w:hint="default" w:ascii="方正书宋_GBK" w:hAnsi="方正书宋_GBK" w:eastAsia="方正书宋_GBK" w:cs="方正书宋_GBK"/>
                <w:i w:val="0"/>
                <w:iCs w:val="0"/>
                <w:color w:val="000000"/>
                <w:kern w:val="0"/>
                <w:sz w:val="21"/>
                <w:szCs w:val="21"/>
                <w:u w:val="none"/>
                <w:lang w:val="en-US" w:eastAsia="zh-CN" w:bidi="ar"/>
              </w:rPr>
            </w:pPr>
            <w:r>
              <w:rPr>
                <w:rFonts w:hint="eastAsia" w:ascii="方正书宋_GBK" w:hAnsi="方正书宋_GBK" w:eastAsia="方正书宋_GBK" w:cs="方正书宋_GBK"/>
                <w:i w:val="0"/>
                <w:iCs w:val="0"/>
                <w:color w:val="000000"/>
                <w:kern w:val="0"/>
                <w:sz w:val="21"/>
                <w:szCs w:val="21"/>
                <w:u w:val="none"/>
                <w:lang w:val="en-US" w:eastAsia="zh-CN" w:bidi="ar"/>
              </w:rPr>
              <w:t>办公桌椅</w:t>
            </w:r>
          </w:p>
        </w:tc>
        <w:tc>
          <w:tcPr>
            <w:tcW w:w="1134" w:type="dxa"/>
            <w:vAlign w:val="center"/>
          </w:tcPr>
          <w:p>
            <w:pPr>
              <w:jc w:val="right"/>
            </w:pPr>
          </w:p>
        </w:tc>
        <w:tc>
          <w:tcPr>
            <w:tcW w:w="709" w:type="dxa"/>
            <w:vAlign w:val="top"/>
          </w:tcPr>
          <w:p>
            <w:pPr>
              <w:keepNext w:val="0"/>
              <w:keepLines w:val="0"/>
              <w:widowControl/>
              <w:suppressLineNumbers w:val="0"/>
              <w:jc w:val="right"/>
              <w:textAlignment w:val="top"/>
            </w:pPr>
            <w:r>
              <w:rPr>
                <w:rFonts w:hint="default" w:ascii="方正书宋_GBK" w:hAnsi="方正书宋_GBK" w:eastAsia="方正书宋_GBK" w:cs="方正书宋_GBK"/>
                <w:i w:val="0"/>
                <w:iCs w:val="0"/>
                <w:color w:val="000000"/>
                <w:kern w:val="0"/>
                <w:sz w:val="21"/>
                <w:szCs w:val="21"/>
                <w:u w:val="none"/>
                <w:lang w:val="en-US" w:eastAsia="zh-CN" w:bidi="ar"/>
              </w:rPr>
              <w:t>套</w:t>
            </w:r>
          </w:p>
        </w:tc>
        <w:tc>
          <w:tcPr>
            <w:tcW w:w="850" w:type="dxa"/>
            <w:vAlign w:val="top"/>
          </w:tcPr>
          <w:p>
            <w:pPr>
              <w:keepNext w:val="0"/>
              <w:keepLines w:val="0"/>
              <w:widowControl/>
              <w:suppressLineNumbers w:val="0"/>
              <w:jc w:val="right"/>
              <w:textAlignment w:val="top"/>
            </w:pPr>
            <w:r>
              <w:rPr>
                <w:rFonts w:hint="default" w:ascii="方正书宋_GBK" w:hAnsi="方正书宋_GBK" w:eastAsia="方正书宋_GBK" w:cs="方正书宋_GBK"/>
                <w:i w:val="0"/>
                <w:iCs w:val="0"/>
                <w:color w:val="000000"/>
                <w:kern w:val="0"/>
                <w:sz w:val="21"/>
                <w:szCs w:val="21"/>
                <w:u w:val="none"/>
                <w:lang w:val="en-US" w:eastAsia="zh-CN" w:bidi="ar"/>
              </w:rPr>
              <w:t>10</w:t>
            </w:r>
          </w:p>
        </w:tc>
        <w:tc>
          <w:tcPr>
            <w:tcW w:w="850" w:type="dxa"/>
            <w:vAlign w:val="top"/>
          </w:tcPr>
          <w:p>
            <w:pPr>
              <w:keepNext w:val="0"/>
              <w:keepLines w:val="0"/>
              <w:widowControl/>
              <w:suppressLineNumbers w:val="0"/>
              <w:jc w:val="right"/>
              <w:textAlignment w:val="top"/>
            </w:pPr>
            <w:r>
              <w:rPr>
                <w:rFonts w:hint="default" w:ascii="方正书宋_GBK" w:hAnsi="方正书宋_GBK" w:eastAsia="方正书宋_GBK" w:cs="方正书宋_GBK"/>
                <w:i w:val="0"/>
                <w:iCs w:val="0"/>
                <w:color w:val="000000"/>
                <w:kern w:val="0"/>
                <w:sz w:val="21"/>
                <w:szCs w:val="21"/>
                <w:u w:val="none"/>
                <w:lang w:val="en-US" w:eastAsia="zh-CN" w:bidi="ar"/>
              </w:rPr>
              <w:t>0.15</w:t>
            </w:r>
          </w:p>
        </w:tc>
        <w:tc>
          <w:tcPr>
            <w:tcW w:w="964" w:type="dxa"/>
            <w:vAlign w:val="top"/>
          </w:tcPr>
          <w:p>
            <w:pPr>
              <w:keepNext w:val="0"/>
              <w:keepLines w:val="0"/>
              <w:widowControl/>
              <w:suppressLineNumbers w:val="0"/>
              <w:jc w:val="right"/>
              <w:textAlignment w:val="top"/>
            </w:pPr>
            <w:r>
              <w:rPr>
                <w:rFonts w:hint="default" w:ascii="方正书宋_GBK" w:hAnsi="方正书宋_GBK" w:eastAsia="方正书宋_GBK" w:cs="方正书宋_GBK"/>
                <w:i w:val="0"/>
                <w:iCs w:val="0"/>
                <w:color w:val="000000"/>
                <w:kern w:val="0"/>
                <w:sz w:val="21"/>
                <w:szCs w:val="21"/>
                <w:u w:val="none"/>
                <w:lang w:val="en-US" w:eastAsia="zh-CN" w:bidi="ar"/>
              </w:rPr>
              <w:t>1.5</w:t>
            </w:r>
          </w:p>
        </w:tc>
        <w:tc>
          <w:tcPr>
            <w:tcW w:w="964" w:type="dxa"/>
            <w:vAlign w:val="top"/>
          </w:tcPr>
          <w:p>
            <w:pPr>
              <w:keepNext w:val="0"/>
              <w:keepLines w:val="0"/>
              <w:widowControl/>
              <w:suppressLineNumbers w:val="0"/>
              <w:jc w:val="right"/>
              <w:textAlignment w:val="top"/>
            </w:pPr>
            <w:r>
              <w:rPr>
                <w:rFonts w:hint="default" w:ascii="方正书宋_GBK" w:hAnsi="方正书宋_GBK" w:eastAsia="方正书宋_GBK" w:cs="方正书宋_GBK"/>
                <w:i w:val="0"/>
                <w:iCs w:val="0"/>
                <w:color w:val="000000"/>
                <w:kern w:val="0"/>
                <w:sz w:val="21"/>
                <w:szCs w:val="21"/>
                <w:u w:val="none"/>
                <w:lang w:val="en-US" w:eastAsia="zh-CN" w:bidi="ar"/>
              </w:rPr>
              <w:t>1.5</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8"/>
            </w:pPr>
            <w:r>
              <w:rPr>
                <w:rFonts w:hint="eastAsia"/>
                <w:lang w:eastAsia="zh-CN"/>
              </w:rPr>
              <w:t>办公费</w:t>
            </w:r>
          </w:p>
        </w:tc>
        <w:tc>
          <w:tcPr>
            <w:tcW w:w="964" w:type="dxa"/>
            <w:vAlign w:val="top"/>
          </w:tcPr>
          <w:p>
            <w:pPr>
              <w:keepNext w:val="0"/>
              <w:keepLines w:val="0"/>
              <w:widowControl/>
              <w:suppressLineNumbers w:val="0"/>
              <w:jc w:val="right"/>
              <w:textAlignment w:val="top"/>
            </w:pPr>
            <w:r>
              <w:rPr>
                <w:rFonts w:hint="default" w:ascii="方正书宋_GBK" w:hAnsi="方正书宋_GBK" w:eastAsia="方正书宋_GBK" w:cs="方正书宋_GBK"/>
                <w:i w:val="0"/>
                <w:iCs w:val="0"/>
                <w:color w:val="000000"/>
                <w:kern w:val="0"/>
                <w:sz w:val="21"/>
                <w:szCs w:val="21"/>
                <w:u w:val="none"/>
                <w:lang w:val="en-US" w:eastAsia="zh-CN" w:bidi="ar"/>
              </w:rPr>
              <w:t>9.8</w:t>
            </w:r>
          </w:p>
        </w:tc>
        <w:tc>
          <w:tcPr>
            <w:tcW w:w="1134" w:type="dxa"/>
            <w:vAlign w:val="top"/>
          </w:tcPr>
          <w:p>
            <w:pPr>
              <w:keepNext w:val="0"/>
              <w:keepLines w:val="0"/>
              <w:widowControl/>
              <w:suppressLineNumbers w:val="0"/>
              <w:jc w:val="right"/>
              <w:textAlignment w:val="top"/>
              <w:rPr>
                <w:rFonts w:hint="default" w:ascii="方正书宋_GBK" w:hAnsi="方正书宋_GBK" w:eastAsia="方正书宋_GBK" w:cs="方正书宋_GBK"/>
                <w:i w:val="0"/>
                <w:iCs w:val="0"/>
                <w:color w:val="000000"/>
                <w:kern w:val="0"/>
                <w:sz w:val="21"/>
                <w:szCs w:val="21"/>
                <w:u w:val="none"/>
                <w:lang w:val="en-US" w:eastAsia="zh-CN" w:bidi="ar"/>
              </w:rPr>
            </w:pPr>
            <w:r>
              <w:rPr>
                <w:rFonts w:hint="eastAsia" w:ascii="方正书宋_GBK" w:hAnsi="方正书宋_GBK" w:eastAsia="方正书宋_GBK" w:cs="方正书宋_GBK"/>
                <w:i w:val="0"/>
                <w:iCs w:val="0"/>
                <w:color w:val="000000"/>
                <w:kern w:val="0"/>
                <w:sz w:val="21"/>
                <w:szCs w:val="21"/>
                <w:u w:val="none"/>
                <w:lang w:val="en-US" w:eastAsia="zh-CN" w:bidi="ar"/>
              </w:rPr>
              <w:t>电脑</w:t>
            </w:r>
          </w:p>
        </w:tc>
        <w:tc>
          <w:tcPr>
            <w:tcW w:w="1134" w:type="dxa"/>
            <w:vAlign w:val="center"/>
          </w:tcPr>
          <w:p>
            <w:pPr>
              <w:jc w:val="right"/>
            </w:pPr>
          </w:p>
        </w:tc>
        <w:tc>
          <w:tcPr>
            <w:tcW w:w="709" w:type="dxa"/>
            <w:vAlign w:val="top"/>
          </w:tcPr>
          <w:p>
            <w:pPr>
              <w:keepNext w:val="0"/>
              <w:keepLines w:val="0"/>
              <w:widowControl/>
              <w:suppressLineNumbers w:val="0"/>
              <w:jc w:val="right"/>
              <w:textAlignment w:val="top"/>
            </w:pPr>
            <w:r>
              <w:rPr>
                <w:rFonts w:hint="default" w:ascii="方正书宋_GBK" w:hAnsi="方正书宋_GBK" w:eastAsia="方正书宋_GBK" w:cs="方正书宋_GBK"/>
                <w:i w:val="0"/>
                <w:iCs w:val="0"/>
                <w:color w:val="000000"/>
                <w:kern w:val="0"/>
                <w:sz w:val="21"/>
                <w:szCs w:val="21"/>
                <w:u w:val="none"/>
                <w:lang w:val="en-US" w:eastAsia="zh-CN" w:bidi="ar"/>
              </w:rPr>
              <w:t>台</w:t>
            </w:r>
          </w:p>
        </w:tc>
        <w:tc>
          <w:tcPr>
            <w:tcW w:w="850" w:type="dxa"/>
            <w:vAlign w:val="top"/>
          </w:tcPr>
          <w:p>
            <w:pPr>
              <w:keepNext w:val="0"/>
              <w:keepLines w:val="0"/>
              <w:widowControl/>
              <w:suppressLineNumbers w:val="0"/>
              <w:jc w:val="right"/>
              <w:textAlignment w:val="top"/>
            </w:pPr>
            <w:r>
              <w:rPr>
                <w:rFonts w:hint="default" w:ascii="方正书宋_GBK" w:hAnsi="方正书宋_GBK" w:eastAsia="方正书宋_GBK" w:cs="方正书宋_GBK"/>
                <w:i w:val="0"/>
                <w:iCs w:val="0"/>
                <w:color w:val="000000"/>
                <w:kern w:val="0"/>
                <w:sz w:val="21"/>
                <w:szCs w:val="21"/>
                <w:u w:val="none"/>
                <w:lang w:val="en-US" w:eastAsia="zh-CN" w:bidi="ar"/>
              </w:rPr>
              <w:t>20</w:t>
            </w:r>
          </w:p>
        </w:tc>
        <w:tc>
          <w:tcPr>
            <w:tcW w:w="850" w:type="dxa"/>
            <w:vAlign w:val="top"/>
          </w:tcPr>
          <w:p>
            <w:pPr>
              <w:keepNext w:val="0"/>
              <w:keepLines w:val="0"/>
              <w:widowControl/>
              <w:suppressLineNumbers w:val="0"/>
              <w:jc w:val="right"/>
              <w:textAlignment w:val="top"/>
            </w:pPr>
            <w:r>
              <w:rPr>
                <w:rFonts w:hint="default" w:ascii="方正书宋_GBK" w:hAnsi="方正书宋_GBK" w:eastAsia="方正书宋_GBK" w:cs="方正书宋_GBK"/>
                <w:i w:val="0"/>
                <w:iCs w:val="0"/>
                <w:color w:val="000000"/>
                <w:kern w:val="0"/>
                <w:sz w:val="21"/>
                <w:szCs w:val="21"/>
                <w:u w:val="none"/>
                <w:lang w:val="en-US" w:eastAsia="zh-CN" w:bidi="ar"/>
              </w:rPr>
              <w:t>0.49</w:t>
            </w:r>
          </w:p>
        </w:tc>
        <w:tc>
          <w:tcPr>
            <w:tcW w:w="964" w:type="dxa"/>
            <w:vAlign w:val="top"/>
          </w:tcPr>
          <w:p>
            <w:pPr>
              <w:keepNext w:val="0"/>
              <w:keepLines w:val="0"/>
              <w:widowControl/>
              <w:suppressLineNumbers w:val="0"/>
              <w:jc w:val="right"/>
              <w:textAlignment w:val="top"/>
            </w:pPr>
            <w:r>
              <w:rPr>
                <w:rFonts w:hint="default" w:ascii="方正书宋_GBK" w:hAnsi="方正书宋_GBK" w:eastAsia="方正书宋_GBK" w:cs="方正书宋_GBK"/>
                <w:i w:val="0"/>
                <w:iCs w:val="0"/>
                <w:color w:val="000000"/>
                <w:kern w:val="0"/>
                <w:sz w:val="21"/>
                <w:szCs w:val="21"/>
                <w:u w:val="none"/>
                <w:lang w:val="en-US" w:eastAsia="zh-CN" w:bidi="ar"/>
              </w:rPr>
              <w:t>9.8</w:t>
            </w:r>
          </w:p>
        </w:tc>
        <w:tc>
          <w:tcPr>
            <w:tcW w:w="964" w:type="dxa"/>
            <w:vAlign w:val="top"/>
          </w:tcPr>
          <w:p>
            <w:pPr>
              <w:keepNext w:val="0"/>
              <w:keepLines w:val="0"/>
              <w:widowControl/>
              <w:suppressLineNumbers w:val="0"/>
              <w:jc w:val="right"/>
              <w:textAlignment w:val="top"/>
            </w:pPr>
            <w:r>
              <w:rPr>
                <w:rFonts w:hint="default" w:ascii="方正书宋_GBK" w:hAnsi="方正书宋_GBK" w:eastAsia="方正书宋_GBK" w:cs="方正书宋_GBK"/>
                <w:i w:val="0"/>
                <w:iCs w:val="0"/>
                <w:color w:val="000000"/>
                <w:kern w:val="0"/>
                <w:sz w:val="21"/>
                <w:szCs w:val="21"/>
                <w:u w:val="none"/>
                <w:lang w:val="en-US" w:eastAsia="zh-CN" w:bidi="ar"/>
              </w:rPr>
              <w:t>9.8</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8"/>
            </w:pPr>
            <w:r>
              <w:rPr>
                <w:rFonts w:hint="eastAsia"/>
                <w:lang w:eastAsia="zh-CN"/>
              </w:rPr>
              <w:t>办公费</w:t>
            </w:r>
          </w:p>
        </w:tc>
        <w:tc>
          <w:tcPr>
            <w:tcW w:w="96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2.9</w:t>
            </w:r>
          </w:p>
        </w:tc>
        <w:tc>
          <w:tcPr>
            <w:tcW w:w="1134" w:type="dxa"/>
            <w:vAlign w:val="top"/>
          </w:tcPr>
          <w:p>
            <w:pPr>
              <w:keepNext w:val="0"/>
              <w:keepLines w:val="0"/>
              <w:widowControl/>
              <w:suppressLineNumbers w:val="0"/>
              <w:jc w:val="right"/>
              <w:textAlignment w:val="top"/>
              <w:rPr>
                <w:rFonts w:hint="default" w:ascii="方正书宋_GBK" w:hAnsi="方正书宋_GBK" w:eastAsia="方正书宋_GBK" w:cs="方正书宋_GBK"/>
                <w:i w:val="0"/>
                <w:iCs w:val="0"/>
                <w:color w:val="000000"/>
                <w:kern w:val="0"/>
                <w:sz w:val="21"/>
                <w:szCs w:val="21"/>
                <w:u w:val="none"/>
                <w:lang w:val="en-US" w:eastAsia="zh-CN" w:bidi="ar"/>
              </w:rPr>
            </w:pPr>
            <w:r>
              <w:rPr>
                <w:rFonts w:hint="eastAsia" w:ascii="方正书宋_GBK" w:hAnsi="方正书宋_GBK" w:eastAsia="方正书宋_GBK" w:cs="方正书宋_GBK"/>
                <w:i w:val="0"/>
                <w:iCs w:val="0"/>
                <w:color w:val="000000"/>
                <w:kern w:val="0"/>
                <w:sz w:val="21"/>
                <w:szCs w:val="21"/>
                <w:u w:val="none"/>
                <w:lang w:val="en-US" w:eastAsia="zh-CN" w:bidi="ar"/>
              </w:rPr>
              <w:t>空调</w:t>
            </w:r>
          </w:p>
        </w:tc>
        <w:tc>
          <w:tcPr>
            <w:tcW w:w="1134" w:type="dxa"/>
            <w:vAlign w:val="center"/>
          </w:tcPr>
          <w:p/>
        </w:tc>
        <w:tc>
          <w:tcPr>
            <w:tcW w:w="709" w:type="dxa"/>
            <w:vAlign w:val="top"/>
          </w:tcPr>
          <w:p>
            <w:pPr>
              <w:keepNext w:val="0"/>
              <w:keepLines w:val="0"/>
              <w:widowControl/>
              <w:suppressLineNumbers w:val="0"/>
              <w:jc w:val="right"/>
              <w:textAlignment w:val="top"/>
            </w:pPr>
            <w:r>
              <w:rPr>
                <w:rFonts w:hint="default" w:ascii="方正书宋_GBK" w:hAnsi="方正书宋_GBK" w:eastAsia="方正书宋_GBK" w:cs="方正书宋_GBK"/>
                <w:i w:val="0"/>
                <w:iCs w:val="0"/>
                <w:color w:val="000000"/>
                <w:kern w:val="0"/>
                <w:sz w:val="21"/>
                <w:szCs w:val="21"/>
                <w:u w:val="none"/>
                <w:lang w:val="en-US" w:eastAsia="zh-CN" w:bidi="ar"/>
              </w:rPr>
              <w:t>台</w:t>
            </w:r>
          </w:p>
        </w:tc>
        <w:tc>
          <w:tcPr>
            <w:tcW w:w="85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10</w:t>
            </w:r>
          </w:p>
        </w:tc>
        <w:tc>
          <w:tcPr>
            <w:tcW w:w="850"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0.29</w:t>
            </w:r>
          </w:p>
        </w:tc>
        <w:tc>
          <w:tcPr>
            <w:tcW w:w="96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2.9</w:t>
            </w:r>
          </w:p>
        </w:tc>
        <w:tc>
          <w:tcPr>
            <w:tcW w:w="964"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2.9</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廊坊市广阳区解放道街道办事处</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rPr>
        <w:t>945.446153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rPr>
        <w:t>街道</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总额为26.20万元，</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电脑、空调、办公家具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等，已列入政府采购预算</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p>
      <w:pPr>
        <w:spacing w:line="584" w:lineRule="exact"/>
        <w:ind w:firstLine="640"/>
        <w:rPr>
          <w:rFonts w:ascii="Times New Roman" w:hAnsi="Times New Roman" w:eastAsia="仿宋_GB2312" w:cs="Times New Roman"/>
          <w:sz w:val="32"/>
          <w:szCs w:val="32"/>
        </w:rPr>
      </w:pPr>
    </w:p>
    <w:tbl>
      <w:tblPr>
        <w:tblStyle w:val="8"/>
        <w:tblW w:w="13482"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w:t>
            </w:r>
            <w:r>
              <w:rPr>
                <w:rFonts w:hint="eastAsia" w:ascii="Times New Roman" w:hAnsi="Times New Roman" w:eastAsia="仿宋_GB2312" w:cs="Times New Roman"/>
                <w:b/>
                <w:bCs/>
                <w:kern w:val="0"/>
                <w:sz w:val="32"/>
                <w:szCs w:val="32"/>
                <w:lang w:eastAsia="zh-CN"/>
              </w:rPr>
              <w:t>单位</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w:t>
            </w:r>
            <w:r>
              <w:rPr>
                <w:rFonts w:hint="eastAsia" w:ascii="Times New Roman" w:hAnsi="Times New Roman" w:eastAsia="仿宋_GB2312" w:cs="Times New Roman"/>
                <w:kern w:val="0"/>
                <w:sz w:val="22"/>
              </w:rPr>
              <w:t>廊坊市广阳区解放道街道办事处</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945.446153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lang w:val="en-US" w:eastAsia="zh-CN"/>
              </w:rPr>
              <w:t>2862.00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highlight w:val="none"/>
                <w:lang w:val="en-US" w:eastAsia="zh-CN"/>
              </w:rPr>
            </w:pPr>
            <w:r>
              <w:rPr>
                <w:rFonts w:hint="eastAsia" w:ascii="Times New Roman" w:hAnsi="Times New Roman" w:eastAsia="仿宋_GB2312" w:cs="Times New Roman"/>
                <w:sz w:val="22"/>
                <w:highlight w:val="none"/>
                <w:lang w:val="en-US" w:eastAsia="zh-CN"/>
              </w:rPr>
              <w:t>473.90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1300.00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highlight w:val="none"/>
                <w:lang w:val="en-US" w:eastAsia="zh-CN"/>
              </w:rPr>
            </w:pPr>
            <w:r>
              <w:rPr>
                <w:rFonts w:hint="eastAsia" w:ascii="Times New Roman" w:hAnsi="Times New Roman" w:eastAsia="仿宋_GB2312" w:cs="Times New Roman"/>
                <w:sz w:val="22"/>
                <w:highlight w:val="none"/>
                <w:lang w:val="en-US" w:eastAsia="zh-CN"/>
              </w:rPr>
              <w:t>473.90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33</w:t>
            </w:r>
            <w:r>
              <w:rPr>
                <w:rFonts w:hint="eastAsia" w:ascii="Times New Roman" w:hAnsi="Times New Roman" w:eastAsia="仿宋_GB2312" w:cs="Times New Roman"/>
                <w:sz w:val="22"/>
              </w:rPr>
              <w:t>.</w:t>
            </w:r>
            <w:r>
              <w:rPr>
                <w:rFonts w:ascii="Times New Roman" w:hAnsi="Times New Roman" w:eastAsia="仿宋_GB2312" w:cs="Times New Roman"/>
                <w:sz w:val="22"/>
              </w:rPr>
              <w:t>90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437.646153</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级财政预算管理的“三公”经费，是指省级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30</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DA4EDC"/>
    <w:multiLevelType w:val="singleLevel"/>
    <w:tmpl w:val="86DA4EDC"/>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C32B24"/>
    <w:rsid w:val="000B23B8"/>
    <w:rsid w:val="003F5A2E"/>
    <w:rsid w:val="00566B5E"/>
    <w:rsid w:val="00C32B24"/>
    <w:rsid w:val="00CB2E22"/>
    <w:rsid w:val="10263931"/>
    <w:rsid w:val="113A7AB0"/>
    <w:rsid w:val="1E932FD6"/>
    <w:rsid w:val="25A466BB"/>
    <w:rsid w:val="2CBB372A"/>
    <w:rsid w:val="349A6CE4"/>
    <w:rsid w:val="4F28775F"/>
    <w:rsid w:val="50264FA9"/>
    <w:rsid w:val="548B0C51"/>
    <w:rsid w:val="5F613A1E"/>
    <w:rsid w:val="5F934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link w:val="14"/>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character" w:customStyle="1" w:styleId="11">
    <w:name w:val="页眉 Char"/>
    <w:basedOn w:val="9"/>
    <w:link w:val="4"/>
    <w:semiHidden/>
    <w:qFormat/>
    <w:uiPriority w:val="99"/>
    <w:rPr>
      <w:sz w:val="18"/>
      <w:szCs w:val="18"/>
    </w:rPr>
  </w:style>
  <w:style w:type="character" w:customStyle="1" w:styleId="12">
    <w:name w:val="页脚 Char"/>
    <w:basedOn w:val="9"/>
    <w:link w:val="3"/>
    <w:semiHidden/>
    <w:qFormat/>
    <w:uiPriority w:val="99"/>
    <w:rPr>
      <w:sz w:val="18"/>
      <w:szCs w:val="18"/>
    </w:rPr>
  </w:style>
  <w:style w:type="character" w:customStyle="1" w:styleId="13">
    <w:name w:val="批注框文本 Char"/>
    <w:basedOn w:val="9"/>
    <w:link w:val="2"/>
    <w:qFormat/>
    <w:uiPriority w:val="0"/>
    <w:rPr>
      <w:rFonts w:ascii="Calibri" w:hAnsi="Calibri" w:eastAsia="宋体" w:cs="Arial"/>
      <w:sz w:val="18"/>
      <w:szCs w:val="18"/>
    </w:rPr>
  </w:style>
  <w:style w:type="character" w:customStyle="1" w:styleId="14">
    <w:name w:val="脚注文本 Char"/>
    <w:basedOn w:val="9"/>
    <w:link w:val="6"/>
    <w:qFormat/>
    <w:uiPriority w:val="0"/>
    <w:rPr>
      <w:rFonts w:ascii="Calibri" w:hAnsi="Calibri" w:eastAsia="宋体" w:cs="Times New Roman"/>
      <w:sz w:val="18"/>
      <w:szCs w:val="18"/>
    </w:rPr>
  </w:style>
  <w:style w:type="paragraph" w:customStyle="1" w:styleId="1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6">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8">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9">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20">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1">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22">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styleId="2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31</Pages>
  <Words>1919</Words>
  <Characters>10941</Characters>
  <Lines>91</Lines>
  <Paragraphs>25</Paragraphs>
  <TotalTime>0</TotalTime>
  <ScaleCrop>false</ScaleCrop>
  <LinksUpToDate>false</LinksUpToDate>
  <CharactersWithSpaces>12835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2022-03-09T07:58:00Z</dcterms:created>
  <dc:creator>Acer</dc:creator>
  <cp:lastModifiedBy>111</cp:lastModifiedBy>
  <dcterms:modified xsi:type="dcterms:W3CDTF">2024-07-18T02:18:41Z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AAC200D3EF984967AB1041483B9409BE</vt:lpwstr>
  </property>
</Properties>
</file>