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hint="eastAsia" w:ascii="Times New Roman" w:hAnsi="Times New Roman" w:eastAsia="方正小标宋简体" w:cs="Times New Roman"/>
          <w:sz w:val="44"/>
          <w:szCs w:val="44"/>
          <w:lang w:val="en-US" w:eastAsia="zh-CN"/>
        </w:rPr>
        <w:t>河北廊坊广阳经济开发区管理委员会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河北廊坊广阳经济开发区管理委员会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shd w:val="clear" w:color="auto" w:fill="FFFFFF"/>
        <w:wordWrap w:val="0"/>
        <w:spacing w:line="600" w:lineRule="exact"/>
        <w:ind w:firstLine="482"/>
        <w:jc w:val="left"/>
        <w:rPr>
          <w:rFonts w:ascii="仿宋_GB2312" w:eastAsia="仿宋_GB2312" w:cs="宋体"/>
          <w:color w:val="000000"/>
          <w:sz w:val="32"/>
          <w:szCs w:val="32"/>
        </w:rPr>
      </w:pPr>
      <w:r>
        <w:rPr>
          <w:rFonts w:hint="eastAsia" w:ascii="仿宋_GB2312" w:eastAsia="仿宋_GB2312" w:cs="宋体"/>
          <w:color w:val="000000"/>
          <w:sz w:val="32"/>
          <w:szCs w:val="32"/>
        </w:rPr>
        <w:t>1、是贯彻执行党和国家的方针、政策、法律、法规和市、区人民政府的有关规定，制定产业区科技、经济、社会发展的规划、各项计划和产业区行政管理规定，并组织实施。</w:t>
      </w:r>
    </w:p>
    <w:p>
      <w:pPr>
        <w:widowControl/>
        <w:shd w:val="clear" w:color="auto" w:fill="FFFFFF"/>
        <w:wordWrap w:val="0"/>
        <w:spacing w:line="600" w:lineRule="exact"/>
        <w:ind w:firstLine="482"/>
        <w:jc w:val="left"/>
        <w:rPr>
          <w:rFonts w:ascii="仿宋_GB2312" w:eastAsia="仿宋_GB2312" w:cs="宋体"/>
          <w:color w:val="000000"/>
          <w:sz w:val="32"/>
          <w:szCs w:val="32"/>
        </w:rPr>
      </w:pPr>
      <w:r>
        <w:rPr>
          <w:rFonts w:hint="eastAsia" w:ascii="仿宋_GB2312" w:eastAsia="仿宋_GB2312" w:cs="宋体"/>
          <w:color w:val="000000"/>
          <w:sz w:val="32"/>
          <w:szCs w:val="32"/>
        </w:rPr>
        <w:t>2、是制定产业区招商引资政策，编制招商规划，发布对外招商项目；组织对外招商活动和对外经济技术合作。</w:t>
      </w:r>
    </w:p>
    <w:p>
      <w:pPr>
        <w:widowControl/>
        <w:shd w:val="clear" w:color="auto" w:fill="FFFFFF"/>
        <w:wordWrap w:val="0"/>
        <w:spacing w:line="600" w:lineRule="exact"/>
        <w:ind w:firstLine="482"/>
        <w:jc w:val="left"/>
        <w:rPr>
          <w:rFonts w:hint="eastAsia" w:ascii="仿宋_GB2312" w:eastAsia="仿宋_GB2312" w:cs="宋体"/>
          <w:color w:val="000000"/>
          <w:sz w:val="32"/>
          <w:szCs w:val="32"/>
        </w:rPr>
      </w:pPr>
      <w:r>
        <w:rPr>
          <w:rFonts w:hint="eastAsia" w:ascii="仿宋_GB2312" w:eastAsia="仿宋_GB2312" w:cs="宋体"/>
          <w:color w:val="000000"/>
          <w:sz w:val="32"/>
          <w:szCs w:val="32"/>
        </w:rPr>
        <w:t>3、是负责产业区建设用地的开发、利用和管理；负责产业区的城市建设和管理工作。</w:t>
      </w:r>
    </w:p>
    <w:p>
      <w:pPr>
        <w:autoSpaceDE w:val="0"/>
        <w:autoSpaceDN w:val="0"/>
        <w:adjustRightInd w:val="0"/>
        <w:spacing w:line="584" w:lineRule="exact"/>
        <w:jc w:val="left"/>
        <w:rPr>
          <w:rFonts w:ascii="Times New Roman" w:hAnsi="Times New Roman" w:eastAsia="楷体_GB2312" w:cs="Times New Roman"/>
          <w:b/>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r>
        <w:rPr>
          <w:rFonts w:hint="eastAsia" w:ascii="仿宋" w:hAnsi="仿宋" w:eastAsia="仿宋" w:cs="仿宋"/>
          <w:sz w:val="32"/>
          <w:szCs w:val="32"/>
        </w:rPr>
        <w:t>开发区内设机构6个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其中行政机构5个，事业机构1个），</w:t>
      </w:r>
      <w:r>
        <w:rPr>
          <w:rFonts w:hint="eastAsia" w:ascii="仿宋" w:hAnsi="仿宋" w:eastAsia="仿宋" w:cs="仿宋"/>
          <w:sz w:val="32"/>
          <w:szCs w:val="32"/>
        </w:rPr>
        <w:t>分别为党政办公室、财政局、经济发展与招商合作局、规划建设局、行政审批局、社会事务综合服务管理中心。</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center"/>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河北廊坊广阳经济开发区</w:t>
            </w:r>
          </w:p>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lang w:val="en-US" w:eastAsia="zh-CN"/>
              </w:rPr>
              <w:t>管理委员会</w:t>
            </w:r>
          </w:p>
        </w:tc>
        <w:tc>
          <w:tcPr>
            <w:tcW w:w="1134"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lang w:val="en-US" w:eastAsia="zh-CN"/>
              </w:rPr>
              <w:t>行政单位</w:t>
            </w:r>
          </w:p>
        </w:tc>
        <w:tc>
          <w:tcPr>
            <w:tcW w:w="1276"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lang w:val="en-US" w:eastAsia="zh-CN"/>
              </w:rPr>
              <w:t>副处级</w:t>
            </w:r>
          </w:p>
        </w:tc>
        <w:tc>
          <w:tcPr>
            <w:tcW w:w="2902"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 w:eastAsia="仿宋"/>
                <w:color w:val="auto"/>
                <w:sz w:val="32"/>
                <w:szCs w:val="32"/>
              </w:rPr>
              <w:t>财政拨款</w:t>
            </w:r>
          </w:p>
        </w:tc>
      </w:tr>
    </w:tbl>
    <w:p>
      <w:pPr>
        <w:tabs>
          <w:tab w:val="left" w:pos="1686"/>
        </w:tabs>
        <w:spacing w:line="584" w:lineRule="exact"/>
        <w:jc w:val="both"/>
        <w:rPr>
          <w:rFonts w:hint="eastAsia" w:ascii="Times New Roman" w:hAnsi="Times New Roman" w:eastAsia="黑体" w:cs="Times New Roman"/>
          <w:sz w:val="32"/>
          <w:szCs w:val="32"/>
          <w:lang w:eastAsia="zh-CN"/>
        </w:rPr>
      </w:pPr>
    </w:p>
    <w:p>
      <w:pPr>
        <w:spacing w:line="584"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按照预算管理有关规定，目前我区</w:t>
      </w:r>
      <w:r>
        <w:rPr>
          <w:rFonts w:hint="eastAsia" w:ascii="仿宋" w:hAnsi="仿宋" w:eastAsia="仿宋" w:cs="仿宋"/>
          <w:sz w:val="32"/>
          <w:szCs w:val="32"/>
          <w:lang w:eastAsia="zh-CN"/>
        </w:rPr>
        <w:t>单位</w:t>
      </w:r>
      <w:r>
        <w:rPr>
          <w:rFonts w:hint="eastAsia" w:ascii="仿宋" w:hAnsi="仿宋" w:eastAsia="仿宋" w:cs="仿宋"/>
          <w:sz w:val="32"/>
          <w:szCs w:val="32"/>
        </w:rPr>
        <w:t>预算的编制实行综合预算制度，即全部收入和支出都反映在预算中。</w:t>
      </w:r>
      <w:r>
        <w:rPr>
          <w:rFonts w:hint="eastAsia" w:ascii="仿宋" w:hAnsi="仿宋" w:eastAsia="仿宋" w:cs="仿宋"/>
          <w:sz w:val="32"/>
          <w:szCs w:val="32"/>
          <w:lang w:val="en-US" w:eastAsia="zh-CN"/>
        </w:rPr>
        <w:t>河北廊坊广阳经济开发区管理委员会</w:t>
      </w:r>
      <w:r>
        <w:rPr>
          <w:rFonts w:hint="eastAsia" w:ascii="仿宋" w:hAnsi="仿宋" w:eastAsia="仿宋" w:cs="仿宋"/>
          <w:sz w:val="32"/>
          <w:szCs w:val="32"/>
        </w:rPr>
        <w:t>的收支包含在</w:t>
      </w:r>
      <w:r>
        <w:rPr>
          <w:rFonts w:hint="eastAsia" w:ascii="仿宋" w:hAnsi="仿宋" w:eastAsia="仿宋" w:cs="仿宋"/>
          <w:sz w:val="32"/>
          <w:szCs w:val="32"/>
          <w:lang w:eastAsia="zh-CN"/>
        </w:rPr>
        <w:t>单位</w:t>
      </w:r>
      <w:r>
        <w:rPr>
          <w:rFonts w:hint="eastAsia" w:ascii="仿宋" w:hAnsi="仿宋" w:eastAsia="仿宋" w:cs="仿宋"/>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49204.94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1083.66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41242.67</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6878.61</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lang w:val="en-US" w:eastAsia="zh-CN"/>
        </w:rPr>
        <w:t>河北廊坊广阳经济开发区管理委员会2022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49204.94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923.66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871.28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52.38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3358.96</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val="en-US" w:eastAsia="zh-CN"/>
        </w:rPr>
        <w:t>专项人员支出及新业路道路工程支出</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49204.94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40003.2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减少940.46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经开区部分聘用人员薪酬由下属国有企业支出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color w:val="auto"/>
          <w:sz w:val="32"/>
          <w:szCs w:val="32"/>
          <w:highlight w:val="none"/>
          <w:lang w:val="en-US" w:eastAsia="zh-CN"/>
        </w:rPr>
        <w:t>33852.67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城乡社区</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政府性基金项目支出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包括征地和拆迁补偿支出16833.16万元；土地开发支出7899.58万元；城市建设支出12947万元；补助被征地农民支出2826.38万元及土地出让业务支出736.55万元</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52.38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经开区</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经开区</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年相比持平，无增减变化。</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在区委、区政府的坚强领导下，强作风，转观念，勇于担当，紧密结合辖区实际，以推进产业发展、项目建设、服务企业为抓手，在狠抓经济建设的基础上，扎实推进各项事业全面发展。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提质强素，持续抓好班子带好队伍</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深入十九届五中全会精神，扎实推进党风廉政建设，</w:t>
      </w:r>
      <w:r>
        <w:rPr>
          <w:rFonts w:hint="eastAsia" w:eastAsia="仿宋_GB2312" w:cs="Times New Roman"/>
          <w:kern w:val="2"/>
          <w:sz w:val="32"/>
          <w:szCs w:val="32"/>
          <w:lang w:val="en-US" w:eastAsia="zh-CN" w:bidi="ar-SA"/>
        </w:rPr>
        <w:t>落实全面从严治党</w:t>
      </w:r>
      <w:r>
        <w:rPr>
          <w:rFonts w:ascii="Times New Roman" w:hAnsi="Times New Roman" w:eastAsia="仿宋_GB2312" w:cs="Times New Roman"/>
          <w:kern w:val="2"/>
          <w:sz w:val="32"/>
          <w:szCs w:val="32"/>
          <w:lang w:val="en-US" w:eastAsia="zh-CN" w:bidi="ar-SA"/>
        </w:rPr>
        <w:t>，着力转变干部作风，层层传导压力，管党治党更加有力。营造安全稳定的社会环境，严格落实意识形态工作责任制，强化正面宣传引导，积极参与文明城市创建活动；深入企业开展普法宣传，加强园区内巡查指导，社会治安形势总体平稳；深入企业排查化解矛盾纠纷，下大气力解决信访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强化运营，促进经济运行持续向好</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在面对疫情带来的不利情况影响下，坚持稳中求进，着力推进完成园区各项目标任务，经济社会发展取得显著成效。在园区经营管理上，着力抓服务、强调度、促增长；着力抓好重点企业，培育科技创新型、专业型企业发展；着力引进北京外溢企业，千方百计保持经济平稳增长。</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拓展平台，不断加大招商引资力度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经开区抢抓临空经济发展带来的机遇，疏解非首都功能所带来的资源外溢效应，充分发挥自身的优势，深挖园区的潜在承载力，在项目选择上有特色、讲品质、看贡献，做到精准招商引资，形成良好格局。</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攻坚克难，推进项目建设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为了保障重点项目顺利推进，经开区成立了工作专班，由管委会主要领导牵头，采取专人包联的方式，明确了每个项目的包联领导和负责人，不分</w:t>
      </w:r>
      <w:r>
        <w:rPr>
          <w:rFonts w:hint="eastAsia" w:eastAsia="仿宋_GB2312" w:cs="Times New Roman"/>
          <w:kern w:val="2"/>
          <w:sz w:val="32"/>
          <w:szCs w:val="32"/>
          <w:lang w:val="en-US" w:eastAsia="zh-CN" w:bidi="ar-SA"/>
        </w:rPr>
        <w:t>单位</w:t>
      </w:r>
      <w:r>
        <w:rPr>
          <w:rFonts w:ascii="Times New Roman" w:hAnsi="Times New Roman" w:eastAsia="仿宋_GB2312" w:cs="Times New Roman"/>
          <w:kern w:val="2"/>
          <w:sz w:val="32"/>
          <w:szCs w:val="32"/>
          <w:lang w:val="en-US" w:eastAsia="zh-CN" w:bidi="ar-SA"/>
        </w:rPr>
        <w:t>、协同作战；制订了重点项目工作台账，规定了每个项目进度的时间节点，让每个包联人员都了解自己的项目进展情况和工作职责；建立沟通协调机制，完善自身的管理措施，积极协调市、区相关职能</w:t>
      </w:r>
      <w:r>
        <w:rPr>
          <w:rFonts w:hint="eastAsia" w:eastAsia="仿宋_GB2312" w:cs="Times New Roman"/>
          <w:kern w:val="2"/>
          <w:sz w:val="32"/>
          <w:szCs w:val="32"/>
          <w:lang w:val="en-US" w:eastAsia="zh-CN" w:bidi="ar-SA"/>
        </w:rPr>
        <w:t>单位</w:t>
      </w:r>
      <w:r>
        <w:rPr>
          <w:rFonts w:ascii="Times New Roman" w:hAnsi="Times New Roman" w:eastAsia="仿宋_GB2312" w:cs="Times New Roman"/>
          <w:kern w:val="2"/>
          <w:sz w:val="32"/>
          <w:szCs w:val="32"/>
          <w:lang w:val="en-US" w:eastAsia="zh-CN" w:bidi="ar-SA"/>
        </w:rPr>
        <w:t>，在项目立项审批、规划环评、土地建设等环节提供尽可能的便利，如项目在推进过程中遇到问题，第一时间与企业沟通，尽快协调解决。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服务企业，全面开展优化营商环境</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以京津冀协</w:t>
      </w:r>
      <w:r>
        <w:rPr>
          <w:rFonts w:hint="eastAsia" w:eastAsia="仿宋_GB2312" w:cs="Times New Roman"/>
          <w:kern w:val="2"/>
          <w:sz w:val="32"/>
          <w:szCs w:val="32"/>
          <w:lang w:val="en-US" w:eastAsia="zh-CN" w:bidi="ar-SA"/>
        </w:rPr>
        <w:t>同</w:t>
      </w:r>
      <w:r>
        <w:rPr>
          <w:rFonts w:ascii="Times New Roman" w:hAnsi="Times New Roman" w:eastAsia="仿宋_GB2312" w:cs="Times New Roman"/>
          <w:kern w:val="2"/>
          <w:sz w:val="32"/>
          <w:szCs w:val="32"/>
          <w:lang w:val="en-US" w:eastAsia="zh-CN" w:bidi="ar-SA"/>
        </w:rPr>
        <w:t>发展为契机，持续优化营商环境，深入企业多次走访调研，实地了解企业在建设运营、经营管理和科技发展等方面的困难与诉求，全面掌握第一手材料，开展企业帮扶、促进企业发展。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履职尽责，抓好安全生产“双控”机制建设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安全生产工作坚持关口前移、源头管控、预防为主、综合治理的原则，深入推进园区安全生产“双控”机制建设，形成生产经营单位“风险自查、隐患自改、责任自负”的工作模式，把风险控制在隐患形成之前，把隐患消灭在事故发生之前，全面提升生产经营单位安全生产管理水平，确保全区安全生产形势稳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持续发力，打赢碧水蓝天保卫战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健全完善河渠管理机制，全面推进河长制工作，结合河长巡河APP现代化软件，加强规划区内九干渠和十干渠进行巡河工作。</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政务服务</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经开区管委会做好政务公开、督察督办、政务联络等工作。以突出政务、加强事务、提升服务为准则，力求重点工作出精品，难点工作求突破、基础工作有创新、常规工作见特色。以机关干部作风量化指标为依据，增强工作的综合服务实力。</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年度绩效目标：通过完成管委会政务信息公开工作的指导监督工作，使管委会信息公开业务队伍素质不断提高，业务水平进一步提升；政府政务信息公开范围不断扩大，公开内容得到进一步细化。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政府办公室政务管理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经开区管委会做好公务办理及后勤保障工作。要以服务领导和机关保障有力为目标，增强优质后勤管理水平，通过加强公车管理，降低运行成本，为创建节约型机关打下了良好的基础。采取保障领导和机关工作办公环境的措施，提升了服务管理水平，保障了机关工作的正常运转。</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年度绩效目标：协助领导组织起草或审核的公文；组织起草领导重要讲话及其他重要文稿；组织专题调研；开发区会议的准备和服务工作，协助管委会领导组织会议决定事项的落实；承办领导交办的其他事项。</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环境监测与监察</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职责描述：经开区管委会开展环境要素的监测与综合分析评价，提高环境监测和预警能力，加大环境监管力度，完善环境基本公共服务体系建设。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年度绩效目标：加强开发区环境整体质量改进，确保不发生环境安全事故。加强环境行政监察，排污费管理、纠纷调查处理。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组织安全生产综合监督管理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经开区管委会定期组织在开发区开展安全生产督导检查活动，对重点行业和作业场所职业卫生安全生产加强行政监督监察，依法对违法行为实施行政处罚；不断加强安全生产监管能力建设，改善执法检测、监察检查等能力。</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年度绩效目标：通过督导检查域内企业安全生产，最大限度地发现、纠正、督促企业消除各类隐患，预防和减少事故的发生，确保开发区安全生产形势持续稳定好。</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对外贸易管理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职责描述：促进对外贸易稳定增长，优化产品结构。完成县政府下达的外贸进出口指标。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年度绩效目标：通过开展“主体招商活动”，瞄准重点区域、重点客商和商务机构，推动和引领全县做好招商工作。突出引进战略投资者，力争在重点产业引进一批战略支撑项目、龙头企业和协力配套企业。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促进区域经济发展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职责描述：研究提出区域经济协调发展、加快城镇化发展的政策建议；负责区域经济合作统筹协调。</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配合国家首都经济圈发展规划，做好与国家规划的有效衔接；组织争取国家政策、资金等支持。与北京、天津开展战略合作，推动合作协议的落实，深化拓展合作领域，实质性推动一批重大合作事项进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土地储备征收开发管理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职责描述：负责规划区内的土地开发、开发管理。完成年度土地收购储备计划、供地计划；进一步提高土地供应效率，加快土地出让速度，扩大土地出让规模，实现政府收益最大化。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年度绩效目标：开展新增地、棚改项目用地、存量土地征地、收储等工作。实现土地收储，确保完成年度土地收储计划，做好土地征收赔偿等工作。</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推进园区重点项目建设。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加大力度，推进科技型企业创建。梳理科技型中小企业、国高新资质申报政策，盘点梳理园区具备资质企业，统一搜集统一申报，加快企业资质申请流程，重点扶持符合资质的厦门吉宏、航顺机械等进行科技型企业申报。</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积极争取，解决项目用地新增计划指标及占补平衡指标。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继续推进“九通一平”等基础设施改造提升和建设。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扎实做好安全生产、大气污染治理和水环境治理工作。对经开区现有企业抓好日常管理工作的同时，全力配合上级</w:t>
      </w:r>
      <w:r>
        <w:rPr>
          <w:rFonts w:hint="eastAsia" w:eastAsia="仿宋_GB2312" w:cs="Times New Roman"/>
          <w:kern w:val="2"/>
          <w:sz w:val="32"/>
          <w:szCs w:val="32"/>
          <w:lang w:val="en-US" w:eastAsia="zh-CN" w:bidi="ar-SA"/>
        </w:rPr>
        <w:t>单位</w:t>
      </w:r>
      <w:r>
        <w:rPr>
          <w:rFonts w:ascii="Times New Roman" w:hAnsi="Times New Roman" w:eastAsia="仿宋_GB2312" w:cs="Times New Roman"/>
          <w:kern w:val="2"/>
          <w:sz w:val="32"/>
          <w:szCs w:val="32"/>
          <w:lang w:val="en-US" w:eastAsia="zh-CN" w:bidi="ar-SA"/>
        </w:rPr>
        <w:t>加强企业监管，督促企业在生产过程符合相关要求及流程，保证水环境、空气环境不被污染，确保不发生安全生产事故。</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32"/>
        <w:gridCol w:w="1159"/>
        <w:gridCol w:w="2114"/>
        <w:gridCol w:w="1746"/>
        <w:gridCol w:w="2608"/>
        <w:gridCol w:w="580"/>
        <w:gridCol w:w="630"/>
        <w:gridCol w:w="1108"/>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03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5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1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74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60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31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50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032" w:type="dxa"/>
            <w:vMerge w:val="continue"/>
            <w:tcBorders>
              <w:tl2br w:val="nil"/>
              <w:tr2bl w:val="nil"/>
            </w:tcBorders>
            <w:vAlign w:val="center"/>
          </w:tcPr>
          <w:p/>
        </w:tc>
        <w:tc>
          <w:tcPr>
            <w:tcW w:w="1159" w:type="dxa"/>
            <w:vMerge w:val="continue"/>
            <w:tcBorders>
              <w:tl2br w:val="nil"/>
              <w:tr2bl w:val="nil"/>
            </w:tcBorders>
            <w:vAlign w:val="center"/>
          </w:tcPr>
          <w:p/>
        </w:tc>
        <w:tc>
          <w:tcPr>
            <w:tcW w:w="2114" w:type="dxa"/>
            <w:vMerge w:val="continue"/>
            <w:tcBorders>
              <w:tl2br w:val="nil"/>
              <w:tr2bl w:val="nil"/>
            </w:tcBorders>
            <w:vAlign w:val="center"/>
          </w:tcPr>
          <w:p/>
        </w:tc>
        <w:tc>
          <w:tcPr>
            <w:tcW w:w="1746" w:type="dxa"/>
            <w:vMerge w:val="continue"/>
            <w:tcBorders>
              <w:tl2br w:val="nil"/>
              <w:tr2bl w:val="nil"/>
            </w:tcBorders>
            <w:vAlign w:val="center"/>
          </w:tcPr>
          <w:p/>
        </w:tc>
        <w:tc>
          <w:tcPr>
            <w:tcW w:w="2608" w:type="dxa"/>
            <w:vMerge w:val="continue"/>
            <w:tcBorders>
              <w:tl2br w:val="nil"/>
              <w:tr2bl w:val="nil"/>
            </w:tcBorders>
            <w:vAlign w:val="center"/>
          </w:tcPr>
          <w:p/>
        </w:tc>
        <w:tc>
          <w:tcPr>
            <w:tcW w:w="58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3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10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502"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032" w:type="dxa"/>
            <w:vMerge w:val="restart"/>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lang w:eastAsia="zh-CN"/>
              </w:rPr>
              <w:t>单位</w:t>
            </w:r>
            <w:r>
              <w:rPr>
                <w:rFonts w:hint="eastAsia" w:ascii="Times New Roman" w:hAnsi="Times New Roman" w:eastAsia="仿宋_GB2312" w:cs="Times New Roman"/>
                <w:b w:val="0"/>
                <w:bCs/>
              </w:rPr>
              <w:t>产出</w:t>
            </w:r>
          </w:p>
        </w:tc>
        <w:tc>
          <w:tcPr>
            <w:tcW w:w="1159" w:type="dxa"/>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数量</w:t>
            </w:r>
          </w:p>
        </w:tc>
        <w:tc>
          <w:tcPr>
            <w:tcW w:w="2114"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发放工资人员数量</w:t>
            </w:r>
          </w:p>
        </w:tc>
        <w:tc>
          <w:tcPr>
            <w:tcW w:w="1746"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发放工资人员数量</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w:t>
            </w:r>
          </w:p>
        </w:tc>
        <w:tc>
          <w:tcPr>
            <w:tcW w:w="630"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30</w:t>
            </w:r>
          </w:p>
        </w:tc>
        <w:tc>
          <w:tcPr>
            <w:tcW w:w="1108"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人</w:t>
            </w:r>
          </w:p>
        </w:tc>
        <w:tc>
          <w:tcPr>
            <w:tcW w:w="1502"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rPr>
              <w:t>实际在岗人员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32" w:type="dxa"/>
            <w:vMerge w:val="continue"/>
            <w:tcBorders>
              <w:tl2br w:val="nil"/>
              <w:tr2bl w:val="nil"/>
            </w:tcBorders>
            <w:vAlign w:val="center"/>
          </w:tcPr>
          <w:p>
            <w:pPr>
              <w:spacing w:line="300" w:lineRule="exact"/>
              <w:jc w:val="center"/>
              <w:rPr>
                <w:rFonts w:ascii="Times New Roman" w:hAnsi="Times New Roman" w:eastAsia="仿宋_GB2312" w:cs="Times New Roman"/>
                <w:b w:val="0"/>
                <w:bCs/>
              </w:rPr>
            </w:pPr>
          </w:p>
        </w:tc>
        <w:tc>
          <w:tcPr>
            <w:tcW w:w="1159" w:type="dxa"/>
            <w:tcBorders>
              <w:tl2br w:val="nil"/>
              <w:tr2bl w:val="nil"/>
            </w:tcBorders>
            <w:vAlign w:val="center"/>
          </w:tcPr>
          <w:p>
            <w:pPr>
              <w:spacing w:line="300" w:lineRule="exact"/>
              <w:jc w:val="center"/>
              <w:rPr>
                <w:rFonts w:ascii="Times New Roman" w:hAnsi="Times New Roman" w:eastAsia="仿宋_GB2312" w:cs="Times New Roman"/>
                <w:b w:val="0"/>
                <w:bCs/>
              </w:rPr>
            </w:pPr>
            <w:r>
              <w:rPr>
                <w:rFonts w:ascii="Times New Roman" w:hAnsi="Times New Roman" w:eastAsia="仿宋_GB2312" w:cs="Times New Roman"/>
                <w:b w:val="0"/>
                <w:bCs/>
              </w:rPr>
              <w:t>质量</w:t>
            </w:r>
          </w:p>
        </w:tc>
        <w:tc>
          <w:tcPr>
            <w:tcW w:w="2114"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正常运行率</w:t>
            </w:r>
          </w:p>
        </w:tc>
        <w:tc>
          <w:tcPr>
            <w:tcW w:w="1746"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办公用品及设备满足工作需求的比率</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95.00</w:t>
            </w:r>
          </w:p>
        </w:tc>
        <w:tc>
          <w:tcPr>
            <w:tcW w:w="11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w:t>
            </w:r>
          </w:p>
        </w:tc>
        <w:tc>
          <w:tcPr>
            <w:tcW w:w="1502"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32" w:type="dxa"/>
            <w:vMerge w:val="continue"/>
            <w:tcBorders>
              <w:tl2br w:val="nil"/>
              <w:tr2bl w:val="nil"/>
            </w:tcBorders>
            <w:vAlign w:val="center"/>
          </w:tcPr>
          <w:p>
            <w:pPr>
              <w:spacing w:line="300" w:lineRule="exact"/>
              <w:jc w:val="center"/>
              <w:rPr>
                <w:rFonts w:ascii="Times New Roman" w:hAnsi="Times New Roman" w:eastAsia="仿宋_GB2312" w:cs="Times New Roman"/>
                <w:b w:val="0"/>
                <w:bCs/>
              </w:rPr>
            </w:pPr>
          </w:p>
        </w:tc>
        <w:tc>
          <w:tcPr>
            <w:tcW w:w="1159" w:type="dxa"/>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时效</w:t>
            </w:r>
          </w:p>
        </w:tc>
        <w:tc>
          <w:tcPr>
            <w:tcW w:w="2114"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经费保障及时性</w:t>
            </w:r>
          </w:p>
        </w:tc>
        <w:tc>
          <w:tcPr>
            <w:tcW w:w="1746"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及时保障各项日常办公需要</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文字描述</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p>
        </w:tc>
        <w:tc>
          <w:tcPr>
            <w:tcW w:w="11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及时保障</w:t>
            </w:r>
          </w:p>
        </w:tc>
        <w:tc>
          <w:tcPr>
            <w:tcW w:w="1502"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70" w:hRule="atLeast"/>
          <w:jc w:val="center"/>
        </w:trPr>
        <w:tc>
          <w:tcPr>
            <w:tcW w:w="1032" w:type="dxa"/>
            <w:vMerge w:val="continue"/>
            <w:tcBorders>
              <w:tl2br w:val="nil"/>
              <w:tr2bl w:val="nil"/>
            </w:tcBorders>
            <w:vAlign w:val="center"/>
          </w:tcPr>
          <w:p>
            <w:pPr>
              <w:spacing w:line="300" w:lineRule="exact"/>
              <w:jc w:val="center"/>
              <w:rPr>
                <w:rFonts w:ascii="Times New Roman" w:hAnsi="Times New Roman" w:eastAsia="仿宋_GB2312" w:cs="Times New Roman"/>
                <w:b w:val="0"/>
                <w:bCs/>
              </w:rPr>
            </w:pPr>
          </w:p>
        </w:tc>
        <w:tc>
          <w:tcPr>
            <w:tcW w:w="1159" w:type="dxa"/>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成本</w:t>
            </w:r>
          </w:p>
        </w:tc>
        <w:tc>
          <w:tcPr>
            <w:tcW w:w="2114"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工资（福利）、社会保障（公积金）等发放（缴纳）标准</w:t>
            </w:r>
          </w:p>
        </w:tc>
        <w:tc>
          <w:tcPr>
            <w:tcW w:w="1746"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工资（福利）、社会保障（公积金）等发放（缴纳）标准</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文字描述</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p>
        </w:tc>
        <w:tc>
          <w:tcPr>
            <w:tcW w:w="1108"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按规定执行</w:t>
            </w:r>
          </w:p>
        </w:tc>
        <w:tc>
          <w:tcPr>
            <w:tcW w:w="1502"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32" w:type="dxa"/>
            <w:vMerge w:val="restart"/>
            <w:tcBorders>
              <w:tl2br w:val="nil"/>
              <w:tr2bl w:val="nil"/>
            </w:tcBorders>
            <w:vAlign w:val="center"/>
          </w:tcPr>
          <w:p>
            <w:pPr>
              <w:spacing w:line="300" w:lineRule="exact"/>
              <w:jc w:val="center"/>
              <w:rPr>
                <w:rFonts w:ascii="Times New Roman" w:hAnsi="Times New Roman" w:eastAsia="仿宋_GB2312" w:cs="Times New Roman"/>
                <w:b w:val="0"/>
                <w:bCs/>
              </w:rPr>
            </w:pPr>
            <w:r>
              <w:rPr>
                <w:rFonts w:hint="eastAsia" w:ascii="Times New Roman" w:hAnsi="Times New Roman" w:eastAsia="仿宋_GB2312" w:cs="Times New Roman"/>
                <w:b w:val="0"/>
                <w:bCs/>
                <w:lang w:eastAsia="zh-CN"/>
              </w:rPr>
              <w:t>单位</w:t>
            </w:r>
            <w:r>
              <w:rPr>
                <w:rFonts w:hint="eastAsia" w:ascii="Times New Roman" w:hAnsi="Times New Roman" w:eastAsia="仿宋_GB2312" w:cs="Times New Roman"/>
                <w:b w:val="0"/>
                <w:bCs/>
              </w:rPr>
              <w:t>效果</w:t>
            </w:r>
          </w:p>
        </w:tc>
        <w:tc>
          <w:tcPr>
            <w:tcW w:w="1159" w:type="dxa"/>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社会</w:t>
            </w:r>
          </w:p>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效益</w:t>
            </w:r>
          </w:p>
        </w:tc>
        <w:tc>
          <w:tcPr>
            <w:tcW w:w="2114"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加强工作人员归属感，保持干部队伍稳定</w:t>
            </w:r>
          </w:p>
        </w:tc>
        <w:tc>
          <w:tcPr>
            <w:tcW w:w="1746"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通过按时按标准发放工资福利等，进一步增强干部职工得归属感，保持干部队伍相对稳定，保障办公正常运转</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文字描述</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p>
        </w:tc>
        <w:tc>
          <w:tcPr>
            <w:tcW w:w="11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保持干部队伍相对稳定</w:t>
            </w:r>
          </w:p>
        </w:tc>
        <w:tc>
          <w:tcPr>
            <w:tcW w:w="1502"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032" w:type="dxa"/>
            <w:vMerge w:val="continue"/>
            <w:tcBorders>
              <w:tl2br w:val="nil"/>
              <w:tr2bl w:val="nil"/>
            </w:tcBorders>
            <w:vAlign w:val="center"/>
          </w:tcPr>
          <w:p>
            <w:pPr>
              <w:spacing w:line="300" w:lineRule="exact"/>
              <w:jc w:val="center"/>
              <w:rPr>
                <w:rFonts w:ascii="Times New Roman" w:hAnsi="Times New Roman" w:eastAsia="仿宋_GB2312" w:cs="Times New Roman"/>
                <w:b w:val="0"/>
                <w:bCs/>
              </w:rPr>
            </w:pPr>
          </w:p>
        </w:tc>
        <w:tc>
          <w:tcPr>
            <w:tcW w:w="1159" w:type="dxa"/>
            <w:tcBorders>
              <w:tl2br w:val="nil"/>
              <w:tr2bl w:val="nil"/>
            </w:tcBorders>
            <w:vAlign w:val="center"/>
          </w:tcPr>
          <w:p>
            <w:pPr>
              <w:spacing w:line="300" w:lineRule="exact"/>
              <w:jc w:val="center"/>
              <w:rPr>
                <w:rFonts w:ascii="Times New Roman" w:hAnsi="Times New Roman" w:eastAsia="仿宋_GB2312" w:cs="Times New Roman"/>
                <w:b w:val="0"/>
                <w:bCs/>
              </w:rPr>
            </w:pPr>
            <w:r>
              <w:rPr>
                <w:rFonts w:hint="eastAsia" w:ascii="Times New Roman" w:hAnsi="Times New Roman" w:eastAsia="仿宋_GB2312" w:cs="Times New Roman"/>
                <w:b w:val="0"/>
                <w:bCs/>
              </w:rPr>
              <w:t>满意度</w:t>
            </w:r>
          </w:p>
        </w:tc>
        <w:tc>
          <w:tcPr>
            <w:tcW w:w="2114" w:type="dxa"/>
            <w:tcBorders>
              <w:tl2br w:val="nil"/>
              <w:tr2bl w:val="nil"/>
            </w:tcBorders>
            <w:noWrap/>
            <w:vAlign w:val="center"/>
          </w:tcPr>
          <w:p>
            <w:pPr>
              <w:spacing w:line="300" w:lineRule="exact"/>
              <w:jc w:val="center"/>
              <w:rPr>
                <w:rFonts w:ascii="Times New Roman" w:hAnsi="Times New Roman" w:eastAsia="仿宋_GB2312" w:cs="Times New Roman"/>
                <w:b w:val="0"/>
                <w:bCs/>
              </w:rPr>
            </w:pPr>
            <w:r>
              <w:rPr>
                <w:rFonts w:hint="eastAsia" w:ascii="Times New Roman" w:hAnsi="Times New Roman" w:eastAsia="仿宋_GB2312" w:cs="Times New Roman"/>
                <w:b w:val="0"/>
                <w:bCs/>
              </w:rPr>
              <w:t>单位人员满意度</w:t>
            </w:r>
          </w:p>
        </w:tc>
        <w:tc>
          <w:tcPr>
            <w:tcW w:w="1746" w:type="dxa"/>
            <w:tcBorders>
              <w:tl2br w:val="nil"/>
              <w:tr2bl w:val="nil"/>
            </w:tcBorders>
            <w:noWrap/>
            <w:vAlign w:val="center"/>
          </w:tcPr>
          <w:p>
            <w:pPr>
              <w:spacing w:line="300" w:lineRule="exact"/>
              <w:jc w:val="center"/>
              <w:rPr>
                <w:rFonts w:ascii="Times New Roman" w:hAnsi="Times New Roman" w:eastAsia="仿宋_GB2312" w:cs="Times New Roman"/>
                <w:b w:val="0"/>
                <w:bCs/>
              </w:rPr>
            </w:pPr>
            <w:r>
              <w:rPr>
                <w:rFonts w:hint="eastAsia" w:ascii="Times New Roman" w:hAnsi="Times New Roman" w:eastAsia="仿宋_GB2312" w:cs="Times New Roman"/>
                <w:b w:val="0"/>
                <w:bCs/>
                <w:lang w:val="en-US" w:eastAsia="zh-CN"/>
              </w:rPr>
              <w:t>达到标准得满分，达不到标准不得分</w:t>
            </w:r>
          </w:p>
        </w:tc>
        <w:tc>
          <w:tcPr>
            <w:tcW w:w="2608" w:type="dxa"/>
            <w:tcBorders>
              <w:tl2br w:val="nil"/>
              <w:tr2bl w:val="nil"/>
            </w:tcBorders>
            <w:noWrap/>
            <w:vAlign w:val="center"/>
          </w:tcPr>
          <w:p>
            <w:pPr>
              <w:spacing w:line="300" w:lineRule="exact"/>
              <w:jc w:val="center"/>
              <w:rPr>
                <w:rFonts w:ascii="Times New Roman" w:hAnsi="Times New Roman" w:eastAsia="仿宋_GB2312" w:cs="Times New Roman"/>
                <w:b w:val="0"/>
                <w:bCs/>
              </w:rPr>
            </w:pPr>
            <w:r>
              <w:rPr>
                <w:rFonts w:hint="eastAsia" w:ascii="Times New Roman" w:hAnsi="Times New Roman" w:eastAsia="仿宋_GB2312" w:cs="Times New Roman"/>
                <w:b w:val="0"/>
                <w:bCs/>
              </w:rPr>
              <w:t>单位人员对工资福利等发放工作的满意程度</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90</w:t>
            </w:r>
          </w:p>
        </w:tc>
        <w:tc>
          <w:tcPr>
            <w:tcW w:w="11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w:t>
            </w:r>
          </w:p>
        </w:tc>
        <w:tc>
          <w:tcPr>
            <w:tcW w:w="1502"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1.补助被征地农民资金绩效目标表</w:t>
      </w:r>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补助被征地农民资金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社会保障费及风险基金缴纳比例</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社会保障费及风险基金缴纳比例</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资金使用合规性</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资金使用合规性</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缴纳及时性</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按照进度及时拨付缴纳</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及时缴纳</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成本控制率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按自然资源和规划</w:t>
            </w:r>
            <w:r>
              <w:rPr>
                <w:rFonts w:hint="eastAsia" w:ascii="仿宋_GB2312" w:hAnsi="仿宋_GB2312" w:eastAsia="仿宋_GB2312" w:cs="仿宋_GB2312"/>
                <w:b w:val="0"/>
                <w:bCs/>
                <w:lang w:eastAsia="zh-CN"/>
              </w:rPr>
              <w:t>单位</w:t>
            </w:r>
            <w:r>
              <w:rPr>
                <w:rFonts w:hint="eastAsia" w:ascii="仿宋_GB2312" w:hAnsi="仿宋_GB2312" w:eastAsia="仿宋_GB2312" w:cs="仿宋_GB2312"/>
                <w:b w:val="0"/>
                <w:bCs/>
              </w:rPr>
              <w:t>提供区片价的25%征收被征地农民社会保障费，按照土地出让平均纯收益的10%提取被征地农民风险基金。</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被征地农民参加城乡居民基本养老保险</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按发放标准计发</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及时发放</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b w:val="0"/>
                <w:bCs/>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可持续影响指标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维护社会稳定</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维护社会稳定保障征地工作推进</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有效推进</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被征地农民满意度</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被征地农民满意度</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ind w:firstLine="560" w:firstLineChars="200"/>
        <w:jc w:val="left"/>
        <w:outlineLvl w:val="1"/>
        <w:rPr>
          <w:rFonts w:hint="eastAsia" w:ascii="仿宋_GB2312" w:hAnsi="仿宋_GB2312" w:eastAsia="仿宋_GB2312" w:cs="仿宋_GB2312"/>
          <w:sz w:val="28"/>
        </w:rPr>
      </w:pPr>
    </w:p>
    <w:p>
      <w:pPr>
        <w:spacing w:before="0" w:after="0"/>
        <w:ind w:firstLine="560"/>
        <w:jc w:val="left"/>
        <w:outlineLvl w:val="3"/>
        <w:rPr>
          <w:rFonts w:hint="eastAsia" w:ascii="仿宋_GB2312" w:hAnsi="仿宋_GB2312" w:eastAsia="仿宋_GB2312" w:cs="仿宋_GB2312"/>
          <w:sz w:val="28"/>
        </w:rPr>
      </w:pPr>
    </w:p>
    <w:p>
      <w:pPr>
        <w:spacing w:before="0" w:after="0"/>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基础设施建设资金绩效目标表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kern w:val="0"/>
                <w:sz w:val="21"/>
                <w:szCs w:val="24"/>
                <w:lang w:val="en-US" w:eastAsia="zh-CN" w:bidi="ar-SA"/>
              </w:rPr>
            </w:pPr>
            <w:r>
              <w:rPr>
                <w:rFonts w:hint="eastAsia" w:ascii="仿宋_GB2312" w:hAnsi="仿宋_GB2312" w:eastAsia="仿宋_GB2312" w:cs="仿宋_GB2312"/>
              </w:rPr>
              <w:t>基础设施建设资金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工程完工率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工程完工率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工程质量合格率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工程质量合格率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资金支付及时性</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资金支付及时性</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及时支付</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成本控制率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成本控制率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设施正常运转率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正常运转设施占总设施的比率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rPr>
            </w:pPr>
          </w:p>
        </w:tc>
        <w:tc>
          <w:tcPr>
            <w:tcW w:w="1985" w:type="dxa"/>
            <w:shd w:val="clear" w:color="auto" w:fill="auto"/>
            <w:vAlign w:val="center"/>
          </w:tcPr>
          <w:p>
            <w:pPr>
              <w:spacing w:line="300" w:lineRule="exact"/>
              <w:jc w:val="center"/>
              <w:rPr>
                <w:rFonts w:hint="eastAsia" w:ascii="仿宋_GB2312" w:hAnsi="仿宋_GB2312" w:eastAsia="仿宋_GB2312" w:cs="仿宋_GB2312"/>
                <w:b w:val="0"/>
                <w:bCs/>
              </w:rPr>
            </w:pPr>
          </w:p>
        </w:tc>
        <w:tc>
          <w:tcPr>
            <w:tcW w:w="3402" w:type="dxa"/>
            <w:shd w:val="clear" w:color="auto" w:fill="auto"/>
            <w:vAlign w:val="center"/>
          </w:tcPr>
          <w:p>
            <w:pPr>
              <w:spacing w:line="300" w:lineRule="exact"/>
              <w:jc w:val="center"/>
              <w:rPr>
                <w:rFonts w:hint="eastAsia" w:ascii="仿宋_GB2312" w:hAnsi="仿宋_GB2312" w:eastAsia="仿宋_GB2312" w:cs="仿宋_GB2312"/>
                <w:b w:val="0"/>
                <w:bCs/>
              </w:rPr>
            </w:pPr>
          </w:p>
        </w:tc>
        <w:tc>
          <w:tcPr>
            <w:tcW w:w="1843" w:type="dxa"/>
            <w:shd w:val="clear" w:color="auto" w:fill="auto"/>
            <w:vAlign w:val="center"/>
          </w:tcPr>
          <w:p>
            <w:pPr>
              <w:spacing w:line="300" w:lineRule="exact"/>
              <w:jc w:val="center"/>
              <w:rPr>
                <w:rFonts w:hint="eastAsia" w:ascii="仿宋_GB2312" w:hAnsi="仿宋_GB2312" w:eastAsia="仿宋_GB2312" w:cs="仿宋_GB2312"/>
                <w:b w:val="0"/>
                <w:bCs/>
              </w:rPr>
            </w:pPr>
          </w:p>
        </w:tc>
        <w:tc>
          <w:tcPr>
            <w:tcW w:w="2155" w:type="dxa"/>
            <w:shd w:val="clear" w:color="auto" w:fill="auto"/>
            <w:vAlign w:val="center"/>
          </w:tcPr>
          <w:p>
            <w:pPr>
              <w:spacing w:line="300" w:lineRule="exact"/>
              <w:jc w:val="center"/>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受益群体满意度</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受益群体满意度</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聘用人员工资经费绩效目标表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363"/>
        <w:gridCol w:w="1890"/>
        <w:gridCol w:w="2934"/>
        <w:gridCol w:w="1602"/>
        <w:gridCol w:w="2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聘用人员工资经费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36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9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3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86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发放人数</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发放人数</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≤20人</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工资(福利)等发放精准性</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工资福利等发放人员范围的精准性和发放数据的准确性</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100</w:t>
            </w:r>
            <w:r>
              <w:rPr>
                <w:rFonts w:hint="eastAsia" w:ascii="仿宋_GB2312" w:hAnsi="仿宋_GB2312" w:eastAsia="仿宋_GB2312" w:cs="仿宋_GB2312"/>
                <w:b w:val="0"/>
                <w:bCs/>
              </w:rPr>
              <w:t>%</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社会保障（公积金）缴纳的准确性</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社会保障（公积金）缴纳数据的准确性</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按规定时间发放</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工资（福利）、社会保障（公积金）等发放（缴纳）标准</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工资（福利）、社会保障（公积金）等发放（缴纳）标准</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按规定执行</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加强工作人员归属感，保持干部队伍稳定</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通过按时按标准发放工资福利等，进一步增强干部职工得归属感，保持干部队伍相对稳定，保障办公正常运转</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保持干部队伍相对稳定</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聘用人员满意度</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聘用人员对工资福利等发放工作的满意程度</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≥98%</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spacing w:before="0" w:after="0"/>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土地开发支出资金绩效目标表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土地开发支出资金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土地开发面积</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经开区土地开发面积</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≤1599亩</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资金使用合规性</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资金使用合规性</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资金拨付及时性</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按照土地开发进度及时拨付资金</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及时拨付资金</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提高经开区土地开发利用率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提高经开区土地开发利用率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有效提高</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p>
        </w:tc>
        <w:tc>
          <w:tcPr>
            <w:tcW w:w="1985" w:type="dxa"/>
            <w:shd w:val="clear" w:color="auto" w:fill="auto"/>
            <w:vAlign w:val="center"/>
          </w:tcPr>
          <w:p>
            <w:pPr>
              <w:spacing w:line="300" w:lineRule="exact"/>
              <w:jc w:val="left"/>
              <w:rPr>
                <w:rFonts w:hint="eastAsia" w:ascii="仿宋_GB2312" w:hAnsi="仿宋_GB2312" w:eastAsia="仿宋_GB2312" w:cs="仿宋_GB2312"/>
              </w:rPr>
            </w:pPr>
          </w:p>
        </w:tc>
        <w:tc>
          <w:tcPr>
            <w:tcW w:w="3402" w:type="dxa"/>
            <w:shd w:val="clear" w:color="auto" w:fill="auto"/>
            <w:vAlign w:val="center"/>
          </w:tcPr>
          <w:p>
            <w:pPr>
              <w:spacing w:line="300" w:lineRule="exact"/>
              <w:jc w:val="left"/>
              <w:rPr>
                <w:rFonts w:hint="eastAsia" w:ascii="仿宋_GB2312" w:hAnsi="仿宋_GB2312" w:eastAsia="仿宋_GB2312" w:cs="仿宋_GB2312"/>
              </w:rPr>
            </w:pPr>
          </w:p>
        </w:tc>
        <w:tc>
          <w:tcPr>
            <w:tcW w:w="1843" w:type="dxa"/>
            <w:shd w:val="clear" w:color="auto" w:fill="auto"/>
            <w:vAlign w:val="center"/>
          </w:tcPr>
          <w:p>
            <w:pPr>
              <w:spacing w:line="300" w:lineRule="exact"/>
              <w:jc w:val="left"/>
              <w:rPr>
                <w:rFonts w:hint="eastAsia" w:ascii="仿宋_GB2312" w:hAnsi="仿宋_GB2312" w:eastAsia="仿宋_GB2312" w:cs="仿宋_GB2312"/>
              </w:rPr>
            </w:pPr>
          </w:p>
        </w:tc>
        <w:tc>
          <w:tcPr>
            <w:tcW w:w="2155" w:type="dxa"/>
            <w:shd w:val="clear" w:color="auto" w:fill="auto"/>
            <w:vAlign w:val="center"/>
          </w:tcPr>
          <w:p>
            <w:pPr>
              <w:spacing w:line="300" w:lineRule="exact"/>
              <w:jc w:val="lef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受益群体满意程度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受益群体满意程度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新业路（兴业道-光明东道）道路工程绩效目标表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152"/>
        <w:gridCol w:w="2475"/>
        <w:gridCol w:w="1826"/>
        <w:gridCol w:w="3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tabs>
                <w:tab w:val="left" w:pos="636"/>
              </w:tabs>
              <w:spacing w:line="300" w:lineRule="exact"/>
              <w:rPr>
                <w:rFonts w:hint="eastAsia" w:ascii="仿宋_GB2312" w:hAnsi="仿宋_GB2312" w:eastAsia="仿宋_GB2312" w:cs="仿宋_GB2312"/>
                <w:b/>
                <w:lang w:eastAsia="zh-CN"/>
              </w:rPr>
            </w:pPr>
            <w:r>
              <w:rPr>
                <w:rFonts w:hint="eastAsia" w:ascii="仿宋_GB2312" w:hAnsi="仿宋_GB2312" w:eastAsia="仿宋_GB2312" w:cs="仿宋_GB2312"/>
              </w:rPr>
              <w:t>新业路（兴业道-光明东道）道路工程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15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4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2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93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项目投资控制</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项目建设资金</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≤1298.97万元</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规划建设长度</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新建新业路长度</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≤1194米</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资金拨付及时性</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按照工程进度及时拨付资金</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及时拨付资金</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工程验收合格率</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工程验收合格比例</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w:t>
            </w:r>
            <w:r>
              <w:rPr>
                <w:rFonts w:hint="eastAsia" w:ascii="仿宋_GB2312" w:hAnsi="仿宋_GB2312" w:eastAsia="仿宋_GB2312" w:cs="仿宋_GB2312"/>
                <w:b w:val="0"/>
                <w:bCs/>
                <w:lang w:val="en-US" w:eastAsia="zh-CN"/>
              </w:rPr>
              <w:t>持续影响指标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显著延长</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1826"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明显改善</w:t>
            </w:r>
          </w:p>
        </w:tc>
        <w:tc>
          <w:tcPr>
            <w:tcW w:w="3932" w:type="dxa"/>
            <w:shd w:val="clear" w:color="auto" w:fill="auto"/>
            <w:vAlign w:val="center"/>
          </w:tcPr>
          <w:p>
            <w:pPr>
              <w:pStyle w:val="14"/>
              <w:rPr>
                <w:rFonts w:hint="eastAsia" w:ascii="仿宋_GB2312" w:hAnsi="仿宋_GB2312" w:eastAsia="仿宋_GB2312" w:cs="仿宋_GB2312"/>
                <w:b w:val="0"/>
                <w:bCs/>
                <w:kern w:val="2"/>
                <w:sz w:val="21"/>
                <w:szCs w:val="22"/>
                <w:lang w:val="en-US" w:eastAsia="uk-UA" w:bidi="ar-SA"/>
              </w:rPr>
            </w:pPr>
            <w:r>
              <w:rPr>
                <w:rFonts w:hint="eastAsia" w:ascii="仿宋_GB2312" w:hAnsi="仿宋_GB2312" w:eastAsia="仿宋_GB2312" w:cs="仿宋_GB2312"/>
                <w:b w:val="0"/>
                <w:bCs/>
                <w:kern w:val="2"/>
                <w:sz w:val="21"/>
                <w:szCs w:val="22"/>
                <w:lang w:val="en-US" w:eastAsia="zh-CN" w:bidi="ar-SA"/>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经济效益指标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有利促进</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生态效益指标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改善区域内环境</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提高绿化率；降低车辆燃油和轮胎的消耗</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显著提高</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群众满意度</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群众对此项民生工程的满意度</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≥95%</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val="en-US" w:eastAsia="zh-CN"/>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000000"/>
          <w:sz w:val="28"/>
        </w:rPr>
        <w:t>新业路（兴业道-光明东道）道路工程绩效目标表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2"/>
        <w:gridCol w:w="2241"/>
        <w:gridCol w:w="2024"/>
        <w:gridCol w:w="1808"/>
        <w:gridCol w:w="2096"/>
        <w:gridCol w:w="4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6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300" w:type="dxa"/>
            <w:gridSpan w:val="5"/>
            <w:shd w:val="clear" w:color="auto" w:fill="auto"/>
            <w:vAlign w:val="center"/>
          </w:tcPr>
          <w:p>
            <w:pPr>
              <w:tabs>
                <w:tab w:val="left" w:pos="636"/>
              </w:tabs>
              <w:spacing w:line="300" w:lineRule="exact"/>
              <w:rPr>
                <w:rFonts w:hint="eastAsia" w:ascii="仿宋_GB2312" w:hAnsi="仿宋_GB2312" w:eastAsia="仿宋_GB2312" w:cs="仿宋_GB2312"/>
                <w:b/>
                <w:lang w:eastAsia="zh-CN"/>
              </w:rPr>
            </w:pPr>
            <w:r>
              <w:rPr>
                <w:rFonts w:hint="eastAsia" w:ascii="仿宋_GB2312" w:hAnsi="仿宋_GB2312" w:eastAsia="仿宋_GB2312" w:cs="仿宋_GB2312"/>
              </w:rPr>
              <w:t>新业路（兴业道-光明东道）道路工程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6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4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02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80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09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13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项目投资控制</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项目建设资金</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w:t>
            </w:r>
            <w:r>
              <w:rPr>
                <w:rFonts w:hint="eastAsia" w:ascii="仿宋_GB2312" w:hAnsi="仿宋_GB2312" w:eastAsia="仿宋_GB2312" w:cs="仿宋_GB2312"/>
                <w:b w:val="0"/>
                <w:bCs/>
                <w:lang w:val="en-US" w:eastAsia="zh-CN"/>
              </w:rPr>
              <w:t>900</w:t>
            </w:r>
            <w:r>
              <w:rPr>
                <w:rFonts w:hint="eastAsia" w:ascii="仿宋_GB2312" w:hAnsi="仿宋_GB2312" w:eastAsia="仿宋_GB2312" w:cs="仿宋_GB2312"/>
                <w:b w:val="0"/>
                <w:bCs/>
              </w:rPr>
              <w:t>万元</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规划建设长度</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新建新业路长度</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≤1194米</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资金拨付及时性</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按照工程进度及时拨付资金</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及时拨付资金</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工程验收合格率</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工程验收合格比例</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restart"/>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效果指标</w:t>
            </w: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w:t>
            </w:r>
            <w:r>
              <w:rPr>
                <w:rFonts w:hint="eastAsia" w:ascii="仿宋_GB2312" w:hAnsi="仿宋_GB2312" w:eastAsia="仿宋_GB2312" w:cs="仿宋_GB2312"/>
                <w:b w:val="0"/>
                <w:bCs/>
                <w:lang w:val="en-US" w:eastAsia="zh-CN"/>
              </w:rPr>
              <w:t>持续影响指标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显著延长</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2096"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明显改善</w:t>
            </w:r>
          </w:p>
        </w:tc>
        <w:tc>
          <w:tcPr>
            <w:tcW w:w="4131" w:type="dxa"/>
            <w:shd w:val="clear" w:color="auto" w:fill="auto"/>
            <w:vAlign w:val="center"/>
          </w:tcPr>
          <w:p>
            <w:pPr>
              <w:pStyle w:val="14"/>
              <w:rPr>
                <w:rFonts w:hint="eastAsia" w:ascii="仿宋_GB2312" w:hAnsi="仿宋_GB2312" w:eastAsia="仿宋_GB2312" w:cs="仿宋_GB2312"/>
                <w:b w:val="0"/>
                <w:bCs/>
                <w:kern w:val="2"/>
                <w:sz w:val="21"/>
                <w:szCs w:val="22"/>
                <w:lang w:val="en-US" w:eastAsia="uk-UA" w:bidi="ar-SA"/>
              </w:rPr>
            </w:pPr>
            <w:r>
              <w:rPr>
                <w:rFonts w:hint="eastAsia" w:ascii="仿宋_GB2312" w:hAnsi="仿宋_GB2312" w:eastAsia="仿宋_GB2312" w:cs="仿宋_GB2312"/>
                <w:b w:val="0"/>
                <w:bCs/>
                <w:kern w:val="2"/>
                <w:sz w:val="21"/>
                <w:szCs w:val="22"/>
                <w:lang w:val="en-US" w:eastAsia="zh-CN" w:bidi="ar-SA"/>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经济效益指标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有利促进</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生态效益指标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改善区域内环境</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提高绿化率；降低车辆燃油和轮胎的消耗</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显著提高</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群众满意度</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群众对此项民生工程的满意度</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≥95%</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val="en-US" w:eastAsia="zh-CN"/>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000000"/>
          <w:sz w:val="28"/>
        </w:rPr>
        <w:t>新业路（兴业道-光明东道）道路工程绩效目标表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215"/>
        <w:gridCol w:w="1843"/>
        <w:gridCol w:w="1843"/>
        <w:gridCol w:w="1663"/>
        <w:gridCol w:w="5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tabs>
                <w:tab w:val="left" w:pos="636"/>
              </w:tabs>
              <w:spacing w:line="300" w:lineRule="exact"/>
              <w:rPr>
                <w:rFonts w:hint="eastAsia" w:ascii="仿宋_GB2312" w:hAnsi="仿宋_GB2312" w:eastAsia="仿宋_GB2312" w:cs="仿宋_GB2312"/>
                <w:b/>
                <w:lang w:eastAsia="zh-CN"/>
              </w:rPr>
            </w:pPr>
            <w:r>
              <w:rPr>
                <w:rFonts w:hint="eastAsia" w:ascii="仿宋_GB2312" w:hAnsi="仿宋_GB2312" w:eastAsia="仿宋_GB2312" w:cs="仿宋_GB2312"/>
              </w:rPr>
              <w:t>新业路（兴业道-光明东道）道路工程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1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6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08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项目投资控制</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项目建设资金</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w:t>
            </w:r>
            <w:r>
              <w:rPr>
                <w:rFonts w:hint="eastAsia" w:ascii="仿宋_GB2312" w:hAnsi="仿宋_GB2312" w:eastAsia="仿宋_GB2312" w:cs="仿宋_GB2312"/>
                <w:b w:val="0"/>
                <w:bCs/>
                <w:lang w:val="en-US" w:eastAsia="zh-CN"/>
              </w:rPr>
              <w:t>1000</w:t>
            </w:r>
            <w:r>
              <w:rPr>
                <w:rFonts w:hint="eastAsia" w:ascii="仿宋_GB2312" w:hAnsi="仿宋_GB2312" w:eastAsia="仿宋_GB2312" w:cs="仿宋_GB2312"/>
                <w:b w:val="0"/>
                <w:bCs/>
              </w:rPr>
              <w:t>万元</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规划建设长度</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新建新业路长度</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≤1194米</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资金拨付及时性</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按照工程进度及时拨付资金</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及时拨付资金</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工程验收合格比例</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效果指标</w:t>
            </w: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w:t>
            </w:r>
            <w:r>
              <w:rPr>
                <w:rFonts w:hint="eastAsia" w:ascii="仿宋_GB2312" w:hAnsi="仿宋_GB2312" w:eastAsia="仿宋_GB2312" w:cs="仿宋_GB2312"/>
                <w:b w:val="0"/>
                <w:bCs/>
                <w:lang w:val="en-US" w:eastAsia="zh-CN"/>
              </w:rPr>
              <w:t>持续影响指标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显著延长</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166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明显改善</w:t>
            </w:r>
          </w:p>
        </w:tc>
        <w:tc>
          <w:tcPr>
            <w:tcW w:w="5089" w:type="dxa"/>
            <w:shd w:val="clear" w:color="auto" w:fill="auto"/>
            <w:vAlign w:val="center"/>
          </w:tcPr>
          <w:p>
            <w:pPr>
              <w:pStyle w:val="14"/>
              <w:rPr>
                <w:rFonts w:hint="eastAsia" w:ascii="仿宋_GB2312" w:hAnsi="仿宋_GB2312" w:eastAsia="仿宋_GB2312" w:cs="仿宋_GB2312"/>
                <w:b w:val="0"/>
                <w:bCs/>
                <w:kern w:val="2"/>
                <w:sz w:val="21"/>
                <w:szCs w:val="22"/>
                <w:lang w:val="en-US" w:eastAsia="uk-UA" w:bidi="ar-SA"/>
              </w:rPr>
            </w:pPr>
            <w:r>
              <w:rPr>
                <w:rFonts w:hint="eastAsia" w:ascii="仿宋_GB2312" w:hAnsi="仿宋_GB2312" w:eastAsia="仿宋_GB2312" w:cs="仿宋_GB2312"/>
                <w:b w:val="0"/>
                <w:bCs/>
                <w:kern w:val="2"/>
                <w:sz w:val="21"/>
                <w:szCs w:val="22"/>
                <w:lang w:val="en-US" w:eastAsia="zh-CN" w:bidi="ar-SA"/>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经济效益指标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有利促进</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生态效益指标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改善区域内环境</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提高绿化率；降低车辆燃油和轮胎的消耗</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显著提高</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群众满意度</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群众对此项民生工程的满意度</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≥95%</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spacing w:before="0" w:after="0"/>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8</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征地和拆迁补偿资金绩效目标表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rPr>
              <w:t>征地和拆迁补偿资金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征地面积</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征收土地面积</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≤1599亩</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土地利用率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征收土地利用率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资金拨付及时性</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按照征收进度及时拨付资金</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及时拨付</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成本控制率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成本控制率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提高土地利用率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提高经开区土地利用率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有效提高</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198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3402"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1843"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受益群体满意度</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受益群体满意度</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215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调查问卷</w:t>
            </w:r>
          </w:p>
        </w:tc>
      </w:tr>
    </w:tbl>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9</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征地和拆迁补偿资金绩效目标表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rPr>
              <w:t>征地和拆迁补偿资金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征地面积</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征收土地面积</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≤1599亩</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土地利用率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征收土地利用率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资金拨付及时性</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按照征收进度及时拨付资金</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及时拨付</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成本控制率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成本控制率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提高土地利用率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提高经开区土地利用率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有效提高</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198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3402"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1843"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受益群体满意度</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受益群体满意度</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215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lang w:eastAsia="zh-CN"/>
        </w:rPr>
        <w:t>河北廊坊广阳经济开发区管理委员会</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政府采购项目来源</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采购物品名称</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政府采购目录序号</w:t>
            </w:r>
          </w:p>
        </w:tc>
        <w:tc>
          <w:tcPr>
            <w:tcW w:w="709"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计量  单位</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数量</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单价</w:t>
            </w:r>
          </w:p>
        </w:tc>
        <w:tc>
          <w:tcPr>
            <w:tcW w:w="7712" w:type="dxa"/>
            <w:gridSpan w:val="8"/>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政府采购金额（当年</w:t>
            </w:r>
            <w:r>
              <w:rPr>
                <w:rFonts w:hint="eastAsia"/>
                <w:lang w:eastAsia="zh-CN"/>
              </w:rPr>
              <w:t>单位</w:t>
            </w:r>
            <w:r>
              <w:t>预算安排资金）</w:t>
            </w:r>
          </w:p>
        </w:tc>
        <w:tc>
          <w:tcPr>
            <w:tcW w:w="96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河北廊坊广阳经济开发区管理委员会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85.6063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hint="eastAsia" w:ascii="Times New Roman" w:hAnsi="Times New Roman" w:eastAsia="仿宋_GB2312" w:cs="Times New Roman"/>
          <w:sz w:val="32"/>
          <w:szCs w:val="32"/>
          <w:lang w:eastAsia="zh-CN"/>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河北廊坊广阳经济开发区管理委员会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河北廊坊广阳经济开发区管理委员会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85.6063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61.8263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562E7"/>
    <w:multiLevelType w:val="singleLevel"/>
    <w:tmpl w:val="78B562E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172A27"/>
    <w:rsid w:val="000230E6"/>
    <w:rsid w:val="000F6018"/>
    <w:rsid w:val="0025632D"/>
    <w:rsid w:val="003059E0"/>
    <w:rsid w:val="004A54AA"/>
    <w:rsid w:val="00944233"/>
    <w:rsid w:val="00B40732"/>
    <w:rsid w:val="00B80935"/>
    <w:rsid w:val="00D347CC"/>
    <w:rsid w:val="00DC72B4"/>
    <w:rsid w:val="013869A5"/>
    <w:rsid w:val="02877550"/>
    <w:rsid w:val="08E1271F"/>
    <w:rsid w:val="09F004DA"/>
    <w:rsid w:val="0CEC1180"/>
    <w:rsid w:val="124F0FD4"/>
    <w:rsid w:val="1EE1673C"/>
    <w:rsid w:val="326C3B92"/>
    <w:rsid w:val="391D204F"/>
    <w:rsid w:val="597F48C6"/>
    <w:rsid w:val="5ED67348"/>
    <w:rsid w:val="62212345"/>
    <w:rsid w:val="6FBC6117"/>
    <w:rsid w:val="73693C55"/>
    <w:rsid w:val="74653AAC"/>
    <w:rsid w:val="7B1A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223</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2024-07-19T08:36:34Z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152B0440B13344239210B57CEE0B105B</vt:lpwstr>
  </property>
</Properties>
</file>