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3" w:name="_GoBack"/>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r>
        <w:rPr>
          <w:rFonts w:hint="eastAsia" w:ascii="Times New Roman" w:hAnsi="Times New Roman" w:eastAsia="方正小标宋简体" w:cs="Times New Roman"/>
          <w:sz w:val="44"/>
          <w:szCs w:val="44"/>
          <w:lang w:val="en-US" w:eastAsia="zh-CN"/>
        </w:rPr>
        <w:t>供销社</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广阳区供销社</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widowControl/>
        <w:spacing w:line="360" w:lineRule="atLeast"/>
        <w:ind w:firstLine="1120" w:firstLineChars="3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（一）</w:t>
      </w:r>
      <w:r>
        <w:rPr>
          <w:rFonts w:ascii="仿宋_GB2312" w:eastAsia="仿宋_GB2312" w:cs="宋体"/>
          <w:color w:val="000000"/>
          <w:kern w:val="0"/>
          <w:sz w:val="32"/>
          <w:szCs w:val="32"/>
        </w:rPr>
        <w:t xml:space="preserve"> </w:t>
      </w:r>
      <w:r>
        <w:rPr>
          <w:rFonts w:hint="eastAsia" w:ascii="仿宋_GB2312" w:eastAsia="仿宋_GB2312" w:cs="宋体"/>
          <w:color w:val="000000"/>
          <w:kern w:val="0"/>
          <w:sz w:val="32"/>
          <w:szCs w:val="32"/>
        </w:rPr>
        <w:t>是贯彻区委、区政府有关农村工作和社会发展的方针、政策；</w:t>
      </w:r>
      <w:r>
        <w:rPr>
          <w:rFonts w:ascii="仿宋_GB2312" w:eastAsia="仿宋_GB2312" w:cs="宋体"/>
          <w:color w:val="000000"/>
          <w:kern w:val="0"/>
          <w:sz w:val="32"/>
          <w:szCs w:val="32"/>
        </w:rPr>
        <w:br w:type="textWrapping"/>
      </w:r>
      <w:r>
        <w:rPr>
          <w:rFonts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（二）是按照区政府授权，对全区农业生产资料、日用消费品、棉花、食盐、烟花爆竹喝废旧再生资源等进行组织、协调和管理；</w:t>
      </w:r>
      <w:r>
        <w:rPr>
          <w:rFonts w:ascii="仿宋_GB2312" w:eastAsia="仿宋_GB2312" w:cs="宋体"/>
          <w:color w:val="000000"/>
          <w:kern w:val="0"/>
          <w:sz w:val="32"/>
          <w:szCs w:val="32"/>
        </w:rPr>
        <w:br w:type="textWrapping"/>
      </w:r>
      <w:r>
        <w:rPr>
          <w:rFonts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三）是负责指导全区供销社的业务工作，参与、推动和服务农业产业化经营，发展龙头企业、专业合作社和消费合作社，加快农业社会服务体系和农产品市场体系建设，开拓城乡市场。同时，承办区委、区政府和市供销社交办的其它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廊坊市广阳区供销合作社联合社</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事业单位</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广阳区供销社</w:t>
      </w:r>
      <w:r>
        <w:rPr>
          <w:rFonts w:ascii="Times New Roman" w:hAnsi="Times New Roman" w:eastAsia="仿宋_GB2312" w:cs="Times New Roman"/>
          <w:sz w:val="32"/>
          <w:szCs w:val="32"/>
        </w:rPr>
        <w:t>机关的收支包含在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724.48</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724.48</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724.48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692.68</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627.99</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64.69</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31.8</w:t>
      </w:r>
      <w:r>
        <w:rPr>
          <w:rFonts w:ascii="Times New Roman" w:hAnsi="Times New Roman" w:eastAsia="仿宋_GB2312" w:cs="Times New Roman"/>
          <w:sz w:val="32"/>
          <w:szCs w:val="32"/>
        </w:rPr>
        <w:t>万元，包括本级支出，主要为</w:t>
      </w:r>
      <w:r>
        <w:rPr>
          <w:rFonts w:hint="eastAsia" w:ascii="Times New Roman" w:hAnsi="Times New Roman" w:eastAsia="仿宋_GB2312" w:cs="Times New Roman"/>
          <w:sz w:val="32"/>
          <w:szCs w:val="32"/>
        </w:rPr>
        <w:t>政府购买农村产权交易服务资金</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 xml:space="preserve"> 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724.48</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rPr>
        <w:t>减少34.45</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34.45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w:t>
      </w:r>
      <w:r>
        <w:rPr>
          <w:rFonts w:hint="eastAsia" w:ascii="Times New Roman" w:hAnsi="Times New Roman" w:eastAsia="仿宋_GB2312" w:cs="Times New Roman"/>
          <w:sz w:val="32"/>
          <w:szCs w:val="32"/>
        </w:rPr>
        <w:t>与2021年度持平</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农村产权交易服务资金</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64.69</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区社</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一、总体绩效目标</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总体目标：按照省、市总体部署，紧紧围绕全区“三农”工作大局，以推进农业供给侧结构性改革为引领，以优化和创新供销服务供给为重点，整合社会资源，扩大开放办社，努力走新路、上品质、求赶超，努力实现增比进位，开创在全省系统看得见、拿得出、排得上、叫得响的广阳区发展模式。</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二、分项绩效目标</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1、供销流通管理</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紧紧围绕“三农”工作大局，以密切与农民利益联结为核心，以提升为农服务能力为根本，以强化基层社和创新联合社治理机制为重点，努力开创特色供销合作事业新局面。按照“改造自我，服务农民”的总体要求，朝着办成农民合作经济组织的方向，大力推行经营创新、组织创新、服务创新，推动综合改革顺利进行。</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2、服务三农事务管理                          </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改革创新为动力、以物流配送为支撑，坚持供销社主办、合作式发展、市场化运作，在乡镇政府所在地和行政村重点建设以日用消费品、农业生产资料为主营业务的供销社农村超市；在县城重点建设日用消费品、农业生产资料中心超市并具备配送功能。2.健全农村市场体系，大力发展农业生产资料现代经营服务网络、日用消费品现代经营网络、烟花爆竹零售网络和再生资源回收利用网络，推进适应现代农业要求的流通产业发展，促进全区农村经济快速健康发展。加快全区供销社系统农资、日用消费品、烟花爆竹和再生资源四大网络建设，增强企业发展实力.3.紧紧围绕“三农”工作大局，以密切与农民利益联结为核心，以提升为农服务能力为根本，把供销合作社系统打造成为与农民联结更紧密、为农服务功能更完备、市场化运行更高效的合作经济组织体系，成为服务农民生产生活的生力军和综合平台，成为党和政府密切联系农民群众的桥梁纽带，切实在农业现代化建设中更好地发挥作用。适应新型城镇化和新农村建设要求，加快建设农村综合服务社和城乡社区服务中心（站），为城乡居民提供日用消费品、文体娱乐、养老幼教、就业培训等多样化服务。</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3、供销合作政务管理</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负责管理运营本级社有资产，对直属企业行使出资人职能，依法享有所有者的资产收益、重大问题决策和选择管理者的权利，决定资产收益办法和支配方式。负责机关及直属单位党建、精神文明建设和政治思想工作，按照干部管理权限考察任免干部。以供销社综合改革为契机，盘活现有资产、推进社属企业改革，维护区直和谐稳定局面。</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4、农村产权交易管理</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借助供销社现有组织体系，经营网点，资产设施，农村金融业务等为农服务资源，逐步发展成为集信息发布汇总，产权交易、法律咨询、资产平复、抵押融资等为一体的区级为农服务平台</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三、工作保障措施</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1、完善制度建设</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建立健全各项管理规章制度，以规章制度管理人员，管理财政预算各项经费的支出</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2、加强支出管理</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规范区供销社机关财政供养人员工资、津贴补贴发放，进一步完善工会会费、福利费等公用经费的管理，严格按照相关文件规定支出</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3、加强绩效运行监控</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绩效目标为核心，对各项支出进行监控，对偏离绩效目标的支出及时采取纠偏措施，保证绩效目标如期实现。构建绩效监控系统，逐步实现与预算编制、国库集中支付、政府采购、资产、财务、业务等系统信息共享，提高预警能力和分析水平</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4、做好绩效自评</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预算绩效评价是指各级财务</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和事业</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单位）根据设定的绩效目标，运用科学、合理的绩效评价指标、评价标准和评价发放，对预算经费支出的经济性、效率性和效益性进行客观、公正的评价。绩效评价涵盖预算经费支出的全过程，包括事前（预算申报阶段）评价、事中（预算执行阶段）评价和事后（预算完成阶段）评价。</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5、规范财务资产管理</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认真学习贯彻财经法规，遵守财经纪律，严格按照政府会计制度保证本单位财产物资、货币资金的安全并确保合理使用。</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6、加强内部监督</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构建科学有效的内部监督机制，推动供销社系统安全、有效、稳健的运行</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7、加强宣传培训调研等</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努力探索新形势下加强和改进思想政治工作的新方式和新方法。通过召开研讨会和座谈会、深入基层访谈、调研活动等途经了解社情民意，围绕干部群众关心的日电、难点问题解疑释惑。</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821"/>
        <w:gridCol w:w="1243"/>
        <w:gridCol w:w="1912"/>
        <w:gridCol w:w="3383"/>
        <w:gridCol w:w="2290"/>
        <w:gridCol w:w="800"/>
        <w:gridCol w:w="710"/>
        <w:gridCol w:w="850"/>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294" w:type="pct"/>
            <w:vMerge w:val="restart"/>
            <w:tcBorders>
              <w:tl2br w:val="nil"/>
              <w:tr2bl w:val="nil"/>
            </w:tcBorders>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445" w:type="pct"/>
            <w:vMerge w:val="restart"/>
            <w:tcBorders>
              <w:tl2br w:val="nil"/>
              <w:tr2bl w:val="nil"/>
            </w:tcBorders>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二级</w:t>
            </w:r>
          </w:p>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指标</w:t>
            </w:r>
          </w:p>
        </w:tc>
        <w:tc>
          <w:tcPr>
            <w:tcW w:w="684" w:type="pct"/>
            <w:vMerge w:val="restart"/>
            <w:tcBorders>
              <w:tl2br w:val="nil"/>
              <w:tr2bl w:val="nil"/>
            </w:tcBorders>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三级</w:t>
            </w:r>
          </w:p>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指标</w:t>
            </w:r>
          </w:p>
        </w:tc>
        <w:tc>
          <w:tcPr>
            <w:tcW w:w="1210" w:type="pct"/>
            <w:vMerge w:val="restart"/>
            <w:tcBorders>
              <w:tl2br w:val="nil"/>
              <w:tr2bl w:val="nil"/>
            </w:tcBorders>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评（扣）分标准</w:t>
            </w:r>
          </w:p>
        </w:tc>
        <w:tc>
          <w:tcPr>
            <w:tcW w:w="819" w:type="pct"/>
            <w:vMerge w:val="restart"/>
            <w:tcBorders>
              <w:tl2br w:val="nil"/>
              <w:tr2bl w:val="nil"/>
            </w:tcBorders>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绩效指标</w:t>
            </w:r>
          </w:p>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描述</w:t>
            </w:r>
          </w:p>
        </w:tc>
        <w:tc>
          <w:tcPr>
            <w:tcW w:w="844" w:type="pct"/>
            <w:gridSpan w:val="3"/>
            <w:tcBorders>
              <w:tl2br w:val="nil"/>
              <w:tr2bl w:val="nil"/>
            </w:tcBorders>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702" w:type="pct"/>
            <w:vMerge w:val="restart"/>
            <w:tcBorders>
              <w:tl2br w:val="nil"/>
              <w:tr2bl w:val="nil"/>
            </w:tcBorders>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指标值</w:t>
            </w:r>
          </w:p>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294" w:type="pct"/>
            <w:vMerge w:val="continue"/>
            <w:tcBorders>
              <w:tl2br w:val="nil"/>
              <w:tr2bl w:val="nil"/>
            </w:tcBorders>
            <w:vAlign w:val="center"/>
          </w:tcPr>
          <w:p>
            <w:pPr>
              <w:rPr>
                <w:rFonts w:hint="eastAsia" w:ascii="仿宋_GB2312" w:hAnsi="仿宋_GB2312" w:eastAsia="仿宋_GB2312" w:cs="仿宋_GB2312"/>
              </w:rPr>
            </w:pPr>
          </w:p>
        </w:tc>
        <w:tc>
          <w:tcPr>
            <w:tcW w:w="445" w:type="pct"/>
            <w:vMerge w:val="continue"/>
            <w:tcBorders>
              <w:tl2br w:val="nil"/>
              <w:tr2bl w:val="nil"/>
            </w:tcBorders>
            <w:vAlign w:val="center"/>
          </w:tcPr>
          <w:p>
            <w:pPr>
              <w:rPr>
                <w:rFonts w:hint="eastAsia" w:ascii="仿宋_GB2312" w:hAnsi="仿宋_GB2312" w:eastAsia="仿宋_GB2312" w:cs="仿宋_GB2312"/>
              </w:rPr>
            </w:pPr>
          </w:p>
        </w:tc>
        <w:tc>
          <w:tcPr>
            <w:tcW w:w="684" w:type="pct"/>
            <w:vMerge w:val="continue"/>
            <w:tcBorders>
              <w:tl2br w:val="nil"/>
              <w:tr2bl w:val="nil"/>
            </w:tcBorders>
            <w:vAlign w:val="center"/>
          </w:tcPr>
          <w:p>
            <w:pPr>
              <w:rPr>
                <w:rFonts w:hint="eastAsia" w:ascii="仿宋_GB2312" w:hAnsi="仿宋_GB2312" w:eastAsia="仿宋_GB2312" w:cs="仿宋_GB2312"/>
              </w:rPr>
            </w:pPr>
          </w:p>
        </w:tc>
        <w:tc>
          <w:tcPr>
            <w:tcW w:w="1210" w:type="pct"/>
            <w:vMerge w:val="continue"/>
            <w:tcBorders>
              <w:tl2br w:val="nil"/>
              <w:tr2bl w:val="nil"/>
            </w:tcBorders>
            <w:vAlign w:val="center"/>
          </w:tcPr>
          <w:p>
            <w:pPr>
              <w:rPr>
                <w:rFonts w:hint="eastAsia" w:ascii="仿宋_GB2312" w:hAnsi="仿宋_GB2312" w:eastAsia="仿宋_GB2312" w:cs="仿宋_GB2312"/>
              </w:rPr>
            </w:pPr>
          </w:p>
        </w:tc>
        <w:tc>
          <w:tcPr>
            <w:tcW w:w="819" w:type="pct"/>
            <w:vMerge w:val="continue"/>
            <w:tcBorders>
              <w:tl2br w:val="nil"/>
              <w:tr2bl w:val="nil"/>
            </w:tcBorders>
            <w:vAlign w:val="center"/>
          </w:tcPr>
          <w:p>
            <w:pPr>
              <w:rPr>
                <w:rFonts w:hint="eastAsia" w:ascii="仿宋_GB2312" w:hAnsi="仿宋_GB2312" w:eastAsia="仿宋_GB2312" w:cs="仿宋_GB2312"/>
              </w:rPr>
            </w:pPr>
          </w:p>
        </w:tc>
        <w:tc>
          <w:tcPr>
            <w:tcW w:w="286" w:type="pct"/>
            <w:tcBorders>
              <w:tl2br w:val="nil"/>
              <w:tr2bl w:val="nil"/>
            </w:tcBorders>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符号</w:t>
            </w:r>
          </w:p>
        </w:tc>
        <w:tc>
          <w:tcPr>
            <w:tcW w:w="254" w:type="pct"/>
            <w:tcBorders>
              <w:tl2br w:val="nil"/>
              <w:tr2bl w:val="nil"/>
            </w:tcBorders>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值</w:t>
            </w:r>
          </w:p>
        </w:tc>
        <w:tc>
          <w:tcPr>
            <w:tcW w:w="303" w:type="pct"/>
            <w:tcBorders>
              <w:tl2br w:val="nil"/>
              <w:tr2bl w:val="nil"/>
            </w:tcBorders>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单位</w:t>
            </w:r>
          </w:p>
        </w:tc>
        <w:tc>
          <w:tcPr>
            <w:tcW w:w="702" w:type="pct"/>
            <w:vMerge w:val="continue"/>
            <w:tcBorders>
              <w:tl2br w:val="nil"/>
              <w:tr2bl w:val="nil"/>
            </w:tcBorders>
            <w:vAlign w:val="center"/>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294" w:type="pct"/>
            <w:vMerge w:val="restar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产出</w:t>
            </w:r>
          </w:p>
        </w:tc>
        <w:tc>
          <w:tcPr>
            <w:tcW w:w="445"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数量</w:t>
            </w:r>
          </w:p>
        </w:tc>
        <w:tc>
          <w:tcPr>
            <w:tcW w:w="684"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保障办公人数</w:t>
            </w:r>
          </w:p>
        </w:tc>
        <w:tc>
          <w:tcPr>
            <w:tcW w:w="1210"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人员数量是否达标</w:t>
            </w:r>
          </w:p>
        </w:tc>
        <w:tc>
          <w:tcPr>
            <w:tcW w:w="81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保障办公人数</w:t>
            </w:r>
          </w:p>
        </w:tc>
        <w:tc>
          <w:tcPr>
            <w:tcW w:w="286"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254"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34</w:t>
            </w:r>
          </w:p>
        </w:tc>
        <w:tc>
          <w:tcPr>
            <w:tcW w:w="303"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人</w:t>
            </w:r>
          </w:p>
        </w:tc>
        <w:tc>
          <w:tcPr>
            <w:tcW w:w="702"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工资表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294" w:type="pct"/>
            <w:vMerge w:val="continue"/>
            <w:tcBorders>
              <w:tl2br w:val="nil"/>
              <w:tr2bl w:val="nil"/>
            </w:tcBorders>
            <w:vAlign w:val="center"/>
          </w:tcPr>
          <w:p>
            <w:pPr>
              <w:rPr>
                <w:rFonts w:hint="eastAsia" w:ascii="仿宋_GB2312" w:hAnsi="仿宋_GB2312" w:eastAsia="仿宋_GB2312" w:cs="仿宋_GB2312"/>
              </w:rPr>
            </w:pPr>
          </w:p>
        </w:tc>
        <w:tc>
          <w:tcPr>
            <w:tcW w:w="445"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质量</w:t>
            </w:r>
          </w:p>
        </w:tc>
        <w:tc>
          <w:tcPr>
            <w:tcW w:w="684"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机关运转率</w:t>
            </w:r>
          </w:p>
        </w:tc>
        <w:tc>
          <w:tcPr>
            <w:tcW w:w="1210"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运转率是否正常</w:t>
            </w:r>
          </w:p>
        </w:tc>
        <w:tc>
          <w:tcPr>
            <w:tcW w:w="81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各项日常工作保障率</w:t>
            </w:r>
          </w:p>
        </w:tc>
        <w:tc>
          <w:tcPr>
            <w:tcW w:w="286"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254"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303"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百分之</w:t>
            </w:r>
          </w:p>
        </w:tc>
        <w:tc>
          <w:tcPr>
            <w:tcW w:w="702"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294" w:type="pct"/>
            <w:vMerge w:val="continue"/>
            <w:tcBorders>
              <w:tl2br w:val="nil"/>
              <w:tr2bl w:val="nil"/>
            </w:tcBorders>
            <w:vAlign w:val="center"/>
          </w:tcPr>
          <w:p>
            <w:pPr>
              <w:rPr>
                <w:rFonts w:hint="eastAsia" w:ascii="仿宋_GB2312" w:hAnsi="仿宋_GB2312" w:eastAsia="仿宋_GB2312" w:cs="仿宋_GB2312"/>
              </w:rPr>
            </w:pPr>
          </w:p>
        </w:tc>
        <w:tc>
          <w:tcPr>
            <w:tcW w:w="445"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时效</w:t>
            </w:r>
          </w:p>
        </w:tc>
        <w:tc>
          <w:tcPr>
            <w:tcW w:w="684"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按规定时限发放工资、缴纳保险</w:t>
            </w:r>
          </w:p>
        </w:tc>
        <w:tc>
          <w:tcPr>
            <w:tcW w:w="1210"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是否按规定时限发放</w:t>
            </w:r>
          </w:p>
        </w:tc>
        <w:tc>
          <w:tcPr>
            <w:tcW w:w="81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按规定时限发放工资、缴纳保险</w:t>
            </w:r>
          </w:p>
        </w:tc>
        <w:tc>
          <w:tcPr>
            <w:tcW w:w="286"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254"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303"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及时发放</w:t>
            </w:r>
          </w:p>
        </w:tc>
        <w:tc>
          <w:tcPr>
            <w:tcW w:w="702"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按月发放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294" w:type="pct"/>
            <w:vMerge w:val="continue"/>
            <w:tcBorders>
              <w:tl2br w:val="nil"/>
              <w:tr2bl w:val="nil"/>
            </w:tcBorders>
            <w:vAlign w:val="center"/>
          </w:tcPr>
          <w:p>
            <w:pPr>
              <w:rPr>
                <w:rFonts w:hint="eastAsia" w:ascii="仿宋_GB2312" w:hAnsi="仿宋_GB2312" w:eastAsia="仿宋_GB2312" w:cs="仿宋_GB2312"/>
              </w:rPr>
            </w:pPr>
          </w:p>
        </w:tc>
        <w:tc>
          <w:tcPr>
            <w:tcW w:w="445"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成本</w:t>
            </w:r>
          </w:p>
        </w:tc>
        <w:tc>
          <w:tcPr>
            <w:tcW w:w="684"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经费开支</w:t>
            </w:r>
          </w:p>
        </w:tc>
        <w:tc>
          <w:tcPr>
            <w:tcW w:w="1210"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是否按标准开支</w:t>
            </w:r>
          </w:p>
        </w:tc>
        <w:tc>
          <w:tcPr>
            <w:tcW w:w="81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办公费、水电费等公用经费的开支标准</w:t>
            </w:r>
          </w:p>
        </w:tc>
        <w:tc>
          <w:tcPr>
            <w:tcW w:w="286"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254"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303"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按统一规定执行</w:t>
            </w:r>
          </w:p>
        </w:tc>
        <w:tc>
          <w:tcPr>
            <w:tcW w:w="702"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年度预算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294" w:type="pct"/>
            <w:vMerge w:val="restart"/>
            <w:tcBorders>
              <w:tl2br w:val="nil"/>
              <w:tr2bl w:val="nil"/>
            </w:tcBorders>
            <w:vAlign w:val="center"/>
          </w:tcPr>
          <w:p>
            <w:pPr>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效果</w:t>
            </w:r>
          </w:p>
        </w:tc>
        <w:tc>
          <w:tcPr>
            <w:tcW w:w="445"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社会</w:t>
            </w:r>
          </w:p>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效益</w:t>
            </w:r>
          </w:p>
        </w:tc>
        <w:tc>
          <w:tcPr>
            <w:tcW w:w="684"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保障机关单位正常运转</w:t>
            </w:r>
          </w:p>
        </w:tc>
        <w:tc>
          <w:tcPr>
            <w:tcW w:w="1210"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是否正常运转</w:t>
            </w:r>
          </w:p>
        </w:tc>
        <w:tc>
          <w:tcPr>
            <w:tcW w:w="81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保障机关单位正常运转</w:t>
            </w:r>
          </w:p>
        </w:tc>
        <w:tc>
          <w:tcPr>
            <w:tcW w:w="286"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254"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303"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维持单位正常运转</w:t>
            </w:r>
          </w:p>
        </w:tc>
        <w:tc>
          <w:tcPr>
            <w:tcW w:w="702"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294" w:type="pct"/>
            <w:vMerge w:val="continue"/>
            <w:tcBorders>
              <w:tl2br w:val="nil"/>
              <w:tr2bl w:val="nil"/>
            </w:tcBorders>
            <w:vAlign w:val="center"/>
          </w:tcPr>
          <w:p>
            <w:pPr>
              <w:rPr>
                <w:rFonts w:hint="eastAsia" w:ascii="仿宋_GB2312" w:hAnsi="仿宋_GB2312" w:eastAsia="仿宋_GB2312" w:cs="仿宋_GB2312"/>
              </w:rPr>
            </w:pPr>
          </w:p>
        </w:tc>
        <w:tc>
          <w:tcPr>
            <w:tcW w:w="445"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满意度</w:t>
            </w:r>
          </w:p>
        </w:tc>
        <w:tc>
          <w:tcPr>
            <w:tcW w:w="684"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210"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是否满意</w:t>
            </w:r>
          </w:p>
        </w:tc>
        <w:tc>
          <w:tcPr>
            <w:tcW w:w="819"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单位人员满意度</w:t>
            </w:r>
          </w:p>
        </w:tc>
        <w:tc>
          <w:tcPr>
            <w:tcW w:w="28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254"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100</w:t>
            </w:r>
          </w:p>
        </w:tc>
        <w:tc>
          <w:tcPr>
            <w:tcW w:w="303"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百分之</w:t>
            </w:r>
          </w:p>
        </w:tc>
        <w:tc>
          <w:tcPr>
            <w:tcW w:w="702"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 xml:space="preserve">政府购买农村产权交易资金 </w:t>
      </w:r>
      <w:r>
        <w:rPr>
          <w:rFonts w:ascii="Times New Roman" w:hAnsi="Times New Roman" w:eastAsia="仿宋_GB2312" w:cs="Times New Roman"/>
          <w:sz w:val="28"/>
        </w:rPr>
        <w:t>绩效目标表</w:t>
      </w:r>
      <w:bookmarkStart w:id="0" w:name="_Toc29799657"/>
      <w:bookmarkEnd w:id="0"/>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通过项目的开展完成农村产权流转交易服务体系建设，积极开展集体资产流转交易鉴证，落实“应进必进”原则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站点服务</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业务咨询和办理工作人员数</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≥6个</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廊广政办【2017】4号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完成率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服务站点与任务数比</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廊广改革办【2021】2号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及时拨付资金</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购买服务资金拨付企业</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≤3月</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往来票据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人员服务费</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不高于当地劳务派遣费</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≤2500元</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交易事务办结率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完成率和交易鉴证数的比率</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交易鉴证书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left"/>
              <w:rPr>
                <w:rFonts w:ascii="Times New Roman" w:hAnsi="Times New Roman" w:eastAsia="仿宋_GB2312" w:cs="Times New Roman"/>
              </w:rPr>
            </w:pP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服务满意度</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调查表</w:t>
            </w:r>
          </w:p>
        </w:tc>
      </w:tr>
    </w:tbl>
    <w:p>
      <w:pPr>
        <w:autoSpaceDE w:val="0"/>
        <w:autoSpaceDN w:val="0"/>
        <w:adjustRightInd w:val="0"/>
        <w:spacing w:line="584" w:lineRule="exact"/>
        <w:jc w:val="left"/>
        <w:rPr>
          <w:rFonts w:ascii="Times New Roman" w:hAnsi="Times New Roman" w:eastAsia="黑体" w:cs="Times New Roman"/>
          <w:sz w:val="44"/>
          <w:szCs w:val="44"/>
        </w:rPr>
      </w:pPr>
    </w:p>
    <w:p>
      <w:pPr>
        <w:autoSpaceDE w:val="0"/>
        <w:autoSpaceDN w:val="0"/>
        <w:adjustRightInd w:val="0"/>
        <w:spacing w:line="584" w:lineRule="exact"/>
        <w:jc w:val="left"/>
        <w:rPr>
          <w:rFonts w:ascii="Times New Roman" w:hAnsi="Times New Roman" w:eastAsia="黑体" w:cs="Times New Roman"/>
          <w:sz w:val="44"/>
          <w:szCs w:val="44"/>
        </w:rPr>
      </w:pPr>
    </w:p>
    <w:p>
      <w:pPr>
        <w:autoSpaceDE w:val="0"/>
        <w:autoSpaceDN w:val="0"/>
        <w:adjustRightInd w:val="0"/>
        <w:spacing w:line="584" w:lineRule="exact"/>
        <w:jc w:val="left"/>
        <w:rPr>
          <w:rFonts w:ascii="Times New Roman" w:hAnsi="Times New Roman" w:eastAsia="黑体" w:cs="Times New Roman"/>
          <w:sz w:val="44"/>
          <w:szCs w:val="44"/>
        </w:rPr>
      </w:pPr>
    </w:p>
    <w:p>
      <w:pPr>
        <w:autoSpaceDE w:val="0"/>
        <w:autoSpaceDN w:val="0"/>
        <w:adjustRightInd w:val="0"/>
        <w:spacing w:line="584" w:lineRule="exact"/>
        <w:jc w:val="left"/>
        <w:rPr>
          <w:rFonts w:ascii="Times New Roman" w:hAnsi="Times New Roman" w:eastAsia="黑体" w:cs="Times New Roman"/>
          <w:sz w:val="44"/>
          <w:szCs w:val="44"/>
        </w:rPr>
      </w:pPr>
    </w:p>
    <w:p>
      <w:pPr>
        <w:autoSpaceDE w:val="0"/>
        <w:autoSpaceDN w:val="0"/>
        <w:adjustRightInd w:val="0"/>
        <w:spacing w:line="584" w:lineRule="exact"/>
        <w:jc w:val="left"/>
        <w:rPr>
          <w:rFonts w:ascii="Times New Roman" w:hAnsi="Times New Roman" w:eastAsia="黑体" w:cs="Times New Roman"/>
          <w:sz w:val="44"/>
          <w:szCs w:val="44"/>
        </w:rPr>
      </w:pPr>
    </w:p>
    <w:p>
      <w:pPr>
        <w:autoSpaceDE w:val="0"/>
        <w:autoSpaceDN w:val="0"/>
        <w:adjustRightInd w:val="0"/>
        <w:spacing w:line="584"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31.8</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2"/>
    </w:p>
    <w:p>
      <w:pPr>
        <w:outlineLvl w:val="1"/>
        <w:rPr>
          <w:rFonts w:ascii="方正小标宋_GBK" w:eastAsia="方正小标宋_GBK" w:cs="Times New Roman"/>
          <w:sz w:val="32"/>
        </w:rPr>
      </w:pPr>
      <w:r>
        <w:t>***廊坊市</w:t>
      </w:r>
      <w:r>
        <w:rPr>
          <w:rFonts w:hint="eastAsia"/>
        </w:rPr>
        <w:t>广阳区*</w:t>
      </w:r>
      <w:r>
        <w:t>**                                                                                                         单位：万元</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6"/>
        <w:gridCol w:w="888"/>
        <w:gridCol w:w="1041"/>
        <w:gridCol w:w="1041"/>
        <w:gridCol w:w="650"/>
        <w:gridCol w:w="780"/>
        <w:gridCol w:w="780"/>
        <w:gridCol w:w="885"/>
        <w:gridCol w:w="885"/>
        <w:gridCol w:w="885"/>
        <w:gridCol w:w="885"/>
        <w:gridCol w:w="885"/>
        <w:gridCol w:w="885"/>
        <w:gridCol w:w="885"/>
        <w:gridCol w:w="902"/>
        <w:gridCol w:w="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8" w:type="pct"/>
            <w:gridSpan w:val="2"/>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政府采购项目来源</w:t>
            </w:r>
          </w:p>
        </w:tc>
        <w:tc>
          <w:tcPr>
            <w:tcW w:w="367" w:type="pct"/>
            <w:vMerge w:val="restar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采购物品名称</w:t>
            </w:r>
          </w:p>
        </w:tc>
        <w:tc>
          <w:tcPr>
            <w:tcW w:w="367" w:type="pct"/>
            <w:vMerge w:val="restar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政府采购目录序号</w:t>
            </w:r>
          </w:p>
        </w:tc>
        <w:tc>
          <w:tcPr>
            <w:tcW w:w="229" w:type="pct"/>
            <w:vMerge w:val="restar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计量  单位</w:t>
            </w:r>
          </w:p>
        </w:tc>
        <w:tc>
          <w:tcPr>
            <w:tcW w:w="275" w:type="pct"/>
            <w:vMerge w:val="restar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数量</w:t>
            </w:r>
          </w:p>
        </w:tc>
        <w:tc>
          <w:tcPr>
            <w:tcW w:w="275" w:type="pct"/>
            <w:vMerge w:val="restar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单价</w:t>
            </w:r>
          </w:p>
        </w:tc>
        <w:tc>
          <w:tcPr>
            <w:tcW w:w="2502" w:type="pct"/>
            <w:gridSpan w:val="8"/>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政府采购金额（当年</w:t>
            </w:r>
            <w:r>
              <w:rPr>
                <w:rFonts w:hint="eastAsia" w:ascii="仿宋_GB2312" w:hAnsi="仿宋_GB2312" w:eastAsia="仿宋_GB2312" w:cs="仿宋_GB2312"/>
                <w:lang w:eastAsia="zh-CN"/>
              </w:rPr>
              <w:t>单位</w:t>
            </w:r>
            <w:r>
              <w:rPr>
                <w:rFonts w:hint="eastAsia" w:ascii="仿宋_GB2312" w:hAnsi="仿宋_GB2312" w:eastAsia="仿宋_GB2312" w:cs="仿宋_GB2312"/>
              </w:rPr>
              <w:t>预算安排资金）</w:t>
            </w:r>
          </w:p>
        </w:tc>
        <w:tc>
          <w:tcPr>
            <w:tcW w:w="312" w:type="pct"/>
            <w:vMerge w:val="restar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项目名称</w:t>
            </w:r>
          </w:p>
        </w:tc>
        <w:tc>
          <w:tcPr>
            <w:tcW w:w="31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预算    资金</w:t>
            </w:r>
          </w:p>
        </w:tc>
        <w:tc>
          <w:tcPr>
            <w:tcW w:w="367" w:type="pct"/>
            <w:vMerge w:val="continue"/>
          </w:tcPr>
          <w:p>
            <w:pPr>
              <w:rPr>
                <w:rFonts w:hint="eastAsia" w:ascii="仿宋_GB2312" w:hAnsi="仿宋_GB2312" w:eastAsia="仿宋_GB2312" w:cs="仿宋_GB2312"/>
              </w:rPr>
            </w:pPr>
          </w:p>
        </w:tc>
        <w:tc>
          <w:tcPr>
            <w:tcW w:w="367" w:type="pct"/>
            <w:vMerge w:val="continue"/>
          </w:tcPr>
          <w:p>
            <w:pPr>
              <w:rPr>
                <w:rFonts w:hint="eastAsia" w:ascii="仿宋_GB2312" w:hAnsi="仿宋_GB2312" w:eastAsia="仿宋_GB2312" w:cs="仿宋_GB2312"/>
              </w:rPr>
            </w:pPr>
          </w:p>
        </w:tc>
        <w:tc>
          <w:tcPr>
            <w:tcW w:w="229" w:type="pct"/>
            <w:vMerge w:val="continue"/>
          </w:tcPr>
          <w:p>
            <w:pPr>
              <w:rPr>
                <w:rFonts w:hint="eastAsia" w:ascii="仿宋_GB2312" w:hAnsi="仿宋_GB2312" w:eastAsia="仿宋_GB2312" w:cs="仿宋_GB2312"/>
              </w:rPr>
            </w:pPr>
          </w:p>
        </w:tc>
        <w:tc>
          <w:tcPr>
            <w:tcW w:w="275" w:type="pct"/>
            <w:vMerge w:val="continue"/>
          </w:tcPr>
          <w:p>
            <w:pPr>
              <w:rPr>
                <w:rFonts w:hint="eastAsia" w:ascii="仿宋_GB2312" w:hAnsi="仿宋_GB2312" w:eastAsia="仿宋_GB2312" w:cs="仿宋_GB2312"/>
              </w:rPr>
            </w:pPr>
          </w:p>
        </w:tc>
        <w:tc>
          <w:tcPr>
            <w:tcW w:w="275" w:type="pct"/>
            <w:vMerge w:val="continue"/>
          </w:tcPr>
          <w:p>
            <w:pPr>
              <w:rPr>
                <w:rFonts w:hint="eastAsia" w:ascii="仿宋_GB2312" w:hAnsi="仿宋_GB2312" w:eastAsia="仿宋_GB2312" w:cs="仿宋_GB2312"/>
              </w:rPr>
            </w:pPr>
          </w:p>
        </w:tc>
        <w:tc>
          <w:tcPr>
            <w:tcW w:w="312"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合计</w:t>
            </w:r>
          </w:p>
        </w:tc>
        <w:tc>
          <w:tcPr>
            <w:tcW w:w="312"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一般公共预算拨款</w:t>
            </w:r>
          </w:p>
        </w:tc>
        <w:tc>
          <w:tcPr>
            <w:tcW w:w="312"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基金预算拨款</w:t>
            </w:r>
          </w:p>
        </w:tc>
        <w:tc>
          <w:tcPr>
            <w:tcW w:w="312"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国有资本经营预算拨款</w:t>
            </w:r>
          </w:p>
        </w:tc>
        <w:tc>
          <w:tcPr>
            <w:tcW w:w="312"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财政专户核拨</w:t>
            </w:r>
          </w:p>
        </w:tc>
        <w:tc>
          <w:tcPr>
            <w:tcW w:w="312"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单位    资金</w:t>
            </w:r>
          </w:p>
        </w:tc>
        <w:tc>
          <w:tcPr>
            <w:tcW w:w="312"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财政拨    款结转</w:t>
            </w:r>
          </w:p>
        </w:tc>
        <w:tc>
          <w:tcPr>
            <w:tcW w:w="31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非财政    拨款结    转结余</w:t>
            </w:r>
          </w:p>
        </w:tc>
        <w:tc>
          <w:tcPr>
            <w:tcW w:w="312" w:type="pct"/>
            <w:vMerge w:val="continue"/>
          </w:tcPr>
          <w:p>
            <w:pPr>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6"/>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政府购买农村产权交易服务资金</w:t>
            </w:r>
          </w:p>
        </w:tc>
        <w:tc>
          <w:tcPr>
            <w:tcW w:w="313" w:type="pct"/>
            <w:vAlign w:val="center"/>
          </w:tcPr>
          <w:p>
            <w:pPr>
              <w:pStyle w:val="17"/>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31.8</w:t>
            </w:r>
          </w:p>
        </w:tc>
        <w:tc>
          <w:tcPr>
            <w:tcW w:w="367" w:type="pct"/>
            <w:vAlign w:val="center"/>
          </w:tcPr>
          <w:p>
            <w:pPr>
              <w:pStyle w:val="18"/>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购买服务</w:t>
            </w:r>
          </w:p>
        </w:tc>
        <w:tc>
          <w:tcPr>
            <w:tcW w:w="367" w:type="pct"/>
            <w:vAlign w:val="center"/>
          </w:tcPr>
          <w:p>
            <w:pPr>
              <w:pStyle w:val="18"/>
              <w:rPr>
                <w:rFonts w:hint="eastAsia" w:ascii="仿宋_GB2312" w:hAnsi="仿宋_GB2312" w:eastAsia="仿宋_GB2312" w:cs="仿宋_GB2312"/>
                <w:b w:val="0"/>
                <w:bCs/>
              </w:rPr>
            </w:pPr>
          </w:p>
        </w:tc>
        <w:tc>
          <w:tcPr>
            <w:tcW w:w="229" w:type="pct"/>
            <w:vAlign w:val="center"/>
          </w:tcPr>
          <w:p>
            <w:pPr>
              <w:pStyle w:val="16"/>
              <w:rPr>
                <w:rFonts w:hint="eastAsia" w:ascii="仿宋_GB2312" w:hAnsi="仿宋_GB2312" w:eastAsia="仿宋_GB2312" w:cs="仿宋_GB2312"/>
                <w:b w:val="0"/>
                <w:bCs/>
              </w:rPr>
            </w:pPr>
          </w:p>
        </w:tc>
        <w:tc>
          <w:tcPr>
            <w:tcW w:w="275" w:type="pct"/>
            <w:vAlign w:val="center"/>
          </w:tcPr>
          <w:p>
            <w:pPr>
              <w:pStyle w:val="17"/>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1</w:t>
            </w:r>
          </w:p>
        </w:tc>
        <w:tc>
          <w:tcPr>
            <w:tcW w:w="275" w:type="pct"/>
            <w:vAlign w:val="center"/>
          </w:tcPr>
          <w:p>
            <w:pPr>
              <w:pStyle w:val="17"/>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31.8</w:t>
            </w:r>
          </w:p>
        </w:tc>
        <w:tc>
          <w:tcPr>
            <w:tcW w:w="312" w:type="pct"/>
            <w:vAlign w:val="center"/>
          </w:tcPr>
          <w:p>
            <w:pPr>
              <w:pStyle w:val="17"/>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31.8</w:t>
            </w:r>
          </w:p>
        </w:tc>
        <w:tc>
          <w:tcPr>
            <w:tcW w:w="312" w:type="pct"/>
            <w:vAlign w:val="center"/>
          </w:tcPr>
          <w:p>
            <w:pPr>
              <w:pStyle w:val="17"/>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31.8</w:t>
            </w:r>
          </w:p>
        </w:tc>
        <w:tc>
          <w:tcPr>
            <w:tcW w:w="312" w:type="pct"/>
            <w:vAlign w:val="center"/>
          </w:tcPr>
          <w:p>
            <w:pPr>
              <w:pStyle w:val="17"/>
              <w:rPr>
                <w:rFonts w:hint="eastAsia" w:ascii="仿宋_GB2312" w:hAnsi="仿宋_GB2312" w:eastAsia="仿宋_GB2312" w:cs="仿宋_GB2312"/>
                <w:b w:val="0"/>
                <w:bCs/>
              </w:rPr>
            </w:pPr>
          </w:p>
        </w:tc>
        <w:tc>
          <w:tcPr>
            <w:tcW w:w="312" w:type="pct"/>
            <w:vAlign w:val="center"/>
          </w:tcPr>
          <w:p>
            <w:pPr>
              <w:pStyle w:val="17"/>
              <w:rPr>
                <w:rFonts w:hint="eastAsia" w:ascii="仿宋_GB2312" w:hAnsi="仿宋_GB2312" w:eastAsia="仿宋_GB2312" w:cs="仿宋_GB2312"/>
                <w:b w:val="0"/>
                <w:bCs/>
              </w:rPr>
            </w:pPr>
          </w:p>
        </w:tc>
        <w:tc>
          <w:tcPr>
            <w:tcW w:w="312" w:type="pct"/>
            <w:vAlign w:val="center"/>
          </w:tcPr>
          <w:p>
            <w:pPr>
              <w:pStyle w:val="17"/>
              <w:rPr>
                <w:rFonts w:hint="eastAsia" w:ascii="仿宋_GB2312" w:hAnsi="仿宋_GB2312" w:eastAsia="仿宋_GB2312" w:cs="仿宋_GB2312"/>
                <w:b w:val="0"/>
                <w:bCs/>
              </w:rPr>
            </w:pPr>
          </w:p>
        </w:tc>
        <w:tc>
          <w:tcPr>
            <w:tcW w:w="312" w:type="pct"/>
            <w:vAlign w:val="center"/>
          </w:tcPr>
          <w:p>
            <w:pPr>
              <w:pStyle w:val="17"/>
              <w:rPr>
                <w:rFonts w:hint="eastAsia" w:ascii="仿宋_GB2312" w:hAnsi="仿宋_GB2312" w:eastAsia="仿宋_GB2312" w:cs="仿宋_GB2312"/>
                <w:b w:val="0"/>
                <w:bCs/>
              </w:rPr>
            </w:pPr>
          </w:p>
        </w:tc>
        <w:tc>
          <w:tcPr>
            <w:tcW w:w="312" w:type="pct"/>
            <w:vAlign w:val="center"/>
          </w:tcPr>
          <w:p>
            <w:pPr>
              <w:pStyle w:val="17"/>
              <w:rPr>
                <w:rFonts w:hint="eastAsia" w:ascii="仿宋_GB2312" w:hAnsi="仿宋_GB2312" w:eastAsia="仿宋_GB2312" w:cs="仿宋_GB2312"/>
                <w:b w:val="0"/>
                <w:bCs/>
              </w:rPr>
            </w:pPr>
          </w:p>
        </w:tc>
        <w:tc>
          <w:tcPr>
            <w:tcW w:w="313" w:type="pct"/>
            <w:vAlign w:val="center"/>
          </w:tcPr>
          <w:p>
            <w:pPr>
              <w:pStyle w:val="17"/>
              <w:rPr>
                <w:rFonts w:hint="eastAsia" w:ascii="仿宋_GB2312" w:hAnsi="仿宋_GB2312" w:eastAsia="仿宋_GB2312" w:cs="仿宋_GB2312"/>
                <w:b w:val="0"/>
                <w:bCs/>
              </w:rPr>
            </w:pPr>
          </w:p>
        </w:tc>
        <w:tc>
          <w:tcPr>
            <w:tcW w:w="312" w:type="pct"/>
            <w:vAlign w:val="center"/>
          </w:tcPr>
          <w:p>
            <w:pPr>
              <w:pStyle w:val="17"/>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6"/>
              <w:rPr>
                <w:rFonts w:hint="eastAsia" w:ascii="仿宋_GB2312" w:hAnsi="仿宋_GB2312" w:eastAsia="仿宋_GB2312" w:cs="仿宋_GB2312"/>
              </w:rPr>
            </w:pPr>
          </w:p>
        </w:tc>
        <w:tc>
          <w:tcPr>
            <w:tcW w:w="313" w:type="pct"/>
            <w:vAlign w:val="center"/>
          </w:tcPr>
          <w:p>
            <w:pPr>
              <w:pStyle w:val="17"/>
              <w:rPr>
                <w:rFonts w:hint="eastAsia" w:ascii="仿宋_GB2312" w:hAnsi="仿宋_GB2312" w:eastAsia="仿宋_GB2312" w:cs="仿宋_GB2312"/>
              </w:rPr>
            </w:pPr>
          </w:p>
        </w:tc>
        <w:tc>
          <w:tcPr>
            <w:tcW w:w="367" w:type="pct"/>
            <w:vAlign w:val="center"/>
          </w:tcPr>
          <w:p>
            <w:pPr>
              <w:pStyle w:val="18"/>
              <w:rPr>
                <w:rFonts w:hint="eastAsia" w:ascii="仿宋_GB2312" w:hAnsi="仿宋_GB2312" w:eastAsia="仿宋_GB2312" w:cs="仿宋_GB2312"/>
              </w:rPr>
            </w:pPr>
          </w:p>
        </w:tc>
        <w:tc>
          <w:tcPr>
            <w:tcW w:w="367" w:type="pct"/>
            <w:vAlign w:val="center"/>
          </w:tcPr>
          <w:p>
            <w:pPr>
              <w:pStyle w:val="18"/>
              <w:rPr>
                <w:rFonts w:hint="eastAsia" w:ascii="仿宋_GB2312" w:hAnsi="仿宋_GB2312" w:eastAsia="仿宋_GB2312" w:cs="仿宋_GB2312"/>
              </w:rPr>
            </w:pPr>
          </w:p>
        </w:tc>
        <w:tc>
          <w:tcPr>
            <w:tcW w:w="229" w:type="pct"/>
            <w:vAlign w:val="center"/>
          </w:tcPr>
          <w:p>
            <w:pPr>
              <w:pStyle w:val="16"/>
              <w:rPr>
                <w:rFonts w:hint="eastAsia" w:ascii="仿宋_GB2312" w:hAnsi="仿宋_GB2312" w:eastAsia="仿宋_GB2312" w:cs="仿宋_GB2312"/>
              </w:rPr>
            </w:pPr>
          </w:p>
        </w:tc>
        <w:tc>
          <w:tcPr>
            <w:tcW w:w="275" w:type="pct"/>
            <w:vAlign w:val="center"/>
          </w:tcPr>
          <w:p>
            <w:pPr>
              <w:pStyle w:val="17"/>
              <w:rPr>
                <w:rFonts w:hint="eastAsia" w:ascii="仿宋_GB2312" w:hAnsi="仿宋_GB2312" w:eastAsia="仿宋_GB2312" w:cs="仿宋_GB2312"/>
              </w:rPr>
            </w:pPr>
          </w:p>
        </w:tc>
        <w:tc>
          <w:tcPr>
            <w:tcW w:w="275" w:type="pct"/>
            <w:vAlign w:val="center"/>
          </w:tcPr>
          <w:p>
            <w:pPr>
              <w:pStyle w:val="17"/>
              <w:rPr>
                <w:rFonts w:hint="eastAsia" w:ascii="仿宋_GB2312" w:hAnsi="仿宋_GB2312" w:eastAsia="仿宋_GB2312" w:cs="仿宋_GB2312"/>
              </w:rPr>
            </w:pPr>
          </w:p>
        </w:tc>
        <w:tc>
          <w:tcPr>
            <w:tcW w:w="312" w:type="pct"/>
            <w:vAlign w:val="center"/>
          </w:tcPr>
          <w:p>
            <w:pPr>
              <w:pStyle w:val="17"/>
              <w:rPr>
                <w:rFonts w:hint="eastAsia" w:ascii="仿宋_GB2312" w:hAnsi="仿宋_GB2312" w:eastAsia="仿宋_GB2312" w:cs="仿宋_GB2312"/>
              </w:rPr>
            </w:pPr>
          </w:p>
        </w:tc>
        <w:tc>
          <w:tcPr>
            <w:tcW w:w="312" w:type="pct"/>
            <w:vAlign w:val="center"/>
          </w:tcPr>
          <w:p>
            <w:pPr>
              <w:pStyle w:val="17"/>
              <w:rPr>
                <w:rFonts w:hint="eastAsia" w:ascii="仿宋_GB2312" w:hAnsi="仿宋_GB2312" w:eastAsia="仿宋_GB2312" w:cs="仿宋_GB2312"/>
              </w:rPr>
            </w:pPr>
          </w:p>
        </w:tc>
        <w:tc>
          <w:tcPr>
            <w:tcW w:w="312" w:type="pct"/>
            <w:vAlign w:val="center"/>
          </w:tcPr>
          <w:p>
            <w:pPr>
              <w:pStyle w:val="17"/>
              <w:rPr>
                <w:rFonts w:hint="eastAsia" w:ascii="仿宋_GB2312" w:hAnsi="仿宋_GB2312" w:eastAsia="仿宋_GB2312" w:cs="仿宋_GB2312"/>
              </w:rPr>
            </w:pPr>
          </w:p>
        </w:tc>
        <w:tc>
          <w:tcPr>
            <w:tcW w:w="312" w:type="pct"/>
            <w:vAlign w:val="center"/>
          </w:tcPr>
          <w:p>
            <w:pPr>
              <w:pStyle w:val="17"/>
              <w:rPr>
                <w:rFonts w:hint="eastAsia" w:ascii="仿宋_GB2312" w:hAnsi="仿宋_GB2312" w:eastAsia="仿宋_GB2312" w:cs="仿宋_GB2312"/>
              </w:rPr>
            </w:pPr>
          </w:p>
        </w:tc>
        <w:tc>
          <w:tcPr>
            <w:tcW w:w="312" w:type="pct"/>
            <w:vAlign w:val="center"/>
          </w:tcPr>
          <w:p>
            <w:pPr>
              <w:pStyle w:val="17"/>
              <w:rPr>
                <w:rFonts w:hint="eastAsia" w:ascii="仿宋_GB2312" w:hAnsi="仿宋_GB2312" w:eastAsia="仿宋_GB2312" w:cs="仿宋_GB2312"/>
              </w:rPr>
            </w:pPr>
          </w:p>
        </w:tc>
        <w:tc>
          <w:tcPr>
            <w:tcW w:w="312" w:type="pct"/>
            <w:vAlign w:val="center"/>
          </w:tcPr>
          <w:p>
            <w:pPr>
              <w:pStyle w:val="17"/>
              <w:rPr>
                <w:rFonts w:hint="eastAsia" w:ascii="仿宋_GB2312" w:hAnsi="仿宋_GB2312" w:eastAsia="仿宋_GB2312" w:cs="仿宋_GB2312"/>
              </w:rPr>
            </w:pPr>
          </w:p>
        </w:tc>
        <w:tc>
          <w:tcPr>
            <w:tcW w:w="312" w:type="pct"/>
            <w:vAlign w:val="center"/>
          </w:tcPr>
          <w:p>
            <w:pPr>
              <w:pStyle w:val="17"/>
              <w:rPr>
                <w:rFonts w:hint="eastAsia" w:ascii="仿宋_GB2312" w:hAnsi="仿宋_GB2312" w:eastAsia="仿宋_GB2312" w:cs="仿宋_GB2312"/>
              </w:rPr>
            </w:pPr>
          </w:p>
        </w:tc>
        <w:tc>
          <w:tcPr>
            <w:tcW w:w="313" w:type="pct"/>
            <w:vAlign w:val="center"/>
          </w:tcPr>
          <w:p>
            <w:pPr>
              <w:pStyle w:val="17"/>
              <w:rPr>
                <w:rFonts w:hint="eastAsia" w:ascii="仿宋_GB2312" w:hAnsi="仿宋_GB2312" w:eastAsia="仿宋_GB2312" w:cs="仿宋_GB2312"/>
              </w:rPr>
            </w:pPr>
          </w:p>
        </w:tc>
        <w:tc>
          <w:tcPr>
            <w:tcW w:w="312" w:type="pct"/>
            <w:vAlign w:val="center"/>
          </w:tcPr>
          <w:p>
            <w:pPr>
              <w:pStyle w:val="17"/>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4"/>
              <w:rPr>
                <w:rFonts w:hint="eastAsia" w:ascii="仿宋_GB2312" w:hAnsi="仿宋_GB2312" w:eastAsia="仿宋_GB2312" w:cs="仿宋_GB2312"/>
              </w:rPr>
            </w:pPr>
          </w:p>
        </w:tc>
        <w:tc>
          <w:tcPr>
            <w:tcW w:w="313" w:type="pct"/>
            <w:vAlign w:val="center"/>
          </w:tcPr>
          <w:p>
            <w:pPr>
              <w:pStyle w:val="13"/>
              <w:rPr>
                <w:rFonts w:hint="eastAsia" w:ascii="仿宋_GB2312" w:hAnsi="仿宋_GB2312" w:eastAsia="仿宋_GB2312" w:cs="仿宋_GB2312"/>
              </w:rPr>
            </w:pPr>
          </w:p>
        </w:tc>
        <w:tc>
          <w:tcPr>
            <w:tcW w:w="367" w:type="pct"/>
            <w:vAlign w:val="center"/>
          </w:tcPr>
          <w:p>
            <w:pPr>
              <w:pStyle w:val="14"/>
              <w:rPr>
                <w:rFonts w:hint="eastAsia" w:ascii="仿宋_GB2312" w:hAnsi="仿宋_GB2312" w:eastAsia="仿宋_GB2312" w:cs="仿宋_GB2312"/>
              </w:rPr>
            </w:pPr>
          </w:p>
        </w:tc>
        <w:tc>
          <w:tcPr>
            <w:tcW w:w="367" w:type="pct"/>
            <w:vAlign w:val="center"/>
          </w:tcPr>
          <w:p>
            <w:pPr>
              <w:pStyle w:val="14"/>
              <w:rPr>
                <w:rFonts w:hint="eastAsia" w:ascii="仿宋_GB2312" w:hAnsi="仿宋_GB2312" w:eastAsia="仿宋_GB2312" w:cs="仿宋_GB2312"/>
              </w:rPr>
            </w:pPr>
          </w:p>
        </w:tc>
        <w:tc>
          <w:tcPr>
            <w:tcW w:w="229" w:type="pct"/>
            <w:vAlign w:val="center"/>
          </w:tcPr>
          <w:p>
            <w:pPr>
              <w:pStyle w:val="15"/>
              <w:rPr>
                <w:rFonts w:hint="eastAsia" w:ascii="仿宋_GB2312" w:hAnsi="仿宋_GB2312" w:eastAsia="仿宋_GB2312" w:cs="仿宋_GB2312"/>
              </w:rPr>
            </w:pPr>
          </w:p>
        </w:tc>
        <w:tc>
          <w:tcPr>
            <w:tcW w:w="275" w:type="pct"/>
            <w:vAlign w:val="center"/>
          </w:tcPr>
          <w:p>
            <w:pPr>
              <w:pStyle w:val="13"/>
              <w:rPr>
                <w:rFonts w:hint="eastAsia" w:ascii="仿宋_GB2312" w:hAnsi="仿宋_GB2312" w:eastAsia="仿宋_GB2312" w:cs="仿宋_GB2312"/>
              </w:rPr>
            </w:pPr>
          </w:p>
        </w:tc>
        <w:tc>
          <w:tcPr>
            <w:tcW w:w="275"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c>
          <w:tcPr>
            <w:tcW w:w="313"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4"/>
              <w:rPr>
                <w:rFonts w:hint="eastAsia" w:ascii="仿宋_GB2312" w:hAnsi="仿宋_GB2312" w:eastAsia="仿宋_GB2312" w:cs="仿宋_GB2312"/>
              </w:rPr>
            </w:pPr>
          </w:p>
        </w:tc>
        <w:tc>
          <w:tcPr>
            <w:tcW w:w="313" w:type="pct"/>
            <w:vAlign w:val="center"/>
          </w:tcPr>
          <w:p>
            <w:pPr>
              <w:pStyle w:val="13"/>
              <w:rPr>
                <w:rFonts w:hint="eastAsia" w:ascii="仿宋_GB2312" w:hAnsi="仿宋_GB2312" w:eastAsia="仿宋_GB2312" w:cs="仿宋_GB2312"/>
              </w:rPr>
            </w:pPr>
          </w:p>
        </w:tc>
        <w:tc>
          <w:tcPr>
            <w:tcW w:w="367" w:type="pct"/>
            <w:vAlign w:val="center"/>
          </w:tcPr>
          <w:p>
            <w:pPr>
              <w:pStyle w:val="14"/>
              <w:rPr>
                <w:rFonts w:hint="eastAsia" w:ascii="仿宋_GB2312" w:hAnsi="仿宋_GB2312" w:eastAsia="仿宋_GB2312" w:cs="仿宋_GB2312"/>
              </w:rPr>
            </w:pPr>
          </w:p>
        </w:tc>
        <w:tc>
          <w:tcPr>
            <w:tcW w:w="367" w:type="pct"/>
            <w:vAlign w:val="center"/>
          </w:tcPr>
          <w:p>
            <w:pPr>
              <w:pStyle w:val="14"/>
              <w:rPr>
                <w:rFonts w:hint="eastAsia" w:ascii="仿宋_GB2312" w:hAnsi="仿宋_GB2312" w:eastAsia="仿宋_GB2312" w:cs="仿宋_GB2312"/>
              </w:rPr>
            </w:pPr>
          </w:p>
        </w:tc>
        <w:tc>
          <w:tcPr>
            <w:tcW w:w="229" w:type="pct"/>
            <w:vAlign w:val="center"/>
          </w:tcPr>
          <w:p>
            <w:pPr>
              <w:pStyle w:val="15"/>
              <w:rPr>
                <w:rFonts w:hint="eastAsia" w:ascii="仿宋_GB2312" w:hAnsi="仿宋_GB2312" w:eastAsia="仿宋_GB2312" w:cs="仿宋_GB2312"/>
              </w:rPr>
            </w:pPr>
          </w:p>
        </w:tc>
        <w:tc>
          <w:tcPr>
            <w:tcW w:w="275" w:type="pct"/>
            <w:vAlign w:val="center"/>
          </w:tcPr>
          <w:p>
            <w:pPr>
              <w:pStyle w:val="13"/>
              <w:rPr>
                <w:rFonts w:hint="eastAsia" w:ascii="仿宋_GB2312" w:hAnsi="仿宋_GB2312" w:eastAsia="仿宋_GB2312" w:cs="仿宋_GB2312"/>
              </w:rPr>
            </w:pPr>
          </w:p>
        </w:tc>
        <w:tc>
          <w:tcPr>
            <w:tcW w:w="275"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c>
          <w:tcPr>
            <w:tcW w:w="313"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4"/>
              <w:rPr>
                <w:rFonts w:hint="eastAsia" w:ascii="仿宋_GB2312" w:hAnsi="仿宋_GB2312" w:eastAsia="仿宋_GB2312" w:cs="仿宋_GB2312"/>
              </w:rPr>
            </w:pPr>
          </w:p>
        </w:tc>
        <w:tc>
          <w:tcPr>
            <w:tcW w:w="313" w:type="pct"/>
            <w:vAlign w:val="center"/>
          </w:tcPr>
          <w:p>
            <w:pPr>
              <w:pStyle w:val="13"/>
              <w:rPr>
                <w:rFonts w:hint="eastAsia" w:ascii="仿宋_GB2312" w:hAnsi="仿宋_GB2312" w:eastAsia="仿宋_GB2312" w:cs="仿宋_GB2312"/>
              </w:rPr>
            </w:pPr>
          </w:p>
        </w:tc>
        <w:tc>
          <w:tcPr>
            <w:tcW w:w="367" w:type="pct"/>
            <w:vAlign w:val="center"/>
          </w:tcPr>
          <w:p>
            <w:pPr>
              <w:pStyle w:val="14"/>
              <w:rPr>
                <w:rFonts w:hint="eastAsia" w:ascii="仿宋_GB2312" w:hAnsi="仿宋_GB2312" w:eastAsia="仿宋_GB2312" w:cs="仿宋_GB2312"/>
              </w:rPr>
            </w:pPr>
          </w:p>
        </w:tc>
        <w:tc>
          <w:tcPr>
            <w:tcW w:w="367" w:type="pct"/>
            <w:vAlign w:val="center"/>
          </w:tcPr>
          <w:p>
            <w:pPr>
              <w:pStyle w:val="14"/>
              <w:rPr>
                <w:rFonts w:hint="eastAsia" w:ascii="仿宋_GB2312" w:hAnsi="仿宋_GB2312" w:eastAsia="仿宋_GB2312" w:cs="仿宋_GB2312"/>
              </w:rPr>
            </w:pPr>
          </w:p>
        </w:tc>
        <w:tc>
          <w:tcPr>
            <w:tcW w:w="229" w:type="pct"/>
            <w:vAlign w:val="center"/>
          </w:tcPr>
          <w:p>
            <w:pPr>
              <w:pStyle w:val="15"/>
              <w:rPr>
                <w:rFonts w:hint="eastAsia" w:ascii="仿宋_GB2312" w:hAnsi="仿宋_GB2312" w:eastAsia="仿宋_GB2312" w:cs="仿宋_GB2312"/>
              </w:rPr>
            </w:pPr>
          </w:p>
        </w:tc>
        <w:tc>
          <w:tcPr>
            <w:tcW w:w="275" w:type="pct"/>
            <w:vAlign w:val="center"/>
          </w:tcPr>
          <w:p>
            <w:pPr>
              <w:pStyle w:val="13"/>
              <w:rPr>
                <w:rFonts w:hint="eastAsia" w:ascii="仿宋_GB2312" w:hAnsi="仿宋_GB2312" w:eastAsia="仿宋_GB2312" w:cs="仿宋_GB2312"/>
              </w:rPr>
            </w:pPr>
          </w:p>
        </w:tc>
        <w:tc>
          <w:tcPr>
            <w:tcW w:w="275"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c>
          <w:tcPr>
            <w:tcW w:w="313" w:type="pct"/>
            <w:vAlign w:val="center"/>
          </w:tcPr>
          <w:p>
            <w:pPr>
              <w:pStyle w:val="13"/>
              <w:rPr>
                <w:rFonts w:hint="eastAsia" w:ascii="仿宋_GB2312" w:hAnsi="仿宋_GB2312" w:eastAsia="仿宋_GB2312" w:cs="仿宋_GB2312"/>
              </w:rPr>
            </w:pPr>
          </w:p>
        </w:tc>
        <w:tc>
          <w:tcPr>
            <w:tcW w:w="312" w:type="pct"/>
            <w:vAlign w:val="center"/>
          </w:tcPr>
          <w:p>
            <w:pPr>
              <w:pStyle w:val="13"/>
              <w:rPr>
                <w:rFonts w:hint="eastAsia" w:ascii="仿宋_GB2312" w:hAnsi="仿宋_GB2312" w:eastAsia="仿宋_GB2312" w:cs="仿宋_GB2312"/>
              </w:rPr>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广阳区供销社</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1.576482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w:t>
            </w:r>
            <w:r>
              <w:rPr>
                <w:rFonts w:hint="eastAsia" w:ascii="Times New Roman" w:hAnsi="Times New Roman" w:eastAsia="仿宋_GB2312" w:cs="Times New Roman"/>
                <w:kern w:val="0"/>
                <w:sz w:val="22"/>
                <w:lang w:val="en-US" w:eastAsia="zh-CN"/>
              </w:rPr>
              <w:t>供销社</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1.576482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打印机、传真机、办公家具</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1.576482</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45AAC1-844F-44CE-B542-5817D018E8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2" w:fontKey="{09C3B761-83D1-4D31-84E7-FADD0EA1A75C}"/>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3" w:fontKey="{440CE86E-4F09-46A8-823F-ADD3E704943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15</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B0681"/>
    <w:rsid w:val="000F6018"/>
    <w:rsid w:val="00142C4E"/>
    <w:rsid w:val="0025632D"/>
    <w:rsid w:val="003059E0"/>
    <w:rsid w:val="0036492F"/>
    <w:rsid w:val="00457567"/>
    <w:rsid w:val="004A54AA"/>
    <w:rsid w:val="00590029"/>
    <w:rsid w:val="007A05B6"/>
    <w:rsid w:val="00944233"/>
    <w:rsid w:val="00A63BCA"/>
    <w:rsid w:val="00B40732"/>
    <w:rsid w:val="00B50FD4"/>
    <w:rsid w:val="00B80935"/>
    <w:rsid w:val="00C2049D"/>
    <w:rsid w:val="00C63F50"/>
    <w:rsid w:val="00D347CC"/>
    <w:rsid w:val="00DC72B4"/>
    <w:rsid w:val="04D65F35"/>
    <w:rsid w:val="0CEC1180"/>
    <w:rsid w:val="2D2B4E34"/>
    <w:rsid w:val="36E30F73"/>
    <w:rsid w:val="450E6D56"/>
    <w:rsid w:val="51D66D2F"/>
    <w:rsid w:val="6B5225D4"/>
    <w:rsid w:val="7369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15</Pages>
  <Words>770</Words>
  <Characters>4391</Characters>
  <Lines>36</Lines>
  <Paragraphs>10</Paragraphs>
  <TotalTime>4</TotalTime>
  <ScaleCrop>false</ScaleCrop>
  <LinksUpToDate>false</LinksUpToDate>
  <CharactersWithSpaces>5151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2023-08-01T07:20:21Z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B719D1478559493A865C93BD75922B5F</vt:lpwstr>
  </property>
</Properties>
</file>