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广阳区第一幼儿园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60"/>
        <w:rPr>
          <w:rFonts w:ascii="仿宋_GB2312" w:hAnsi="Times New Roman" w:eastAsia="仿宋_GB2312" w:cs="Times New Roman"/>
          <w:sz w:val="32"/>
          <w:szCs w:val="32"/>
        </w:rPr>
      </w:pPr>
      <w:r>
        <w:rPr>
          <w:rFonts w:hint="eastAsia" w:ascii="仿宋_GB2312" w:hAnsi="Times New Roman" w:eastAsia="仿宋_GB2312" w:cs="Times New Roman"/>
          <w:sz w:val="32"/>
          <w:szCs w:val="32"/>
        </w:rPr>
        <w:t>廊坊市广阳区第一幼儿园始建于1958年，是廊坊市最早的幼儿园，是河北省示范幼儿园、河北省卫生保健示范幼儿园。现有幼儿268人，教职人员47人，8个教学班。主要职责是对3周岁以上幼儿进行保育和教育。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单位名称</w:t>
            </w:r>
          </w:p>
        </w:tc>
        <w:tc>
          <w:tcPr>
            <w:tcW w:w="1134"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单位性质</w:t>
            </w:r>
          </w:p>
        </w:tc>
        <w:tc>
          <w:tcPr>
            <w:tcW w:w="1276"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单位规格</w:t>
            </w:r>
          </w:p>
        </w:tc>
        <w:tc>
          <w:tcPr>
            <w:tcW w:w="2902" w:type="dxa"/>
            <w:vMerge w:val="restart"/>
            <w:shd w:val="clear" w:color="auto" w:fill="auto"/>
            <w:vAlign w:val="center"/>
          </w:tcPr>
          <w:p>
            <w:pPr>
              <w:spacing w:line="579" w:lineRule="exact"/>
              <w:jc w:val="center"/>
              <w:rPr>
                <w:rFonts w:ascii="Times New Roman" w:hAnsi="Times New Roman" w:eastAsia="楷体_GB2312" w:cs="Times New Roman"/>
                <w:b/>
                <w:sz w:val="32"/>
                <w:szCs w:val="32"/>
              </w:rPr>
            </w:pPr>
            <w:r>
              <w:rPr>
                <w:rFonts w:ascii="Times New Roman" w:hAnsi="Times New Roman" w:eastAsia="楷体_GB2312"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blHeader/>
          <w:jc w:val="center"/>
        </w:trPr>
        <w:tc>
          <w:tcPr>
            <w:tcW w:w="4443"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1134"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1276" w:type="dxa"/>
            <w:vMerge w:val="continue"/>
            <w:shd w:val="clear" w:color="auto" w:fill="auto"/>
            <w:vAlign w:val="center"/>
          </w:tcPr>
          <w:p>
            <w:pPr>
              <w:spacing w:line="579" w:lineRule="exact"/>
              <w:rPr>
                <w:rFonts w:ascii="Times New Roman" w:hAnsi="Times New Roman" w:eastAsia="楷体_GB2312" w:cs="Times New Roman"/>
                <w:b/>
                <w:sz w:val="32"/>
                <w:szCs w:val="32"/>
              </w:rPr>
            </w:pPr>
          </w:p>
        </w:tc>
        <w:tc>
          <w:tcPr>
            <w:tcW w:w="2902" w:type="dxa"/>
            <w:vMerge w:val="continue"/>
            <w:shd w:val="clear" w:color="auto" w:fill="auto"/>
            <w:vAlign w:val="center"/>
          </w:tcPr>
          <w:p>
            <w:pPr>
              <w:spacing w:line="579" w:lineRule="exact"/>
              <w:rPr>
                <w:rFonts w:ascii="Times New Roman" w:hAnsi="Times New Roman" w:eastAsia="楷体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廊坊市广阳区第一幼儿园</w:t>
            </w:r>
          </w:p>
        </w:tc>
        <w:tc>
          <w:tcPr>
            <w:tcW w:w="1134"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事业</w:t>
            </w:r>
          </w:p>
        </w:tc>
        <w:tc>
          <w:tcPr>
            <w:tcW w:w="1276"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科级以下</w:t>
            </w:r>
          </w:p>
        </w:tc>
        <w:tc>
          <w:tcPr>
            <w:tcW w:w="2902" w:type="dxa"/>
            <w:shd w:val="clear" w:color="auto" w:fill="auto"/>
            <w:vAlign w:val="center"/>
          </w:tcPr>
          <w:p>
            <w:pPr>
              <w:spacing w:line="579"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财政性资金基本保证</w:t>
            </w: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63947.38万元</w:t>
      </w:r>
      <w:r>
        <w:rPr>
          <w:rFonts w:ascii="Times New Roman" w:hAnsi="Times New Roman" w:eastAsia="仿宋_GB2312" w:cs="Times New Roman"/>
          <w:sz w:val="32"/>
          <w:szCs w:val="32"/>
        </w:rPr>
        <w:t>。</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广阳区第一幼儿园2022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814.81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804.9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9.91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197.97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79"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1012.78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51.62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134.99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186.61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79" w:lineRule="exact"/>
        <w:ind w:firstLine="784" w:firstLineChars="245"/>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。（与2021年相比持平，无增减变化）</w:t>
      </w:r>
    </w:p>
    <w:p>
      <w:pPr>
        <w:spacing w:line="579"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hAnsi="仿宋" w:eastAsia="仿宋_GB2312"/>
          <w:sz w:val="32"/>
          <w:szCs w:val="32"/>
        </w:rPr>
      </w:pPr>
      <w:r>
        <w:rPr>
          <w:rFonts w:hint="eastAsia" w:ascii="仿宋_GB2312" w:hAnsi="仿宋" w:eastAsia="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仿宋_GB2312" w:eastAsia="仿宋_GB2312" w:cs="Times New Roman"/>
          <w:b/>
          <w:sz w:val="32"/>
          <w:szCs w:val="32"/>
        </w:rPr>
      </w:pPr>
      <w:r>
        <w:rPr>
          <w:rFonts w:hint="eastAsia" w:ascii="仿宋_GB2312" w:eastAsia="仿宋_GB2312" w:cs="Times New Roman"/>
          <w:b/>
          <w:sz w:val="32"/>
          <w:szCs w:val="32"/>
        </w:rPr>
        <w:t>（二）分项绩效目标</w:t>
      </w:r>
    </w:p>
    <w:p>
      <w:pPr>
        <w:pStyle w:val="20"/>
        <w:spacing w:line="579" w:lineRule="exact"/>
        <w:ind w:left="420"/>
        <w:rPr>
          <w:rFonts w:ascii="仿宋_GB2312" w:hAnsi="仿宋" w:eastAsia="仿宋_GB2312"/>
          <w:sz w:val="32"/>
          <w:szCs w:val="32"/>
        </w:rPr>
      </w:pPr>
      <w:r>
        <w:rPr>
          <w:rFonts w:hint="eastAsia" w:ascii="仿宋_GB2312" w:hAnsi="仿宋" w:eastAsia="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1、提高学前教育水平，提供免费教科书，解决大班额问题及入学难问题。</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hAnsi="仿宋" w:eastAsia="仿宋_GB2312"/>
          <w:sz w:val="32"/>
          <w:szCs w:val="32"/>
        </w:rPr>
      </w:pPr>
      <w:r>
        <w:rPr>
          <w:rFonts w:hint="eastAsia" w:ascii="仿宋_GB2312" w:hAnsi="仿宋"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ind w:left="420"/>
        <w:rPr>
          <w:rFonts w:ascii="仿宋_GB2312" w:hAnsi="仿宋" w:eastAsia="仿宋_GB2312"/>
          <w:sz w:val="32"/>
          <w:szCs w:val="32"/>
        </w:rPr>
      </w:pPr>
      <w:r>
        <w:rPr>
          <w:rFonts w:hint="eastAsia" w:ascii="仿宋_GB2312" w:hAnsi="仿宋" w:eastAsia="仿宋_GB2312"/>
          <w:sz w:val="32"/>
          <w:szCs w:val="32"/>
        </w:rPr>
        <w:t>7、办人民满意的学校,教师、学生、家长整体满意度达到90%以上。</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保障措施</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1、成立学校监督小组，监督学校工作，强化工作落实。</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4、学校体育、卫生工作。根据《幼儿园健康体检管理办法》要求，对在校学生每年进行1次常规健康体检。</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spacing w:line="579" w:lineRule="exact"/>
        <w:rPr>
          <w:rFonts w:ascii="仿宋_GB2312" w:hAnsi="仿宋" w:eastAsia="仿宋_GB2312"/>
          <w:sz w:val="32"/>
          <w:szCs w:val="32"/>
        </w:rPr>
      </w:pPr>
      <w:r>
        <w:rPr>
          <w:rFonts w:hint="eastAsia" w:ascii="仿宋_GB2312" w:hAnsi="仿宋" w:eastAsia="仿宋_GB2312"/>
          <w:sz w:val="32"/>
          <w:szCs w:val="32"/>
        </w:rPr>
        <w:t>8、加强政治理论学习，强化党风廉政建设。做好师德传承活动，落实老中青传帮带。弘扬办学精神。加强师德宣传与学习活动。开展形式多样、扎实有效的师德教育活动。</w:t>
      </w:r>
    </w:p>
    <w:p>
      <w:pPr>
        <w:spacing w:line="579" w:lineRule="exact"/>
        <w:ind w:firstLine="640" w:firstLineChars="200"/>
        <w:rPr>
          <w:rFonts w:ascii="仿宋_GB2312" w:hAnsi="仿宋" w:eastAsia="仿宋_GB2312" w:cs="Times New Roman"/>
          <w:kern w:val="0"/>
          <w:sz w:val="32"/>
          <w:szCs w:val="32"/>
          <w:lang w:eastAsia="uk-UA"/>
        </w:rPr>
      </w:pPr>
      <w:r>
        <w:rPr>
          <w:rFonts w:hint="eastAsia" w:ascii="仿宋_GB2312" w:hAnsi="仿宋" w:eastAsia="仿宋_GB2312" w:cs="Times New Roman"/>
          <w:kern w:val="0"/>
          <w:sz w:val="32"/>
          <w:szCs w:val="32"/>
          <w:lang w:eastAsia="uk-UA"/>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0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31"/>
        <w:gridCol w:w="1066"/>
        <w:gridCol w:w="1124"/>
        <w:gridCol w:w="2111"/>
        <w:gridCol w:w="2079"/>
        <w:gridCol w:w="542"/>
        <w:gridCol w:w="596"/>
        <w:gridCol w:w="1085"/>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一级指标</w:t>
            </w:r>
          </w:p>
        </w:tc>
        <w:tc>
          <w:tcPr>
            <w:tcW w:w="1066"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二级</w:t>
            </w:r>
          </w:p>
          <w:p>
            <w:pPr>
              <w:widowControl/>
              <w:adjustRightInd w:val="0"/>
              <w:snapToGrid w:val="0"/>
              <w:spacing w:line="579" w:lineRule="exact"/>
              <w:jc w:val="center"/>
              <w:rPr>
                <w:rFonts w:ascii="方正书宋_GBK" w:eastAsia="方正书宋_GBK"/>
                <w:b/>
              </w:rPr>
            </w:pPr>
            <w:r>
              <w:rPr>
                <w:rFonts w:ascii="方正书宋_GBK" w:eastAsia="方正书宋_GBK"/>
                <w:b/>
              </w:rPr>
              <w:t>指标</w:t>
            </w:r>
          </w:p>
        </w:tc>
        <w:tc>
          <w:tcPr>
            <w:tcW w:w="1124"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三级</w:t>
            </w:r>
          </w:p>
          <w:p>
            <w:pPr>
              <w:widowControl/>
              <w:adjustRightInd w:val="0"/>
              <w:snapToGrid w:val="0"/>
              <w:spacing w:line="579" w:lineRule="exact"/>
              <w:jc w:val="center"/>
              <w:rPr>
                <w:rFonts w:ascii="方正书宋_GBK" w:eastAsia="方正书宋_GBK"/>
                <w:b/>
              </w:rPr>
            </w:pPr>
            <w:r>
              <w:rPr>
                <w:rFonts w:ascii="方正书宋_GBK" w:eastAsia="方正书宋_GBK"/>
                <w:b/>
              </w:rPr>
              <w:t>指标</w:t>
            </w:r>
          </w:p>
        </w:tc>
        <w:tc>
          <w:tcPr>
            <w:tcW w:w="211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评（扣）分标准</w:t>
            </w:r>
          </w:p>
        </w:tc>
        <w:tc>
          <w:tcPr>
            <w:tcW w:w="2079"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绩效指标</w:t>
            </w:r>
          </w:p>
          <w:p>
            <w:pPr>
              <w:widowControl/>
              <w:adjustRightInd w:val="0"/>
              <w:snapToGrid w:val="0"/>
              <w:spacing w:line="579" w:lineRule="exact"/>
              <w:jc w:val="center"/>
              <w:rPr>
                <w:rFonts w:ascii="方正书宋_GBK" w:eastAsia="方正书宋_GBK"/>
                <w:b/>
              </w:rPr>
            </w:pPr>
            <w:r>
              <w:rPr>
                <w:rFonts w:ascii="方正书宋_GBK" w:eastAsia="方正书宋_GBK"/>
                <w:b/>
              </w:rPr>
              <w:t>描述</w:t>
            </w:r>
          </w:p>
        </w:tc>
        <w:tc>
          <w:tcPr>
            <w:tcW w:w="2223" w:type="dxa"/>
            <w:gridSpan w:val="3"/>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指标值</w:t>
            </w:r>
          </w:p>
        </w:tc>
        <w:tc>
          <w:tcPr>
            <w:tcW w:w="1113"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指标值</w:t>
            </w:r>
          </w:p>
          <w:p>
            <w:pPr>
              <w:widowControl/>
              <w:adjustRightInd w:val="0"/>
              <w:snapToGrid w:val="0"/>
              <w:spacing w:line="579"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31" w:type="dxa"/>
            <w:vMerge w:val="continue"/>
            <w:tcBorders>
              <w:tl2br w:val="nil"/>
              <w:tr2bl w:val="nil"/>
            </w:tcBorders>
            <w:vAlign w:val="center"/>
          </w:tcPr>
          <w:p>
            <w:pPr>
              <w:spacing w:line="579" w:lineRule="exact"/>
            </w:pPr>
          </w:p>
        </w:tc>
        <w:tc>
          <w:tcPr>
            <w:tcW w:w="1066" w:type="dxa"/>
            <w:vMerge w:val="continue"/>
            <w:tcBorders>
              <w:tl2br w:val="nil"/>
              <w:tr2bl w:val="nil"/>
            </w:tcBorders>
            <w:vAlign w:val="center"/>
          </w:tcPr>
          <w:p>
            <w:pPr>
              <w:spacing w:line="579" w:lineRule="exact"/>
            </w:pPr>
          </w:p>
        </w:tc>
        <w:tc>
          <w:tcPr>
            <w:tcW w:w="1124" w:type="dxa"/>
            <w:vMerge w:val="continue"/>
            <w:tcBorders>
              <w:tl2br w:val="nil"/>
              <w:tr2bl w:val="nil"/>
            </w:tcBorders>
            <w:vAlign w:val="center"/>
          </w:tcPr>
          <w:p>
            <w:pPr>
              <w:spacing w:line="579" w:lineRule="exact"/>
            </w:pPr>
          </w:p>
        </w:tc>
        <w:tc>
          <w:tcPr>
            <w:tcW w:w="2111" w:type="dxa"/>
            <w:vMerge w:val="continue"/>
            <w:tcBorders>
              <w:tl2br w:val="nil"/>
              <w:tr2bl w:val="nil"/>
            </w:tcBorders>
            <w:vAlign w:val="center"/>
          </w:tcPr>
          <w:p>
            <w:pPr>
              <w:spacing w:line="579" w:lineRule="exact"/>
            </w:pPr>
          </w:p>
        </w:tc>
        <w:tc>
          <w:tcPr>
            <w:tcW w:w="2079" w:type="dxa"/>
            <w:vMerge w:val="continue"/>
            <w:tcBorders>
              <w:tl2br w:val="nil"/>
              <w:tr2bl w:val="nil"/>
            </w:tcBorders>
            <w:vAlign w:val="center"/>
          </w:tcPr>
          <w:p>
            <w:pPr>
              <w:spacing w:line="579" w:lineRule="exact"/>
            </w:pPr>
          </w:p>
        </w:tc>
        <w:tc>
          <w:tcPr>
            <w:tcW w:w="542"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符号</w:t>
            </w:r>
          </w:p>
        </w:tc>
        <w:tc>
          <w:tcPr>
            <w:tcW w:w="596"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值</w:t>
            </w:r>
          </w:p>
        </w:tc>
        <w:tc>
          <w:tcPr>
            <w:tcW w:w="1085" w:type="dxa"/>
            <w:tcBorders>
              <w:tl2br w:val="nil"/>
              <w:tr2bl w:val="nil"/>
            </w:tcBorders>
            <w:vAlign w:val="center"/>
          </w:tcPr>
          <w:p>
            <w:pPr>
              <w:widowControl/>
              <w:adjustRightInd w:val="0"/>
              <w:snapToGrid w:val="0"/>
              <w:spacing w:line="579" w:lineRule="exact"/>
              <w:jc w:val="center"/>
              <w:rPr>
                <w:rFonts w:ascii="方正书宋_GBK" w:eastAsia="方正书宋_GBK"/>
                <w:b/>
              </w:rPr>
            </w:pPr>
            <w:r>
              <w:rPr>
                <w:rFonts w:ascii="方正书宋_GBK" w:eastAsia="方正书宋_GBK"/>
                <w:b/>
              </w:rPr>
              <w:t>单位</w:t>
            </w:r>
          </w:p>
        </w:tc>
        <w:tc>
          <w:tcPr>
            <w:tcW w:w="1113" w:type="dxa"/>
            <w:vMerge w:val="continue"/>
            <w:tcBorders>
              <w:tl2br w:val="nil"/>
              <w:tr2bl w:val="nil"/>
            </w:tcBorders>
            <w:vAlign w:val="center"/>
          </w:tcPr>
          <w:p>
            <w:pPr>
              <w:spacing w:line="579"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03" w:hRule="atLeast"/>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124"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幼儿园毕业生生合格率</w:t>
            </w:r>
          </w:p>
          <w:p>
            <w:pPr>
              <w:widowControl/>
              <w:adjustRightInd w:val="0"/>
              <w:snapToGrid w:val="0"/>
              <w:spacing w:line="240" w:lineRule="auto"/>
              <w:rPr>
                <w:rFonts w:hint="eastAsia" w:ascii="仿宋_GB2312" w:hAnsi="仿宋_GB2312" w:eastAsia="仿宋_GB2312" w:cs="仿宋_GB2312"/>
              </w:rPr>
            </w:pPr>
          </w:p>
        </w:tc>
        <w:tc>
          <w:tcPr>
            <w:tcW w:w="2111"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079"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p>
            <w:pPr>
              <w:widowControl/>
              <w:adjustRightInd w:val="0"/>
              <w:snapToGrid w:val="0"/>
              <w:spacing w:line="240" w:lineRule="auto"/>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596" w:type="dxa"/>
            <w:tcBorders>
              <w:tl2br w:val="nil"/>
              <w:tr2bl w:val="nil"/>
            </w:tcBorders>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13"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spacing w:line="240" w:lineRule="auto"/>
              <w:jc w:val="center"/>
              <w:rPr>
                <w:rFonts w:ascii="方正书宋_GBK" w:eastAsia="方正书宋_GBK"/>
              </w:rPr>
            </w:pPr>
            <w:r>
              <w:rPr>
                <w:rFonts w:hint="eastAsia" w:ascii="方正书宋_GBK" w:eastAsia="方正书宋_GBK"/>
              </w:rPr>
              <w:t>数量指标</w:t>
            </w:r>
          </w:p>
          <w:p>
            <w:pPr>
              <w:widowControl/>
              <w:adjustRightInd w:val="0"/>
              <w:snapToGrid w:val="0"/>
              <w:spacing w:line="240" w:lineRule="auto"/>
              <w:jc w:val="center"/>
              <w:rPr>
                <w:rFonts w:ascii="方正书宋_GBK" w:eastAsia="方正书宋_GBK"/>
              </w:rPr>
            </w:pPr>
          </w:p>
        </w:tc>
        <w:tc>
          <w:tcPr>
            <w:tcW w:w="1124"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111"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w:t>
            </w:r>
          </w:p>
        </w:tc>
        <w:tc>
          <w:tcPr>
            <w:tcW w:w="2079"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p>
            <w:pPr>
              <w:spacing w:line="240" w:lineRule="auto"/>
              <w:rPr>
                <w:rFonts w:hint="eastAsia" w:ascii="仿宋_GB2312" w:hAnsi="仿宋_GB2312" w:eastAsia="仿宋_GB2312" w:cs="仿宋_GB2312"/>
              </w:rPr>
            </w:pPr>
          </w:p>
        </w:tc>
        <w:tc>
          <w:tcPr>
            <w:tcW w:w="542"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w:t>
            </w:r>
          </w:p>
          <w:p>
            <w:pPr>
              <w:widowControl/>
              <w:spacing w:line="240" w:lineRule="auto"/>
              <w:jc w:val="left"/>
              <w:rPr>
                <w:rFonts w:hint="eastAsia" w:ascii="仿宋_GB2312" w:hAnsi="仿宋_GB2312" w:eastAsia="仿宋_GB2312" w:cs="仿宋_GB2312"/>
              </w:rPr>
            </w:pPr>
          </w:p>
        </w:tc>
        <w:tc>
          <w:tcPr>
            <w:tcW w:w="596" w:type="dxa"/>
            <w:tcBorders>
              <w:tl2br w:val="nil"/>
              <w:tr2bl w:val="nil"/>
            </w:tcBorders>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13" w:type="dxa"/>
            <w:tcBorders>
              <w:tl2br w:val="nil"/>
              <w:tr2bl w:val="nil"/>
            </w:tcBorders>
            <w:vAlign w:val="center"/>
          </w:tcPr>
          <w:p>
            <w:pPr>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p>
            <w:pPr>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采购物资、建设工程合格率</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质量评价标准</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及时</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年初工作计划</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1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教育经费使用控制率</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支出的公用经费总额与预算安排得比率</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实际工作</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31" w:type="dxa"/>
            <w:vMerge w:val="restart"/>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ascii="方正书宋_GBK" w:eastAsia="方正书宋_GBK"/>
              </w:rPr>
              <w:t>社会</w:t>
            </w:r>
          </w:p>
          <w:p>
            <w:pPr>
              <w:widowControl/>
              <w:adjustRightInd w:val="0"/>
              <w:snapToGrid w:val="0"/>
              <w:spacing w:line="579" w:lineRule="exact"/>
              <w:jc w:val="center"/>
              <w:rPr>
                <w:rFonts w:ascii="方正书宋_GBK" w:eastAsia="方正书宋_GBK"/>
              </w:rPr>
            </w:pPr>
            <w:r>
              <w:rPr>
                <w:rFonts w:ascii="方正书宋_GBK" w:eastAsia="方正书宋_GBK"/>
              </w:rPr>
              <w:t>效益</w:t>
            </w:r>
          </w:p>
        </w:tc>
        <w:tc>
          <w:tcPr>
            <w:tcW w:w="1124"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学前教育教育高质量发展</w:t>
            </w:r>
          </w:p>
        </w:tc>
        <w:tc>
          <w:tcPr>
            <w:tcW w:w="2111"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10分学生家长对学校和社会满意度达到95%得满分</w:t>
            </w:r>
          </w:p>
        </w:tc>
        <w:tc>
          <w:tcPr>
            <w:tcW w:w="2079"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rPr>
              <w:t>推动学前教育从数量扩张向质量提高转变</w:t>
            </w:r>
          </w:p>
          <w:p>
            <w:pPr>
              <w:widowControl/>
              <w:adjustRightInd w:val="0"/>
              <w:snapToGrid w:val="0"/>
              <w:spacing w:line="240" w:lineRule="auto"/>
              <w:rPr>
                <w:rFonts w:hint="eastAsia" w:ascii="仿宋_GB2312" w:hAnsi="仿宋_GB2312" w:eastAsia="仿宋_GB2312" w:cs="仿宋_GB2312"/>
              </w:rPr>
            </w:pPr>
          </w:p>
        </w:tc>
        <w:tc>
          <w:tcPr>
            <w:tcW w:w="542"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p>
            <w:pPr>
              <w:widowControl/>
              <w:adjustRightInd w:val="0"/>
              <w:snapToGrid w:val="0"/>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31" w:type="dxa"/>
            <w:vMerge w:val="continue"/>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rPr>
              <w:t>满意度</w:t>
            </w:r>
          </w:p>
        </w:tc>
        <w:tc>
          <w:tcPr>
            <w:tcW w:w="1124"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家长的满意程度</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079"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家长的满意程度</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调查问卷</w:t>
            </w:r>
          </w:p>
          <w:p>
            <w:pPr>
              <w:widowControl/>
              <w:adjustRightInd w:val="0"/>
              <w:snapToGrid w:val="0"/>
              <w:spacing w:line="240" w:lineRule="auto"/>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31" w:type="dxa"/>
            <w:tcBorders>
              <w:tl2br w:val="nil"/>
              <w:tr2bl w:val="nil"/>
            </w:tcBorders>
            <w:vAlign w:val="center"/>
          </w:tcPr>
          <w:p>
            <w:pPr>
              <w:widowControl/>
              <w:adjustRightInd w:val="0"/>
              <w:snapToGrid w:val="0"/>
              <w:spacing w:line="579" w:lineRule="exact"/>
              <w:jc w:val="center"/>
              <w:rPr>
                <w:rFonts w:ascii="方正书宋_GBK" w:eastAsia="方正书宋_GBK"/>
              </w:rPr>
            </w:pPr>
          </w:p>
        </w:tc>
        <w:tc>
          <w:tcPr>
            <w:tcW w:w="1066" w:type="dxa"/>
            <w:tcBorders>
              <w:tl2br w:val="nil"/>
              <w:tr2bl w:val="nil"/>
            </w:tcBorders>
            <w:vAlign w:val="center"/>
          </w:tcPr>
          <w:p>
            <w:pPr>
              <w:widowControl/>
              <w:adjustRightInd w:val="0"/>
              <w:snapToGrid w:val="0"/>
              <w:spacing w:line="579" w:lineRule="exact"/>
              <w:jc w:val="center"/>
              <w:rPr>
                <w:rFonts w:ascii="方正书宋_GBK" w:eastAsia="方正书宋_GBK"/>
              </w:rPr>
            </w:pPr>
            <w:r>
              <w:rPr>
                <w:rFonts w:hint="eastAsia" w:ascii="方正书宋_GBK" w:eastAsia="方正书宋_GBK"/>
              </w:rPr>
              <w:t>满意度</w:t>
            </w:r>
          </w:p>
        </w:tc>
        <w:tc>
          <w:tcPr>
            <w:tcW w:w="1124"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widowControl/>
              <w:adjustRightInd w:val="0"/>
              <w:snapToGrid w:val="0"/>
              <w:spacing w:line="240" w:lineRule="auto"/>
              <w:jc w:val="center"/>
              <w:rPr>
                <w:rFonts w:hint="eastAsia" w:ascii="仿宋_GB2312" w:hAnsi="仿宋_GB2312" w:eastAsia="仿宋_GB2312" w:cs="仿宋_GB2312"/>
              </w:rPr>
            </w:pPr>
          </w:p>
        </w:tc>
        <w:tc>
          <w:tcPr>
            <w:tcW w:w="2111"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p>
            <w:pPr>
              <w:widowControl/>
              <w:adjustRightInd w:val="0"/>
              <w:snapToGrid w:val="0"/>
              <w:spacing w:line="240" w:lineRule="auto"/>
              <w:jc w:val="center"/>
              <w:rPr>
                <w:rFonts w:hint="eastAsia" w:ascii="仿宋_GB2312" w:hAnsi="仿宋_GB2312" w:eastAsia="仿宋_GB2312" w:cs="仿宋_GB2312"/>
              </w:rPr>
            </w:pPr>
          </w:p>
        </w:tc>
        <w:tc>
          <w:tcPr>
            <w:tcW w:w="2079" w:type="dxa"/>
            <w:tcBorders>
              <w:tl2br w:val="nil"/>
              <w:tr2bl w:val="nil"/>
            </w:tcBorders>
            <w:noWrap/>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在校师生的满意程度</w:t>
            </w:r>
          </w:p>
          <w:p>
            <w:pPr>
              <w:widowControl/>
              <w:adjustRightInd w:val="0"/>
              <w:snapToGrid w:val="0"/>
              <w:spacing w:line="240" w:lineRule="auto"/>
              <w:jc w:val="center"/>
              <w:rPr>
                <w:rFonts w:hint="eastAsia" w:ascii="仿宋_GB2312" w:hAnsi="仿宋_GB2312" w:eastAsia="仿宋_GB2312" w:cs="仿宋_GB2312"/>
              </w:rPr>
            </w:pPr>
          </w:p>
        </w:tc>
        <w:tc>
          <w:tcPr>
            <w:tcW w:w="542"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596"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spacing w:line="240" w:lineRule="auto"/>
              <w:jc w:val="center"/>
              <w:rPr>
                <w:rFonts w:hint="eastAsia" w:ascii="仿宋_GB2312" w:hAnsi="仿宋_GB2312" w:eastAsia="仿宋_GB2312" w:cs="仿宋_GB2312"/>
              </w:rPr>
            </w:pPr>
          </w:p>
        </w:tc>
        <w:tc>
          <w:tcPr>
            <w:tcW w:w="1085"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spacing w:line="240" w:lineRule="auto"/>
              <w:jc w:val="center"/>
              <w:rPr>
                <w:rFonts w:hint="eastAsia" w:ascii="仿宋_GB2312" w:hAnsi="仿宋_GB2312" w:eastAsia="仿宋_GB2312" w:cs="仿宋_GB2312"/>
              </w:rPr>
            </w:pPr>
          </w:p>
        </w:tc>
        <w:tc>
          <w:tcPr>
            <w:tcW w:w="11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调查问卷</w:t>
            </w:r>
          </w:p>
          <w:p>
            <w:pPr>
              <w:widowControl/>
              <w:adjustRightInd w:val="0"/>
              <w:snapToGrid w:val="0"/>
              <w:spacing w:line="240" w:lineRule="auto"/>
              <w:jc w:val="center"/>
              <w:rPr>
                <w:rFonts w:hint="eastAsia" w:ascii="仿宋_GB2312" w:hAnsi="仿宋_GB2312" w:eastAsia="仿宋_GB2312" w:cs="仿宋_GB2312"/>
              </w:rPr>
            </w:pP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79" w:lineRule="exact"/>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1.</w:t>
      </w:r>
      <w:bookmarkStart w:id="0" w:name="_Toc29799657"/>
      <w:bookmarkEnd w:id="0"/>
      <w:r>
        <w:rPr>
          <w:rFonts w:hint="eastAsia" w:ascii="仿宋_GB2312" w:hAnsi="仿宋_GB2312" w:eastAsia="仿宋_GB2312" w:cs="仿宋_GB2312"/>
          <w:sz w:val="28"/>
        </w:rPr>
        <w:t xml:space="preserve"> </w:t>
      </w:r>
      <w:r>
        <w:rPr>
          <w:rFonts w:hint="eastAsia" w:ascii="仿宋_GB2312" w:hAnsi="仿宋_GB2312" w:eastAsia="仿宋_GB2312" w:cs="仿宋_GB2312"/>
          <w:color w:val="000000"/>
          <w:sz w:val="28"/>
        </w:rPr>
        <w:t>幼儿园生均经费绩效目标表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1.我园将按照资金使用要求，根据日常需要安排日常办公、维修维护、购买专用材料和玩教具等。2.开展教师培训，提高教师队伍水平.3.开展文体活动，提高幼儿综合素质。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268人</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使用生均公用经费，用于保障学校正常运转的项目支出成本等于400元/生</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400元</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学前教育高质量发展</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该资金用于学校正常运转，改善办学条件，促进学前教育均衡发展及学生素质提高</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问卷调查</w:t>
            </w:r>
          </w:p>
        </w:tc>
      </w:tr>
    </w:tbl>
    <w:p>
      <w:pPr>
        <w:spacing w:line="240" w:lineRule="auto"/>
        <w:ind w:firstLine="560" w:firstLineChars="200"/>
        <w:jc w:val="left"/>
        <w:outlineLvl w:val="1"/>
        <w:rPr>
          <w:rFonts w:hint="eastAsia" w:ascii="仿宋_GB2312" w:hAnsi="仿宋_GB2312" w:eastAsia="仿宋_GB2312" w:cs="仿宋_GB2312"/>
          <w:sz w:val="28"/>
        </w:rPr>
      </w:pPr>
    </w:p>
    <w:p>
      <w:pPr>
        <w:spacing w:line="240" w:lineRule="auto"/>
        <w:ind w:firstLine="560" w:firstLineChars="200"/>
        <w:jc w:val="left"/>
        <w:outlineLvl w:val="1"/>
        <w:rPr>
          <w:rFonts w:hint="eastAsia" w:ascii="仿宋_GB2312" w:hAnsi="仿宋_GB2312" w:eastAsia="仿宋_GB2312" w:cs="仿宋_GB2312"/>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合同制教师人员经费绩效目标表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保障2022合同制教师 19人工资福利</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19人</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p>
            <w:pPr>
              <w:pStyle w:val="14"/>
              <w:spacing w:line="240" w:lineRule="auto"/>
              <w:rPr>
                <w:rFonts w:hint="eastAsia" w:ascii="仿宋_GB2312" w:hAnsi="仿宋_GB2312" w:eastAsia="仿宋_GB2312" w:cs="仿宋_GB2312"/>
                <w:kern w:val="2"/>
                <w:szCs w:val="22"/>
                <w:lang w:eastAsia="zh-CN"/>
              </w:rPr>
            </w:pP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jc w:val="center"/>
              <w:rPr>
                <w:rFonts w:hint="eastAsia" w:ascii="仿宋_GB2312" w:hAnsi="仿宋_GB2312" w:eastAsia="仿宋_GB2312" w:cs="仿宋_GB2312"/>
              </w:rPr>
            </w:pPr>
          </w:p>
        </w:tc>
        <w:tc>
          <w:tcPr>
            <w:tcW w:w="2268"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3402"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1843"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shd w:val="clear" w:color="auto" w:fill="auto"/>
            <w:vAlign w:val="center"/>
          </w:tcPr>
          <w:p>
            <w:pPr>
              <w:pStyle w:val="14"/>
              <w:spacing w:line="240" w:lineRule="auto"/>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spacing w:line="579" w:lineRule="exact"/>
        <w:jc w:val="left"/>
        <w:outlineLvl w:val="1"/>
        <w:rPr>
          <w:rFonts w:ascii="方正小标宋_GBK" w:eastAsia="方正小标宋_GBK" w:cs="Times New Roman"/>
          <w:sz w:val="32"/>
        </w:rPr>
      </w:pPr>
      <w:r>
        <w:t>***廊坊市</w:t>
      </w:r>
      <w:r>
        <w:rPr>
          <w:rFonts w:hint="eastAsia"/>
        </w:rPr>
        <w:t>广阳区第一幼儿园*</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广阳区第一幼儿园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315.15</w:t>
      </w:r>
      <w:r>
        <w:rPr>
          <w:rFonts w:ascii="Times New Roman" w:hAnsi="Times New Roman" w:eastAsia="仿宋_GB2312" w:cs="Times New Roman"/>
          <w:sz w:val="32"/>
          <w:szCs w:val="32"/>
        </w:rPr>
        <w:t>万元，本年度我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8台交互平板大屏</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广阳区第一幼儿园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32"/>
                <w:szCs w:val="32"/>
              </w:rPr>
              <w:t>315.15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1908.34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4506</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185.15</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1AE821-3215-4A02-A1E8-4E4620CAA4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0EDAA3DC-70E9-4D6D-B7D3-44DCC042186B}"/>
  </w:font>
  <w:font w:name="仿宋_GB2312">
    <w:panose1 w:val="02010609030101010101"/>
    <w:charset w:val="86"/>
    <w:family w:val="modern"/>
    <w:pitch w:val="default"/>
    <w:sig w:usb0="00000001" w:usb1="080E0000" w:usb2="00000000" w:usb3="00000000" w:csb0="00040000" w:csb1="00000000"/>
    <w:embedRegular r:id="rId3" w:fontKey="{A5F00D6B-F292-4809-8B0C-90CBB40678C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2166"/>
    <w:rsid w:val="000230E6"/>
    <w:rsid w:val="00042D32"/>
    <w:rsid w:val="000F6018"/>
    <w:rsid w:val="0012502E"/>
    <w:rsid w:val="001D3FC1"/>
    <w:rsid w:val="0025632D"/>
    <w:rsid w:val="003059E0"/>
    <w:rsid w:val="003168B2"/>
    <w:rsid w:val="00391C68"/>
    <w:rsid w:val="004149CC"/>
    <w:rsid w:val="004A54AA"/>
    <w:rsid w:val="004B131B"/>
    <w:rsid w:val="005652BA"/>
    <w:rsid w:val="00586496"/>
    <w:rsid w:val="006365B6"/>
    <w:rsid w:val="006604E3"/>
    <w:rsid w:val="0071242F"/>
    <w:rsid w:val="007F1C88"/>
    <w:rsid w:val="00872BD7"/>
    <w:rsid w:val="00890CC6"/>
    <w:rsid w:val="00944233"/>
    <w:rsid w:val="009B301B"/>
    <w:rsid w:val="009C1FE4"/>
    <w:rsid w:val="00A442E4"/>
    <w:rsid w:val="00A95870"/>
    <w:rsid w:val="00B40732"/>
    <w:rsid w:val="00B80935"/>
    <w:rsid w:val="00B83722"/>
    <w:rsid w:val="00D347CC"/>
    <w:rsid w:val="00D3558A"/>
    <w:rsid w:val="00D874E1"/>
    <w:rsid w:val="00DC72B4"/>
    <w:rsid w:val="00E47057"/>
    <w:rsid w:val="00EB1DB3"/>
    <w:rsid w:val="00ED2389"/>
    <w:rsid w:val="00F253EB"/>
    <w:rsid w:val="00F62E7E"/>
    <w:rsid w:val="00FF46B6"/>
    <w:rsid w:val="0CEC1180"/>
    <w:rsid w:val="40724AC6"/>
    <w:rsid w:val="472043FB"/>
    <w:rsid w:val="4CEC5B1B"/>
    <w:rsid w:val="56C263D1"/>
    <w:rsid w:val="594C6F59"/>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2FF1-FA4E-4501-AC9E-8D7D56A4BA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841</Words>
  <Characters>4795</Characters>
  <Lines>39</Lines>
  <Paragraphs>11</Paragraphs>
  <TotalTime>53</TotalTime>
  <ScaleCrop>false</ScaleCrop>
  <LinksUpToDate>false</LinksUpToDate>
  <CharactersWithSpaces>5625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2023-08-02T00:56:03Z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665DE41880844F56BF8E7DBAFFCAB804</vt:lpwstr>
  </property>
</Properties>
</file>