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廊坊市广阳区第九幼儿园20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按照《中华人民共和国预算法》、《中华人民共和国预算法实施条例》、《地方预决算公开操作规程》和《河北省省级预算公开办法》规定，现将廊坊市广阳区第九幼儿园20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廊坊市广阳区第九幼儿园成立于2020年，2021年9月投入使用，现有教职工</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人，在园幼儿数1</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人，共设置4个寝教一体室，主要职责是对3周岁以上幼儿进行保育和教育。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rPr>
                <w:rFonts w:hint="eastAsia"/>
              </w:rPr>
            </w:pPr>
            <w:r>
              <w:rPr>
                <w:rFonts w:hint="eastAsia"/>
              </w:rPr>
              <w:t>廊坊市广阳区第九幼儿园</w:t>
            </w:r>
          </w:p>
        </w:tc>
        <w:tc>
          <w:tcPr>
            <w:tcW w:w="1134" w:type="dxa"/>
            <w:shd w:val="clear" w:color="auto" w:fill="auto"/>
          </w:tcPr>
          <w:p>
            <w:pPr>
              <w:rPr>
                <w:rFonts w:hint="eastAsia"/>
              </w:rPr>
            </w:pPr>
            <w:r>
              <w:rPr>
                <w:rFonts w:hint="eastAsia"/>
              </w:rPr>
              <w:t>事业</w:t>
            </w:r>
          </w:p>
        </w:tc>
        <w:tc>
          <w:tcPr>
            <w:tcW w:w="1276" w:type="dxa"/>
            <w:shd w:val="clear" w:color="auto" w:fill="auto"/>
          </w:tcPr>
          <w:p>
            <w:pPr>
              <w:rPr>
                <w:rFonts w:hint="eastAsia"/>
              </w:rPr>
            </w:pPr>
            <w:r>
              <w:rPr>
                <w:rFonts w:hint="eastAsia"/>
              </w:rPr>
              <w:t>科级以下</w:t>
            </w:r>
          </w:p>
        </w:tc>
        <w:tc>
          <w:tcPr>
            <w:tcW w:w="2902" w:type="dxa"/>
            <w:shd w:val="clear" w:color="auto" w:fill="auto"/>
          </w:tcPr>
          <w:p>
            <w:r>
              <w:rPr>
                <w:rFonts w:hint="eastAsia"/>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广阳区第九幼儿园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177.31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177.31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广阳区第九幼儿园2022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177.31</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项目支出</w:t>
      </w:r>
      <w:r>
        <w:rPr>
          <w:rFonts w:ascii="Times New Roman" w:hAnsi="Times New Roman" w:eastAsia="仿宋_GB2312" w:cs="Times New Roman"/>
          <w:sz w:val="32"/>
          <w:szCs w:val="32"/>
        </w:rPr>
        <w:t>177.31万元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highlight w:val="none"/>
        </w:rPr>
        <w:t>177.31</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77.31万元，其中：项目支出增加</w:t>
      </w:r>
      <w:r>
        <w:rPr>
          <w:rFonts w:hint="eastAsia" w:ascii="Times New Roman" w:hAnsi="Times New Roman" w:eastAsia="仿宋_GB2312" w:cs="Times New Roman"/>
          <w:sz w:val="32"/>
          <w:szCs w:val="32"/>
          <w:highlight w:val="none"/>
          <w:lang w:val="en-US" w:eastAsia="zh-CN"/>
        </w:rPr>
        <w:t>177.31</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rPr>
        <w:t>幼儿园生均经费</w:t>
      </w:r>
      <w:r>
        <w:rPr>
          <w:rFonts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合同制教师</w:t>
      </w:r>
      <w:r>
        <w:rPr>
          <w:rFonts w:ascii="Times New Roman" w:hAnsi="Times New Roman" w:eastAsia="仿宋_GB2312" w:cs="Times New Roman"/>
          <w:sz w:val="32"/>
          <w:szCs w:val="32"/>
          <w:highlight w:val="none"/>
        </w:rPr>
        <w:t>工资福利项目支出。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三、机关运行经费安排情况</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2022年，我单位无财政拨款“三公”经费预算安排。与2021年相比持平，无增减变化。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螺丝是从严管党治党要求，以习近平新时代中国特色社会主义思想统领教育系统党建工作，强化主体责任，在提升党建工作质量上下真功、用实劲、求实效。</w:t>
      </w:r>
    </w:p>
    <w:p>
      <w:pPr>
        <w:keepNext w:val="0"/>
        <w:keepLines w:val="0"/>
        <w:pageBreakBefore w:val="0"/>
        <w:widowControl w:val="0"/>
        <w:tabs>
          <w:tab w:val="left" w:pos="2142"/>
        </w:tabs>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1、提高学前教育水平、提供免费教科书，解决大班额问题及入学难问题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2、按质按量完成教育教学方面的各项任务，稳步替身而过学校的教育教学质量，学生综合素质评价优秀率达到85%，合格率达到100%。</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幼儿园公用经费水平逐年提高，改善学校办学条件，保障学前教育阶段学校基本教学条件，使学前教育学校教学设施和生活设施满足基本的教学需要。保障后勤社会化服务，资金充足，使学校能正常运转，超大班额现象消除，教师数量、素质、结构基本适应教学需求。</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4、提升学校基础设施设备的整体水平，加强学校基础设备设施的维护，确保校园安全，落实校园防火及其他安全隐患的预防工作。确保校园各设施设备的正常运行。</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各类课题研究，园本研究，加强教师培训和教师交流，提高教师教学水平，调动教师积极性，培养专家型教师人才，加强德育培训与研究，举办各类教育教学、学生社会实践活动，建立学生实践教育基地活动，提高学生的综合素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6、学校的文化宣传整体布局建成学校校史馆，完成各班级、各科室及教师办公室的文化宣传布置，加大幼儿园办学理念、目标的宣传，形成具有特色的校园文化氛围。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7、办人民满意的幼儿园，教师、幼儿、家长整体满意度达到90%以上。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1、成立幼儿园监督小组，监督幼儿园工作，强化工作落实。</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位关于重大节日开展对离退休干部进行走访慰问的指示精神，做好困难党员、群众、老教师、优抚对象、劳动模范的关心帮扶工作，充分体现党和政府对教育工作者的关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4、幼儿园体育、卫生工作根据《幼儿园健康体检管理办法》要求，对在校幼儿每年进行一次常规体检。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幼儿园、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6、加强政治理论学习，强化党风廉政建设，做好师德传承活动，落实老中青传帮带，弘扬办学精神，加强师德宣传与学习活动，开展形式多样、扎实有效的师德教育活动，逐步制定、完善相关制度，规范教师师德、加强园本培训和继续教育工作。提升教师能力，落实教师评价工作，完善考核机制，搭建教师发展平台。</w:t>
      </w: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10"/>
        <w:gridCol w:w="1254"/>
        <w:gridCol w:w="2202"/>
        <w:gridCol w:w="3400"/>
        <w:gridCol w:w="2700"/>
        <w:gridCol w:w="837"/>
        <w:gridCol w:w="837"/>
        <w:gridCol w:w="838"/>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2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4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78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1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6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9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5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25" w:type="pct"/>
            <w:vMerge w:val="continue"/>
            <w:tcBorders>
              <w:tl2br w:val="nil"/>
              <w:tr2bl w:val="nil"/>
            </w:tcBorders>
            <w:vAlign w:val="center"/>
          </w:tcPr>
          <w:p/>
        </w:tc>
        <w:tc>
          <w:tcPr>
            <w:tcW w:w="448" w:type="pct"/>
            <w:vMerge w:val="continue"/>
            <w:tcBorders>
              <w:tl2br w:val="nil"/>
              <w:tr2bl w:val="nil"/>
            </w:tcBorders>
            <w:vAlign w:val="center"/>
          </w:tcPr>
          <w:p/>
        </w:tc>
        <w:tc>
          <w:tcPr>
            <w:tcW w:w="787" w:type="pct"/>
            <w:vMerge w:val="continue"/>
            <w:tcBorders>
              <w:tl2br w:val="nil"/>
              <w:tr2bl w:val="nil"/>
            </w:tcBorders>
            <w:vAlign w:val="center"/>
          </w:tcPr>
          <w:p/>
        </w:tc>
        <w:tc>
          <w:tcPr>
            <w:tcW w:w="1216" w:type="pct"/>
            <w:vMerge w:val="continue"/>
            <w:tcBorders>
              <w:tl2br w:val="nil"/>
              <w:tr2bl w:val="nil"/>
            </w:tcBorders>
            <w:vAlign w:val="center"/>
          </w:tcPr>
          <w:p/>
        </w:tc>
        <w:tc>
          <w:tcPr>
            <w:tcW w:w="965" w:type="pct"/>
            <w:vMerge w:val="continue"/>
            <w:tcBorders>
              <w:tl2br w:val="nil"/>
              <w:tr2bl w:val="nil"/>
            </w:tcBorders>
            <w:vAlign w:val="center"/>
          </w:tcPr>
          <w:p/>
        </w:tc>
        <w:tc>
          <w:tcPr>
            <w:tcW w:w="29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9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9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58"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5" w:hRule="atLeast"/>
          <w:jc w:val="center"/>
        </w:trPr>
        <w:tc>
          <w:tcPr>
            <w:tcW w:w="325"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5" w:hRule="atLeast"/>
          <w:jc w:val="center"/>
        </w:trPr>
        <w:tc>
          <w:tcPr>
            <w:tcW w:w="325" w:type="pct"/>
            <w:vMerge w:val="continue"/>
            <w:tcBorders>
              <w:tl2br w:val="nil"/>
              <w:tr2bl w:val="nil"/>
            </w:tcBorders>
            <w:vAlign w:val="center"/>
          </w:tcPr>
          <w:p>
            <w:pPr>
              <w:widowControl/>
              <w:adjustRightInd w:val="0"/>
              <w:snapToGrid w:val="0"/>
              <w:jc w:val="center"/>
              <w:rPr>
                <w:rFonts w:ascii="方正书宋_GBK" w:eastAsia="方正书宋_GBK"/>
              </w:rPr>
            </w:p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10分不低于95%得满分，否则不得分，每减少1%扣1分，扣完为止</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70" w:hRule="atLeast"/>
          <w:jc w:val="center"/>
        </w:trPr>
        <w:tc>
          <w:tcPr>
            <w:tcW w:w="325" w:type="pct"/>
            <w:vMerge w:val="continue"/>
            <w:tcBorders>
              <w:tl2br w:val="nil"/>
              <w:tr2bl w:val="nil"/>
            </w:tcBorders>
            <w:vAlign w:val="center"/>
          </w:tc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97" w:hRule="atLeast"/>
          <w:jc w:val="center"/>
        </w:trPr>
        <w:tc>
          <w:tcPr>
            <w:tcW w:w="325" w:type="pct"/>
            <w:vMerge w:val="continue"/>
            <w:tcBorders>
              <w:tl2br w:val="nil"/>
              <w:tr2bl w:val="nil"/>
            </w:tcBorders>
            <w:vAlign w:val="center"/>
          </w:tc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642" w:hRule="atLeast"/>
          <w:jc w:val="center"/>
        </w:trPr>
        <w:tc>
          <w:tcPr>
            <w:tcW w:w="325" w:type="pct"/>
            <w:vMerge w:val="continue"/>
            <w:tcBorders>
              <w:tl2br w:val="nil"/>
              <w:tr2bl w:val="nil"/>
            </w:tcBorders>
            <w:vAlign w:val="center"/>
          </w:tcP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教育经 费使用控制率</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教育经费决算数不大于调整预算数得满分</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5" w:hRule="atLeast"/>
          <w:jc w:val="center"/>
        </w:trPr>
        <w:tc>
          <w:tcPr>
            <w:tcW w:w="325"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448"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78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2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10分。支持学前教育发展得10分，不支持不得分</w:t>
            </w:r>
          </w:p>
        </w:tc>
        <w:tc>
          <w:tcPr>
            <w:tcW w:w="96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推动学前教育从数量扩张向质量提高转变</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5" w:hRule="atLeast"/>
          <w:jc w:val="center"/>
        </w:trPr>
        <w:tc>
          <w:tcPr>
            <w:tcW w:w="325" w:type="pct"/>
            <w:vMerge w:val="continue"/>
            <w:tcBorders>
              <w:tl2br w:val="nil"/>
              <w:tr2bl w:val="nil"/>
            </w:tcBorders>
            <w:vAlign w:val="center"/>
          </w:tcPr>
          <w:p/>
        </w:tc>
        <w:tc>
          <w:tcPr>
            <w:tcW w:w="448"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787"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1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10分在校师幼儿的满意度达到95%得满分，每降低1%扣1分，扣完为止。</w:t>
            </w:r>
          </w:p>
        </w:tc>
        <w:tc>
          <w:tcPr>
            <w:tcW w:w="96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在校师幼儿的满意程度</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70" w:hRule="atLeast"/>
          <w:jc w:val="center"/>
        </w:trPr>
        <w:tc>
          <w:tcPr>
            <w:tcW w:w="325" w:type="pct"/>
            <w:tcBorders>
              <w:tl2br w:val="nil"/>
              <w:tr2bl w:val="nil"/>
            </w:tcBorders>
            <w:vAlign w:val="center"/>
          </w:tcPr>
          <w:p/>
        </w:tc>
        <w:tc>
          <w:tcPr>
            <w:tcW w:w="448" w:type="pct"/>
            <w:vMerge w:val="continue"/>
            <w:tcBorders>
              <w:tl2br w:val="nil"/>
              <w:tr2bl w:val="nil"/>
            </w:tcBorders>
            <w:vAlign w:val="center"/>
          </w:tcPr>
          <w:p>
            <w:pPr>
              <w:widowControl/>
              <w:adjustRightInd w:val="0"/>
              <w:snapToGrid w:val="0"/>
              <w:jc w:val="center"/>
              <w:rPr>
                <w:rFonts w:ascii="方正书宋_GBK" w:eastAsia="方正书宋_GBK"/>
              </w:rPr>
            </w:pPr>
          </w:p>
        </w:tc>
        <w:tc>
          <w:tcPr>
            <w:tcW w:w="787"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1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96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29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rPr>
      </w:pPr>
      <w:r>
        <w:rPr>
          <w:rFonts w:hint="eastAsia" w:ascii="仿宋_GB2312" w:hAnsi="仿宋_GB2312" w:eastAsia="仿宋_GB2312" w:cs="仿宋_GB2312"/>
          <w:sz w:val="28"/>
        </w:rPr>
        <w:t>1. .合同制教师人员经费绩效目标表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1.缓解教师短缺，保障教育教学正常的进行</w:t>
            </w:r>
            <w:r>
              <w:rPr>
                <w:rFonts w:hint="eastAsia" w:ascii="仿宋_GB2312" w:hAnsi="仿宋_GB2312" w:eastAsia="仿宋_GB2312" w:cs="仿宋_GB2312"/>
                <w:b w:val="0"/>
                <w:bCs/>
              </w:rPr>
              <w:tab/>
            </w:r>
            <w:r>
              <w:rPr>
                <w:rFonts w:hint="eastAsia" w:ascii="仿宋_GB2312" w:hAnsi="仿宋_GB2312" w:eastAsia="仿宋_GB2312" w:cs="仿宋_GB2312"/>
                <w:b w:val="0"/>
                <w:bCs/>
              </w:rPr>
              <w:tab/>
            </w:r>
            <w:r>
              <w:rPr>
                <w:rFonts w:hint="eastAsia" w:ascii="仿宋_GB2312" w:hAnsi="仿宋_GB2312" w:eastAsia="仿宋_GB2312" w:cs="仿宋_GB2312"/>
                <w:b w:val="0"/>
                <w:bCs/>
              </w:rPr>
              <w:tab/>
            </w:r>
            <w:r>
              <w:rPr>
                <w:rFonts w:hint="eastAsia" w:ascii="仿宋_GB2312" w:hAnsi="仿宋_GB2312" w:eastAsia="仿宋_GB2312" w:cs="仿宋_GB2312"/>
                <w:b w:val="0"/>
                <w:bCs/>
              </w:rPr>
              <w:tab/>
            </w:r>
            <w:r>
              <w:rPr>
                <w:rFonts w:hint="eastAsia" w:ascii="仿宋_GB2312" w:hAnsi="仿宋_GB2312" w:eastAsia="仿宋_GB2312" w:cs="仿宋_GB2312"/>
                <w:b w:val="0"/>
                <w:bCs/>
              </w:rPr>
              <w:tab/>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2.保障合同制教师工资福利待遇，并及时发放。</w:t>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3.学生、学校、家长对合同制教师的满意度达到95%以上</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b w:val="0"/>
                <w:bCs/>
              </w:rPr>
              <w:t>4.保障教学质量，提升教育水平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15人工资福利</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15人</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340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84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缓解</w:t>
            </w:r>
          </w:p>
        </w:tc>
        <w:tc>
          <w:tcPr>
            <w:tcW w:w="215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340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所教幼儿园班级学生满意度</w:t>
            </w:r>
          </w:p>
        </w:tc>
        <w:tc>
          <w:tcPr>
            <w:tcW w:w="184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340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在园教师满意度</w:t>
            </w:r>
          </w:p>
        </w:tc>
        <w:tc>
          <w:tcPr>
            <w:tcW w:w="184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 幼儿园生均经费绩效目标表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156"/>
        <w:gridCol w:w="2350"/>
        <w:gridCol w:w="3867"/>
        <w:gridCol w:w="976"/>
        <w:gridCol w:w="4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64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1.我园2022在园幼儿130人，按照幼儿园生均公用经费标准申请财政预算资金，通过合理、合规使用资金达到保证幼儿园正常运转，改善办学条件，促进幼儿园教育发展。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15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3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8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97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42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数量指标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申请生均公用经费的幼儿人数</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按文件要求申请生均公用经费的幼儿人数</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130人</w:t>
            </w:r>
          </w:p>
        </w:tc>
        <w:tc>
          <w:tcPr>
            <w:tcW w:w="4294"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质量指标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生均公用经费使用的合规率</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生均公用经费使用符合文件中的相关规定</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100%</w:t>
            </w:r>
          </w:p>
        </w:tc>
        <w:tc>
          <w:tcPr>
            <w:tcW w:w="4294"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时效指标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用于保障幼儿园正常运转项目完成及时率</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使用生均公用经费，用于保障幼儿园正常运转的项目完成情况</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100%</w:t>
            </w:r>
          </w:p>
        </w:tc>
        <w:tc>
          <w:tcPr>
            <w:tcW w:w="4294"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成本指标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使用生均公用经费，用于保障幼儿园正常运转的项目支出成本</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使用生均公用经费，用于保障幼儿园正常运转的项目支出成本等于400元/生</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400元/生</w:t>
            </w:r>
          </w:p>
        </w:tc>
        <w:tc>
          <w:tcPr>
            <w:tcW w:w="4294" w:type="dxa"/>
            <w:shd w:val="clear" w:color="auto" w:fill="auto"/>
          </w:tcPr>
          <w:p>
            <w:pPr>
              <w:rPr>
                <w:rFonts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141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社会效益指标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学前教育高质量发展</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该资金用于幼儿园正常运转，改善办学条件，促进学前教育均衡发展及学生素质提高</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支持</w:t>
            </w:r>
          </w:p>
        </w:tc>
        <w:tc>
          <w:tcPr>
            <w:tcW w:w="4294" w:type="dxa"/>
            <w:shd w:val="clear" w:color="auto" w:fill="auto"/>
          </w:tcPr>
          <w:p>
            <w:pPr>
              <w:rPr>
                <w:rFonts w:ascii="Times New Roman" w:hAnsi="Times New Roman" w:eastAsia="仿宋_GB2312" w:cs="Times New Roman"/>
              </w:rPr>
            </w:pPr>
            <w:r>
              <w:rPr>
                <w:rFonts w:hint="eastAsia" w:ascii="Times New Roman" w:hAnsi="Times New Roman" w:eastAsia="仿宋_GB2312" w:cs="Times New Roma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15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服务对象满意度指标</w:t>
            </w:r>
          </w:p>
        </w:tc>
        <w:tc>
          <w:tcPr>
            <w:tcW w:w="2350"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在园师生满意度</w:t>
            </w:r>
          </w:p>
        </w:tc>
        <w:tc>
          <w:tcPr>
            <w:tcW w:w="3867"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在园师生满意度</w:t>
            </w:r>
          </w:p>
        </w:tc>
        <w:tc>
          <w:tcPr>
            <w:tcW w:w="976" w:type="dxa"/>
            <w:shd w:val="clear" w:color="auto" w:fill="auto"/>
          </w:tcPr>
          <w:p>
            <w:pPr>
              <w:rPr>
                <w:rFonts w:hint="eastAsia" w:ascii="Times New Roman" w:hAnsi="Times New Roman" w:eastAsia="仿宋_GB2312" w:cs="Times New Roman"/>
              </w:rPr>
            </w:pPr>
            <w:r>
              <w:rPr>
                <w:rFonts w:hint="eastAsia" w:ascii="Times New Roman" w:hAnsi="Times New Roman" w:eastAsia="仿宋_GB2312" w:cs="Times New Roman"/>
              </w:rPr>
              <w:t>≥90%</w:t>
            </w:r>
          </w:p>
        </w:tc>
        <w:tc>
          <w:tcPr>
            <w:tcW w:w="4294" w:type="dxa"/>
            <w:shd w:val="clear" w:color="auto" w:fill="auto"/>
          </w:tcPr>
          <w:p>
            <w:pPr>
              <w:rPr>
                <w:rFonts w:ascii="Times New Roman" w:hAnsi="Times New Roman" w:eastAsia="仿宋_GB2312" w:cs="Times New Roman"/>
              </w:rPr>
            </w:pPr>
            <w:r>
              <w:rPr>
                <w:rFonts w:hint="eastAsia" w:ascii="Times New Roman" w:hAnsi="Times New Roman" w:eastAsia="仿宋_GB2312" w:cs="Times New Roman"/>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outlineLvl w:val="1"/>
        <w:rPr>
          <w:rFonts w:ascii="方正小标宋_GBK" w:eastAsia="方正小标宋_GBK" w:cs="Times New Roman"/>
          <w:sz w:val="32"/>
        </w:rPr>
      </w:pPr>
      <w:r>
        <w:t>廊坊市</w:t>
      </w:r>
      <w:r>
        <w:rPr>
          <w:rFonts w:hint="eastAsia"/>
        </w:rPr>
        <w:t>广阳区第九幼儿园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政府采购项目来源</w:t>
            </w:r>
          </w:p>
        </w:tc>
        <w:tc>
          <w:tcPr>
            <w:tcW w:w="1134"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采购物品名称</w:t>
            </w:r>
          </w:p>
        </w:tc>
        <w:tc>
          <w:tcPr>
            <w:tcW w:w="1134"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政府采购目录序号</w:t>
            </w:r>
          </w:p>
        </w:tc>
        <w:tc>
          <w:tcPr>
            <w:tcW w:w="709"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计量  单位</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数量</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单价</w:t>
            </w:r>
          </w:p>
        </w:tc>
        <w:tc>
          <w:tcPr>
            <w:tcW w:w="7712" w:type="dxa"/>
            <w:gridSpan w:val="8"/>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政府采购金额（当年</w:t>
            </w:r>
            <w:r>
              <w:rPr>
                <w:rFonts w:hint="eastAsia"/>
                <w:lang w:eastAsia="zh-CN"/>
              </w:rPr>
              <w:t>单位</w:t>
            </w:r>
            <w:r>
              <w:t>预算安排资金）</w:t>
            </w:r>
          </w:p>
        </w:tc>
        <w:tc>
          <w:tcPr>
            <w:tcW w:w="964"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项目名称</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预算    资金</w:t>
            </w:r>
          </w:p>
        </w:tc>
        <w:tc>
          <w:tcPr>
            <w:tcW w:w="1134"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1134"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709"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合计</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一般公共预算拨款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基金预算拨款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国有资本经营预算拨款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财政专户核拨</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单位    资金</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财政拨    款结转</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pPr>
            <w:r>
              <w:t>非财政    拨款结    转结余</w:t>
            </w:r>
          </w:p>
        </w:tc>
        <w:tc>
          <w:tcPr>
            <w:tcW w:w="964" w:type="dxa"/>
            <w:vMerge w:val="continue"/>
          </w:tcPr>
          <w:p>
            <w:pPr>
              <w:keepNext w:val="0"/>
              <w:keepLines w:val="0"/>
              <w:pageBreakBefore w:val="0"/>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eastAsia"/>
                <w:lang w:eastAsia="zh-CN"/>
              </w:rPr>
            </w:pPr>
            <w:r>
              <w:rPr>
                <w:rFonts w:hint="eastAsia"/>
                <w:lang w:eastAsia="zh-CN"/>
              </w:rPr>
              <w:t>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w:t>
      </w:r>
      <w:r>
        <w:rPr>
          <w:rFonts w:hint="eastAsia" w:ascii="Times New Roman" w:hAnsi="Times New Roman" w:eastAsia="仿宋_GB2312" w:cs="Times New Roman"/>
          <w:sz w:val="32"/>
          <w:szCs w:val="32"/>
        </w:rPr>
        <w:t>市广阳区</w:t>
      </w:r>
      <w:r>
        <w:rPr>
          <w:rFonts w:ascii="Times New Roman" w:hAnsi="Times New Roman" w:eastAsia="仿宋_GB2312" w:cs="Times New Roman"/>
          <w:sz w:val="32"/>
          <w:szCs w:val="32"/>
        </w:rPr>
        <w:t>第九幼儿（含所属单位）上年末固定资产金额为0万元。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广阳区第九幼儿园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107C6-C0D5-4FA1-AE42-74F1E684AC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B2B50D16-52E3-4DFE-8D0C-34B948D0BE11}"/>
  </w:font>
  <w:font w:name="仿宋_GB2312">
    <w:panose1 w:val="02010609030101010101"/>
    <w:charset w:val="86"/>
    <w:family w:val="modern"/>
    <w:pitch w:val="default"/>
    <w:sig w:usb0="00000001" w:usb1="080E0000" w:usb2="00000000" w:usb3="00000000" w:csb0="00040000" w:csb1="00000000"/>
    <w:embedRegular r:id="rId3" w:fontKey="{9D4CB0EA-F274-4C6E-8661-B93EC5A8C40E}"/>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87CE2"/>
    <w:multiLevelType w:val="singleLevel"/>
    <w:tmpl w:val="57F87CE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438F"/>
    <w:rsid w:val="000230E6"/>
    <w:rsid w:val="000E6AAC"/>
    <w:rsid w:val="000F6018"/>
    <w:rsid w:val="00145ACF"/>
    <w:rsid w:val="00161684"/>
    <w:rsid w:val="001F4C36"/>
    <w:rsid w:val="0025632D"/>
    <w:rsid w:val="002600DD"/>
    <w:rsid w:val="002E1739"/>
    <w:rsid w:val="003059E0"/>
    <w:rsid w:val="00331CEA"/>
    <w:rsid w:val="004A54AA"/>
    <w:rsid w:val="004C190D"/>
    <w:rsid w:val="00501798"/>
    <w:rsid w:val="006A73B9"/>
    <w:rsid w:val="007130CF"/>
    <w:rsid w:val="00722FD3"/>
    <w:rsid w:val="007B5D93"/>
    <w:rsid w:val="008559EE"/>
    <w:rsid w:val="0087635B"/>
    <w:rsid w:val="008F54DF"/>
    <w:rsid w:val="00904C59"/>
    <w:rsid w:val="00944233"/>
    <w:rsid w:val="0095476F"/>
    <w:rsid w:val="00B40732"/>
    <w:rsid w:val="00B80935"/>
    <w:rsid w:val="00D20C76"/>
    <w:rsid w:val="00D347CC"/>
    <w:rsid w:val="00D67D01"/>
    <w:rsid w:val="00DC72B4"/>
    <w:rsid w:val="00E50E33"/>
    <w:rsid w:val="00E97D5B"/>
    <w:rsid w:val="00EC513B"/>
    <w:rsid w:val="00F52C17"/>
    <w:rsid w:val="00F84F0E"/>
    <w:rsid w:val="0CEC1180"/>
    <w:rsid w:val="18600E68"/>
    <w:rsid w:val="4A7C3313"/>
    <w:rsid w:val="4B5662AC"/>
    <w:rsid w:val="61B95FBE"/>
    <w:rsid w:val="73693C55"/>
    <w:rsid w:val="73DE10D3"/>
    <w:rsid w:val="743A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839</Words>
  <Characters>4788</Characters>
  <Lines>39</Lines>
  <Paragraphs>11</Paragraphs>
  <TotalTime>0</TotalTime>
  <ScaleCrop>false</ScaleCrop>
  <LinksUpToDate>false</LinksUpToDate>
  <CharactersWithSpaces>5616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2023-08-02T01:23:18Z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C1243CD6D9864F279C3808332F51B170</vt:lpwstr>
  </property>
</Properties>
</file>