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6" w:name="_GoBack"/>
      <w:bookmarkEnd w:id="6"/>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廊坊市第</w:t>
      </w:r>
      <w:r>
        <w:rPr>
          <w:rFonts w:hint="eastAsia" w:ascii="Times New Roman" w:hAnsi="Times New Roman" w:eastAsia="方正小标宋简体" w:cs="Times New Roman"/>
          <w:sz w:val="44"/>
          <w:szCs w:val="44"/>
        </w:rPr>
        <w:t>二小</w:t>
      </w:r>
      <w:r>
        <w:rPr>
          <w:rFonts w:ascii="Times New Roman" w:hAnsi="Times New Roman" w:eastAsia="方正小标宋简体" w:cs="Times New Roman"/>
          <w:sz w:val="44"/>
          <w:szCs w:val="44"/>
        </w:rPr>
        <w:t>学20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按照《中华人民共和国预算法》、《中华人民共和国预算法实施条例》、《地方预决算公开操作规程》和《河北省省级预算公开办法》规定，现将廊坊市第</w:t>
      </w:r>
      <w:r>
        <w:rPr>
          <w:rFonts w:hint="eastAsia" w:ascii="Times New Roman" w:hAnsi="Times New Roman" w:eastAsia="仿宋_GB2312" w:cs="Times New Roman"/>
          <w:sz w:val="32"/>
          <w:szCs w:val="32"/>
        </w:rPr>
        <w:t>二小</w:t>
      </w:r>
      <w:r>
        <w:rPr>
          <w:rFonts w:ascii="Times New Roman" w:hAnsi="Times New Roman" w:eastAsia="仿宋_GB2312" w:cs="Times New Roman"/>
          <w:sz w:val="32"/>
          <w:szCs w:val="32"/>
        </w:rPr>
        <w:t>学20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1、贯彻执行党和国家的教育方针、政策、法律法规，制定我校的长远规划和年度计划，并组织实施。</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2、负责教育基本信息的统计、分析。</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3、推进义务教育均衡发展和促进教育公平，全面实施素质教育。</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4、负责学校教师队伍的建设和管理，提高教师队伍素质</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5、负责本</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教育经费的统筹管理，教育经费预决算工作，教育经费的管理和使用；统筹规划和管理学校基本建设和设施的配置及计划统计工作。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6、管理学校的党建、思想政治、宣传统战和维护稳定以及德育、体育、卫生防疫与艺术教育、国防教育工作。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7、负责做好学校的学生综合评价工作；负责管理本校教师学历教育及培训工作。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8、负责组织开展学校教育的督导评估、检查验收、质量监测等工作。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9、负责学校党的政治建设、思想建设、组织建设、作风建设、纪律建设和制度建设。</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10、负责学校学生和教师的思想政治工作，学校思想政治队伍建设和学校校本课程教育教学。</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11、负责学校安全稳定工作。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12、做好上级</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交办的其他事项。</w:t>
      </w:r>
    </w:p>
    <w:p>
      <w:pPr>
        <w:spacing w:line="584" w:lineRule="exact"/>
        <w:jc w:val="left"/>
        <w:outlineLvl w:val="0"/>
        <w:rPr>
          <w:rFonts w:ascii="Times New Roman" w:hAnsi="Times New Roman" w:eastAsia="楷体_GB2312" w:cs="Times New Roman"/>
          <w:b/>
          <w:sz w:val="32"/>
          <w:szCs w:val="32"/>
        </w:rPr>
      </w:pPr>
    </w:p>
    <w:p>
      <w:pPr>
        <w:spacing w:line="584" w:lineRule="exact"/>
        <w:jc w:val="left"/>
        <w:outlineLvl w:val="0"/>
        <w:rPr>
          <w:rFonts w:ascii="Times New Roman" w:hAnsi="Times New Roman" w:eastAsia="楷体_GB2312" w:cs="Times New Roman"/>
          <w:b/>
          <w:sz w:val="32"/>
          <w:szCs w:val="32"/>
        </w:rPr>
      </w:pPr>
    </w:p>
    <w:p>
      <w:pPr>
        <w:spacing w:line="584" w:lineRule="exact"/>
        <w:jc w:val="left"/>
        <w:outlineLvl w:val="0"/>
        <w:rPr>
          <w:rFonts w:ascii="Times New Roman" w:hAnsi="Times New Roman" w:eastAsia="仿宋_GB2312" w:cs="Times New Roman"/>
          <w:b/>
          <w:sz w:val="32"/>
          <w:szCs w:val="24"/>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11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02"/>
        <w:gridCol w:w="1857"/>
        <w:gridCol w:w="1687"/>
        <w:gridCol w:w="41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2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857"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687"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411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blHeader/>
          <w:jc w:val="center"/>
        </w:trPr>
        <w:tc>
          <w:tcPr>
            <w:tcW w:w="4202" w:type="dxa"/>
            <w:vMerge w:val="continue"/>
            <w:shd w:val="clear" w:color="auto" w:fill="auto"/>
            <w:vAlign w:val="center"/>
          </w:tcPr>
          <w:p/>
        </w:tc>
        <w:tc>
          <w:tcPr>
            <w:tcW w:w="1857" w:type="dxa"/>
            <w:vMerge w:val="continue"/>
            <w:shd w:val="clear" w:color="auto" w:fill="auto"/>
            <w:vAlign w:val="center"/>
          </w:tcPr>
          <w:p/>
        </w:tc>
        <w:tc>
          <w:tcPr>
            <w:tcW w:w="1687" w:type="dxa"/>
            <w:vMerge w:val="continue"/>
            <w:shd w:val="clear" w:color="auto" w:fill="auto"/>
            <w:vAlign w:val="center"/>
          </w:tcPr>
          <w:p/>
        </w:tc>
        <w:tc>
          <w:tcPr>
            <w:tcW w:w="411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2" w:hRule="atLeast"/>
          <w:jc w:val="center"/>
        </w:trPr>
        <w:tc>
          <w:tcPr>
            <w:tcW w:w="42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廊坊市第二小学</w:t>
            </w:r>
          </w:p>
        </w:tc>
        <w:tc>
          <w:tcPr>
            <w:tcW w:w="1857"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事业</w:t>
            </w:r>
          </w:p>
        </w:tc>
        <w:tc>
          <w:tcPr>
            <w:tcW w:w="1687" w:type="dxa"/>
            <w:shd w:val="clear" w:color="auto" w:fill="auto"/>
            <w:vAlign w:val="center"/>
          </w:tcPr>
          <w:p>
            <w:pPr>
              <w:spacing w:line="584" w:lineRule="exact"/>
              <w:rPr>
                <w:rFonts w:ascii="Times New Roman" w:hAnsi="Times New Roman" w:eastAsia="仿宋_GB2312" w:cs="Times New Roman"/>
                <w:b/>
              </w:rPr>
            </w:pPr>
          </w:p>
        </w:tc>
        <w:tc>
          <w:tcPr>
            <w:tcW w:w="4112" w:type="dxa"/>
            <w:shd w:val="clear" w:color="auto" w:fill="auto"/>
            <w:vAlign w:val="center"/>
          </w:tcPr>
          <w:p>
            <w:pPr>
              <w:spacing w:line="584" w:lineRule="exact"/>
              <w:jc w:val="center"/>
              <w:rPr>
                <w:rFonts w:ascii="仿宋_GB2312" w:hAnsi="Times New Roman" w:eastAsia="仿宋_GB2312" w:cs="Times New Roman"/>
                <w:b/>
                <w:szCs w:val="21"/>
              </w:rPr>
            </w:pPr>
            <w:r>
              <w:rPr>
                <w:rFonts w:hint="eastAsia" w:ascii="仿宋_GB2312" w:hAnsi="Times New Roman" w:eastAsia="仿宋_GB2312" w:cs="Times New Roman"/>
                <w:b/>
                <w:szCs w:val="21"/>
              </w:rPr>
              <w:t>财政性资金基本保证（全额事业）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预算的编制实行综合预算制度，即全部收入和支出都反映在预算中。廊坊市第</w:t>
      </w:r>
      <w:r>
        <w:rPr>
          <w:rFonts w:hint="eastAsia" w:ascii="Times New Roman" w:hAnsi="Times New Roman" w:eastAsia="仿宋_GB2312" w:cs="Times New Roman"/>
          <w:sz w:val="32"/>
          <w:szCs w:val="32"/>
        </w:rPr>
        <w:t>二小</w:t>
      </w:r>
      <w:r>
        <w:rPr>
          <w:rFonts w:ascii="Times New Roman" w:hAnsi="Times New Roman" w:eastAsia="仿宋_GB2312" w:cs="Times New Roman"/>
          <w:sz w:val="32"/>
          <w:szCs w:val="32"/>
        </w:rPr>
        <w:t>学的收支包含在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1036.77</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1036.77</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收支预算总表支出栏、基本支出表、项目支出表按经济分类和支出功能分类科目编制，反映廊坊市第</w:t>
      </w:r>
      <w:r>
        <w:rPr>
          <w:rFonts w:hint="eastAsia" w:ascii="Times New Roman" w:hAnsi="Times New Roman" w:eastAsia="仿宋_GB2312" w:cs="Times New Roman"/>
          <w:sz w:val="32"/>
          <w:szCs w:val="32"/>
        </w:rPr>
        <w:t>二小</w:t>
      </w:r>
      <w:r>
        <w:rPr>
          <w:rFonts w:ascii="Times New Roman" w:hAnsi="Times New Roman" w:eastAsia="仿宋_GB2312" w:cs="Times New Roman"/>
          <w:sz w:val="32"/>
          <w:szCs w:val="32"/>
        </w:rPr>
        <w:t>学</w:t>
      </w:r>
      <w:r>
        <w:rPr>
          <w:rFonts w:hint="eastAsia" w:ascii="Times New Roman" w:hAnsi="Times New Roman" w:eastAsia="仿宋_GB2312" w:cs="Times New Roman"/>
          <w:sz w:val="32"/>
          <w:szCs w:val="32"/>
        </w:rPr>
        <w:t>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1036.77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839.46</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828.55</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10.91</w:t>
      </w:r>
      <w:r>
        <w:rPr>
          <w:rFonts w:ascii="Times New Roman" w:hAnsi="Times New Roman" w:eastAsia="仿宋_GB2312" w:cs="Times New Roman"/>
          <w:sz w:val="32"/>
          <w:szCs w:val="32"/>
        </w:rPr>
        <w:t>万元；运转类其他及特定目标类项目支</w:t>
      </w:r>
      <w:r>
        <w:rPr>
          <w:rFonts w:hint="eastAsia" w:ascii="Times New Roman" w:hAnsi="Times New Roman" w:eastAsia="仿宋_GB2312" w:cs="Times New Roman"/>
          <w:sz w:val="32"/>
          <w:szCs w:val="32"/>
        </w:rPr>
        <w:t>出197.31</w:t>
      </w:r>
      <w:r>
        <w:rPr>
          <w:rFonts w:ascii="Times New Roman" w:hAnsi="Times New Roman" w:eastAsia="仿宋_GB2312" w:cs="Times New Roman"/>
          <w:sz w:val="32"/>
          <w:szCs w:val="32"/>
        </w:rPr>
        <w:t>万元</w:t>
      </w:r>
      <w:r>
        <w:rPr>
          <w:rFonts w:ascii="Times New Roman" w:hAnsi="Times New Roman" w:eastAsia="仿宋_GB2312" w:cs="Times New Roman"/>
          <w:color w:val="000000" w:themeColor="text1"/>
          <w:sz w:val="32"/>
          <w:szCs w:val="32"/>
          <w14:textFill>
            <w14:solidFill>
              <w14:schemeClr w14:val="tx1"/>
            </w14:solidFill>
          </w14:textFill>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1036.77</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rPr>
        <w:t>增加71.22</w:t>
      </w:r>
      <w:r>
        <w:rPr>
          <w:rFonts w:ascii="Times New Roman" w:hAnsi="Times New Roman" w:eastAsia="仿宋_GB2312" w:cs="Times New Roman"/>
          <w:sz w:val="32"/>
          <w:szCs w:val="32"/>
        </w:rPr>
        <w:t>万元，其中：基本支出减少60.02万元，主要为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131.24</w:t>
      </w:r>
      <w:r>
        <w:rPr>
          <w:rFonts w:ascii="Times New Roman" w:hAnsi="Times New Roman" w:eastAsia="仿宋_GB2312" w:cs="Times New Roman"/>
          <w:sz w:val="32"/>
          <w:szCs w:val="32"/>
        </w:rPr>
        <w:t>万元，主要为</w:t>
      </w:r>
      <w:r>
        <w:rPr>
          <w:rFonts w:hint="eastAsia" w:ascii="Times New Roman" w:hAnsi="Times New Roman" w:eastAsia="仿宋_GB2312" w:cs="Times New Roman"/>
          <w:color w:val="000000" w:themeColor="text1"/>
          <w:sz w:val="32"/>
          <w:szCs w:val="32"/>
          <w14:textFill>
            <w14:solidFill>
              <w14:schemeClr w14:val="tx1"/>
            </w14:solidFill>
          </w14:textFill>
        </w:rPr>
        <w:t>教育经费、合同制教师人员经费</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84" w:lineRule="exact"/>
        <w:ind w:firstLine="787" w:firstLineChars="246"/>
        <w:jc w:val="left"/>
        <w:rPr>
          <w:rFonts w:ascii="黑体" w:hAnsi="黑体" w:eastAsia="黑体" w:cs="Times New Roman"/>
          <w:bCs/>
          <w:sz w:val="32"/>
          <w:szCs w:val="32"/>
        </w:rPr>
      </w:pPr>
      <w:r>
        <w:rPr>
          <w:rFonts w:ascii="黑体" w:hAnsi="黑体" w:eastAsia="黑体" w:cs="Times New Roman"/>
          <w:bCs/>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color w:val="000000" w:themeColor="text1"/>
          <w:sz w:val="32"/>
          <w:szCs w:val="32"/>
          <w14:textFill>
            <w14:solidFill>
              <w14:schemeClr w14:val="tx1"/>
            </w14:solidFill>
          </w14:textFill>
        </w:rPr>
        <w:t>与20</w:t>
      </w: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1年相比</w:t>
      </w:r>
      <w:r>
        <w:rPr>
          <w:rFonts w:hint="eastAsia" w:ascii="Times New Roman" w:hAnsi="Times New Roman" w:eastAsia="仿宋_GB2312" w:cs="Times New Roman"/>
          <w:color w:val="000000" w:themeColor="text1"/>
          <w:sz w:val="32"/>
          <w:szCs w:val="32"/>
          <w14:textFill>
            <w14:solidFill>
              <w14:schemeClr w14:val="tx1"/>
            </w14:solidFill>
          </w14:textFill>
        </w:rPr>
        <w:t>持平，</w:t>
      </w:r>
      <w:r>
        <w:rPr>
          <w:rFonts w:ascii="Times New Roman" w:hAnsi="Times New Roman" w:eastAsia="仿宋_GB2312" w:cs="Times New Roman"/>
          <w:color w:val="000000" w:themeColor="text1"/>
          <w:sz w:val="32"/>
          <w:szCs w:val="32"/>
          <w14:textFill>
            <w14:solidFill>
              <w14:schemeClr w14:val="tx1"/>
            </w14:solidFill>
          </w14:textFill>
        </w:rPr>
        <w:t>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1、提高义务教育水平，免除城市区中小学生学杂费，提供免费教科书，解决大班额问题及入学难问题。对贫困中小学生进行补助。</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2、按质按量完成教育教学方面的各项任务，稳步提升学校的教育教学质量，学生综合素质评价优秀率达到85%,合格率达到100%。</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4、提升学校基础设施设备的整体水平。加强学校基础设施设备的维护,确保校园安全,落实校园防火及其他安全隐患的预防工作。确保校园各设施设备的正常运行。</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6、学校的文化宣传整体布局,建成学校校史馆,完成各班级、各科室及教师办公室的文化宣传布置。加大学校办学理念、目标的宣传,形成具有特色的校园文化氛围。</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7、办人民满意的学校,教师、学生、家长整体满意度达到90%以上。</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1、成立学校监督小组，监督学校工作，强化工作落实。</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8、加强政治理论学习，强化党风廉政建设。做好师德传承活动，落实老中青传帮带。弘扬办学精神。加强师德宣传与学习活动。开展形式多样、扎实有效的师德教育活动。</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逐步制订、完善相关制度，规范教师师德。加强校本培训和继续教育工作，提升教师能力。落实教师评价工作，完善考核机制。搭建教师发展平台。</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50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608"/>
        <w:gridCol w:w="1613"/>
        <w:gridCol w:w="2089"/>
        <w:gridCol w:w="3560"/>
        <w:gridCol w:w="718"/>
        <w:gridCol w:w="707"/>
        <w:gridCol w:w="1329"/>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000" w:type="pct"/>
            <w:gridSpan w:val="9"/>
            <w:shd w:val="clear" w:color="auto" w:fill="auto"/>
            <w:vAlign w:val="center"/>
          </w:tcPr>
          <w:p>
            <w:pPr>
              <w:widowControl/>
              <w:jc w:val="center"/>
              <w:textAlignment w:val="center"/>
              <w:rPr>
                <w:rFonts w:ascii="normal" w:hAnsi="normal" w:eastAsia="normal" w:cs="normal"/>
                <w:b/>
                <w:bCs/>
                <w:color w:val="000000"/>
                <w:sz w:val="33"/>
                <w:szCs w:val="33"/>
              </w:rPr>
            </w:pPr>
            <w:r>
              <w:rPr>
                <w:rFonts w:hint="eastAsia" w:ascii="normal" w:hAnsi="normal" w:cs="normal"/>
                <w:b/>
                <w:bCs/>
                <w:color w:val="000000"/>
                <w:kern w:val="0"/>
                <w:sz w:val="33"/>
                <w:szCs w:val="33"/>
                <w:lang w:eastAsia="zh-CN" w:bidi="ar"/>
              </w:rPr>
              <w:t>单位</w:t>
            </w:r>
            <w:r>
              <w:rPr>
                <w:rFonts w:ascii="normal" w:hAnsi="normal" w:eastAsia="normal" w:cs="normal"/>
                <w:b/>
                <w:bCs/>
                <w:color w:val="000000"/>
                <w:kern w:val="0"/>
                <w:sz w:val="33"/>
                <w:szCs w:val="33"/>
                <w:lang w:bidi="ar"/>
              </w:rPr>
              <w:t>整体支出绩效指标情况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3" w:type="pct"/>
            <w:vMerge w:val="restar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一级指标</w:t>
            </w:r>
          </w:p>
        </w:tc>
        <w:tc>
          <w:tcPr>
            <w:tcW w:w="571" w:type="pct"/>
            <w:vMerge w:val="restar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二级指标</w:t>
            </w:r>
          </w:p>
        </w:tc>
        <w:tc>
          <w:tcPr>
            <w:tcW w:w="572" w:type="pct"/>
            <w:vMerge w:val="restar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三级指标</w:t>
            </w:r>
          </w:p>
        </w:tc>
        <w:tc>
          <w:tcPr>
            <w:tcW w:w="742" w:type="pct"/>
            <w:vMerge w:val="restar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绩效指标描述</w:t>
            </w:r>
          </w:p>
        </w:tc>
        <w:tc>
          <w:tcPr>
            <w:tcW w:w="1264" w:type="pct"/>
            <w:vMerge w:val="restar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评（扣）分标准</w:t>
            </w:r>
          </w:p>
        </w:tc>
        <w:tc>
          <w:tcPr>
            <w:tcW w:w="978" w:type="pct"/>
            <w:gridSpan w:val="3"/>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指标值</w:t>
            </w:r>
          </w:p>
        </w:tc>
        <w:tc>
          <w:tcPr>
            <w:tcW w:w="467" w:type="pct"/>
            <w:vMerge w:val="restar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03" w:type="pct"/>
            <w:vMerge w:val="continue"/>
            <w:shd w:val="clear" w:color="auto" w:fill="auto"/>
            <w:vAlign w:val="center"/>
          </w:tcPr>
          <w:p>
            <w:pPr>
              <w:jc w:val="center"/>
              <w:rPr>
                <w:rFonts w:ascii="宋体" w:hAnsi="宋体" w:cs="宋体"/>
                <w:color w:val="000000"/>
                <w:sz w:val="22"/>
              </w:rPr>
            </w:pPr>
          </w:p>
        </w:tc>
        <w:tc>
          <w:tcPr>
            <w:tcW w:w="571" w:type="pct"/>
            <w:vMerge w:val="continue"/>
            <w:shd w:val="clear" w:color="auto" w:fill="auto"/>
            <w:vAlign w:val="center"/>
          </w:tcPr>
          <w:p>
            <w:pPr>
              <w:jc w:val="center"/>
              <w:rPr>
                <w:rFonts w:ascii="宋体" w:hAnsi="宋体" w:cs="宋体"/>
                <w:color w:val="000000"/>
                <w:sz w:val="22"/>
              </w:rPr>
            </w:pPr>
          </w:p>
        </w:tc>
        <w:tc>
          <w:tcPr>
            <w:tcW w:w="572" w:type="pct"/>
            <w:vMerge w:val="continue"/>
            <w:shd w:val="clear" w:color="auto" w:fill="auto"/>
            <w:vAlign w:val="center"/>
          </w:tcPr>
          <w:p>
            <w:pPr>
              <w:jc w:val="center"/>
              <w:rPr>
                <w:rFonts w:ascii="宋体" w:hAnsi="宋体" w:cs="宋体"/>
                <w:color w:val="000000"/>
                <w:sz w:val="22"/>
              </w:rPr>
            </w:pPr>
          </w:p>
        </w:tc>
        <w:tc>
          <w:tcPr>
            <w:tcW w:w="742" w:type="pct"/>
            <w:vMerge w:val="continue"/>
            <w:shd w:val="clear" w:color="auto" w:fill="auto"/>
            <w:vAlign w:val="center"/>
          </w:tcPr>
          <w:p>
            <w:pPr>
              <w:jc w:val="center"/>
              <w:rPr>
                <w:rFonts w:ascii="宋体" w:hAnsi="宋体" w:cs="宋体"/>
                <w:color w:val="000000"/>
                <w:sz w:val="22"/>
              </w:rPr>
            </w:pPr>
          </w:p>
        </w:tc>
        <w:tc>
          <w:tcPr>
            <w:tcW w:w="1264" w:type="pct"/>
            <w:vMerge w:val="continue"/>
            <w:shd w:val="clear" w:color="auto" w:fill="auto"/>
            <w:vAlign w:val="center"/>
          </w:tcPr>
          <w:p>
            <w:pPr>
              <w:jc w:val="center"/>
              <w:rPr>
                <w:rFonts w:ascii="宋体" w:hAnsi="宋体" w:cs="宋体"/>
                <w:color w:val="000000"/>
                <w:sz w:val="22"/>
              </w:rPr>
            </w:pPr>
          </w:p>
        </w:tc>
        <w:tc>
          <w:tcPr>
            <w:tcW w:w="255" w:type="pc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符号</w:t>
            </w:r>
          </w:p>
        </w:tc>
        <w:tc>
          <w:tcPr>
            <w:tcW w:w="251" w:type="pc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值</w:t>
            </w:r>
          </w:p>
        </w:tc>
        <w:tc>
          <w:tcPr>
            <w:tcW w:w="472" w:type="pc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单位（文字描述）</w:t>
            </w:r>
          </w:p>
        </w:tc>
        <w:tc>
          <w:tcPr>
            <w:tcW w:w="467" w:type="pct"/>
            <w:vMerge w:val="continue"/>
            <w:shd w:val="clear" w:color="auto" w:fill="auto"/>
            <w:vAlign w:val="center"/>
          </w:tcPr>
          <w:p>
            <w:pPr>
              <w:jc w:val="cente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3" w:type="pct"/>
            <w:vMerge w:val="restart"/>
            <w:shd w:val="clear" w:color="auto" w:fill="auto"/>
            <w:noWrap/>
          </w:tcPr>
          <w:p>
            <w:pPr>
              <w:widowControl/>
              <w:jc w:val="left"/>
              <w:textAlignment w:val="top"/>
              <w:rPr>
                <w:rFonts w:cs="Calibri"/>
                <w:color w:val="000000"/>
                <w:sz w:val="22"/>
              </w:rPr>
            </w:pPr>
            <w:r>
              <w:rPr>
                <w:rFonts w:cs="Calibri"/>
                <w:color w:val="000000"/>
                <w:kern w:val="0"/>
                <w:sz w:val="22"/>
                <w:lang w:bidi="ar"/>
              </w:rPr>
              <w:t>产出指标</w:t>
            </w:r>
          </w:p>
        </w:tc>
        <w:tc>
          <w:tcPr>
            <w:tcW w:w="571" w:type="pct"/>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数量指标</w:t>
            </w:r>
          </w:p>
        </w:tc>
        <w:tc>
          <w:tcPr>
            <w:tcW w:w="5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小学生毕业生合格率</w:t>
            </w:r>
          </w:p>
        </w:tc>
        <w:tc>
          <w:tcPr>
            <w:tcW w:w="74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小学生毕业生合格率</w:t>
            </w:r>
          </w:p>
        </w:tc>
        <w:tc>
          <w:tcPr>
            <w:tcW w:w="1264"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20分毕业生合格率100%得满分，否则不得分</w:t>
            </w:r>
          </w:p>
        </w:tc>
        <w:tc>
          <w:tcPr>
            <w:tcW w:w="25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251"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100</w:t>
            </w:r>
          </w:p>
        </w:tc>
        <w:tc>
          <w:tcPr>
            <w:tcW w:w="4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467"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3" w:type="pct"/>
            <w:vMerge w:val="continue"/>
            <w:shd w:val="clear" w:color="auto" w:fill="auto"/>
            <w:noWrap/>
          </w:tcPr>
          <w:p>
            <w:pPr>
              <w:jc w:val="left"/>
              <w:rPr>
                <w:rFonts w:cs="Calibri"/>
                <w:color w:val="000000"/>
                <w:sz w:val="22"/>
              </w:rPr>
            </w:pPr>
          </w:p>
        </w:tc>
        <w:tc>
          <w:tcPr>
            <w:tcW w:w="571" w:type="pct"/>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数量指标</w:t>
            </w:r>
          </w:p>
        </w:tc>
        <w:tc>
          <w:tcPr>
            <w:tcW w:w="5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重点工作实际完成率</w:t>
            </w:r>
          </w:p>
        </w:tc>
        <w:tc>
          <w:tcPr>
            <w:tcW w:w="74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重点工作实际完成率</w:t>
            </w:r>
          </w:p>
        </w:tc>
        <w:tc>
          <w:tcPr>
            <w:tcW w:w="1264"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10分不低于95%得满分，否则不得分5每减少1%扣1分，扣完为止</w:t>
            </w:r>
          </w:p>
        </w:tc>
        <w:tc>
          <w:tcPr>
            <w:tcW w:w="25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251"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95</w:t>
            </w:r>
          </w:p>
        </w:tc>
        <w:tc>
          <w:tcPr>
            <w:tcW w:w="4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467"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3" w:type="pct"/>
            <w:vMerge w:val="continue"/>
            <w:shd w:val="clear" w:color="auto" w:fill="auto"/>
            <w:noWrap/>
          </w:tcPr>
          <w:p>
            <w:pPr>
              <w:jc w:val="left"/>
              <w:rPr>
                <w:rFonts w:cs="Calibri"/>
                <w:color w:val="000000"/>
                <w:sz w:val="22"/>
              </w:rPr>
            </w:pPr>
          </w:p>
        </w:tc>
        <w:tc>
          <w:tcPr>
            <w:tcW w:w="571" w:type="pct"/>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质量指标</w:t>
            </w:r>
          </w:p>
        </w:tc>
        <w:tc>
          <w:tcPr>
            <w:tcW w:w="5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采购物资、建设工程合格率</w:t>
            </w:r>
          </w:p>
        </w:tc>
        <w:tc>
          <w:tcPr>
            <w:tcW w:w="74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采购物资、建设工程合格率</w:t>
            </w:r>
          </w:p>
        </w:tc>
        <w:tc>
          <w:tcPr>
            <w:tcW w:w="1264" w:type="pct"/>
            <w:shd w:val="clear" w:color="auto" w:fill="auto"/>
            <w:noWrap/>
          </w:tcPr>
          <w:p>
            <w:pPr>
              <w:widowControl/>
              <w:tabs>
                <w:tab w:val="left" w:pos="7560"/>
                <w:tab w:val="left" w:pos="8820"/>
              </w:tabs>
              <w:ind w:left="420" w:leftChars="200"/>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20分合格率100%得满分，否则不得分</w:t>
            </w:r>
          </w:p>
        </w:tc>
        <w:tc>
          <w:tcPr>
            <w:tcW w:w="25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251"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100</w:t>
            </w:r>
          </w:p>
        </w:tc>
        <w:tc>
          <w:tcPr>
            <w:tcW w:w="4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467"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3" w:type="pct"/>
            <w:vMerge w:val="continue"/>
            <w:shd w:val="clear" w:color="auto" w:fill="auto"/>
            <w:noWrap/>
          </w:tcPr>
          <w:p>
            <w:pPr>
              <w:jc w:val="left"/>
              <w:rPr>
                <w:rFonts w:cs="Calibri"/>
                <w:color w:val="000000"/>
                <w:sz w:val="22"/>
              </w:rPr>
            </w:pPr>
          </w:p>
        </w:tc>
        <w:tc>
          <w:tcPr>
            <w:tcW w:w="571" w:type="pct"/>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时效指标</w:t>
            </w:r>
          </w:p>
        </w:tc>
        <w:tc>
          <w:tcPr>
            <w:tcW w:w="5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学校的各项工作任务及时完成情况</w:t>
            </w:r>
          </w:p>
        </w:tc>
        <w:tc>
          <w:tcPr>
            <w:tcW w:w="74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学校的各项工作任务及时完成情况</w:t>
            </w:r>
          </w:p>
        </w:tc>
        <w:tc>
          <w:tcPr>
            <w:tcW w:w="1264"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10分及时完成得满分，否则不得分</w:t>
            </w:r>
          </w:p>
        </w:tc>
        <w:tc>
          <w:tcPr>
            <w:tcW w:w="25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文字描述</w:t>
            </w:r>
          </w:p>
        </w:tc>
        <w:tc>
          <w:tcPr>
            <w:tcW w:w="251" w:type="pct"/>
            <w:shd w:val="clear" w:color="auto" w:fill="auto"/>
            <w:noWrap/>
          </w:tcPr>
          <w:p>
            <w:pPr>
              <w:jc w:val="left"/>
              <w:rPr>
                <w:rFonts w:hint="eastAsia" w:ascii="仿宋_GB2312" w:hAnsi="仿宋_GB2312" w:eastAsia="仿宋_GB2312" w:cs="仿宋_GB2312"/>
                <w:color w:val="000000"/>
                <w:sz w:val="22"/>
              </w:rPr>
            </w:pPr>
          </w:p>
        </w:tc>
        <w:tc>
          <w:tcPr>
            <w:tcW w:w="4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及时</w:t>
            </w:r>
          </w:p>
        </w:tc>
        <w:tc>
          <w:tcPr>
            <w:tcW w:w="467"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3" w:type="pct"/>
            <w:vMerge w:val="continue"/>
            <w:shd w:val="clear" w:color="auto" w:fill="auto"/>
            <w:noWrap/>
          </w:tcPr>
          <w:p>
            <w:pPr>
              <w:jc w:val="left"/>
              <w:rPr>
                <w:rFonts w:cs="Calibri"/>
                <w:color w:val="000000"/>
                <w:sz w:val="22"/>
              </w:rPr>
            </w:pPr>
          </w:p>
        </w:tc>
        <w:tc>
          <w:tcPr>
            <w:tcW w:w="571" w:type="pct"/>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成本指标</w:t>
            </w:r>
          </w:p>
        </w:tc>
        <w:tc>
          <w:tcPr>
            <w:tcW w:w="5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教育经费使用控制率</w:t>
            </w:r>
          </w:p>
        </w:tc>
        <w:tc>
          <w:tcPr>
            <w:tcW w:w="74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支出的公用经费总额与预算安排的比率</w:t>
            </w:r>
          </w:p>
        </w:tc>
        <w:tc>
          <w:tcPr>
            <w:tcW w:w="1264"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10分教育经费决算数不大于调整预算数得满分，否则不得分</w:t>
            </w:r>
          </w:p>
        </w:tc>
        <w:tc>
          <w:tcPr>
            <w:tcW w:w="25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文字描述</w:t>
            </w:r>
          </w:p>
        </w:tc>
        <w:tc>
          <w:tcPr>
            <w:tcW w:w="251" w:type="pct"/>
            <w:shd w:val="clear" w:color="auto" w:fill="auto"/>
            <w:noWrap/>
          </w:tcPr>
          <w:p>
            <w:pPr>
              <w:jc w:val="left"/>
              <w:rPr>
                <w:rFonts w:hint="eastAsia" w:ascii="仿宋_GB2312" w:hAnsi="仿宋_GB2312" w:eastAsia="仿宋_GB2312" w:cs="仿宋_GB2312"/>
                <w:color w:val="000000"/>
                <w:sz w:val="22"/>
              </w:rPr>
            </w:pPr>
          </w:p>
        </w:tc>
        <w:tc>
          <w:tcPr>
            <w:tcW w:w="4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教育经费决算数不大于调整预算数</w:t>
            </w:r>
          </w:p>
        </w:tc>
        <w:tc>
          <w:tcPr>
            <w:tcW w:w="467"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3" w:type="pct"/>
            <w:shd w:val="clear" w:color="auto" w:fill="auto"/>
            <w:noWrap/>
          </w:tcPr>
          <w:p>
            <w:pPr>
              <w:widowControl/>
              <w:jc w:val="left"/>
              <w:textAlignment w:val="top"/>
              <w:rPr>
                <w:rFonts w:cs="Calibri"/>
                <w:color w:val="000000"/>
                <w:sz w:val="22"/>
              </w:rPr>
            </w:pPr>
            <w:r>
              <w:rPr>
                <w:rFonts w:cs="Calibri"/>
                <w:color w:val="000000"/>
                <w:kern w:val="0"/>
                <w:sz w:val="22"/>
                <w:lang w:bidi="ar"/>
              </w:rPr>
              <w:t>效益指标</w:t>
            </w:r>
          </w:p>
        </w:tc>
        <w:tc>
          <w:tcPr>
            <w:tcW w:w="571" w:type="pct"/>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社会效益指标</w:t>
            </w:r>
          </w:p>
        </w:tc>
        <w:tc>
          <w:tcPr>
            <w:tcW w:w="5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义务教育高质量发展</w:t>
            </w:r>
          </w:p>
        </w:tc>
        <w:tc>
          <w:tcPr>
            <w:tcW w:w="74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推动义务教育从数量扩张向质量提高转变</w:t>
            </w:r>
          </w:p>
        </w:tc>
        <w:tc>
          <w:tcPr>
            <w:tcW w:w="1264"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10分学生、家长、社会对学校整体满意度达到95%得满分，每降低1%扣1分，扣完为止。</w:t>
            </w:r>
          </w:p>
        </w:tc>
        <w:tc>
          <w:tcPr>
            <w:tcW w:w="25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251"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95</w:t>
            </w:r>
          </w:p>
        </w:tc>
        <w:tc>
          <w:tcPr>
            <w:tcW w:w="4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467"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eastAsia="zh-CN" w:bidi="ar"/>
              </w:rPr>
              <w:t>单位</w:t>
            </w:r>
            <w:r>
              <w:rPr>
                <w:rFonts w:hint="eastAsia" w:ascii="仿宋_GB2312" w:hAnsi="仿宋_GB2312" w:eastAsia="仿宋_GB2312" w:cs="仿宋_GB2312"/>
                <w:color w:val="000000"/>
                <w:kern w:val="0"/>
                <w:sz w:val="22"/>
                <w:lang w:bidi="ar"/>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3" w:type="pct"/>
            <w:vMerge w:val="restart"/>
            <w:shd w:val="clear" w:color="auto" w:fill="auto"/>
            <w:noWrap/>
          </w:tcPr>
          <w:p>
            <w:pPr>
              <w:widowControl/>
              <w:jc w:val="left"/>
              <w:textAlignment w:val="top"/>
              <w:rPr>
                <w:rFonts w:cs="Calibri"/>
                <w:color w:val="000000"/>
                <w:sz w:val="22"/>
              </w:rPr>
            </w:pPr>
            <w:r>
              <w:rPr>
                <w:rFonts w:cs="Calibri"/>
                <w:color w:val="000000"/>
                <w:kern w:val="0"/>
                <w:sz w:val="22"/>
                <w:lang w:bidi="ar"/>
              </w:rPr>
              <w:t>满意度指标</w:t>
            </w:r>
          </w:p>
        </w:tc>
        <w:tc>
          <w:tcPr>
            <w:tcW w:w="571" w:type="pct"/>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服务对象满意度指标</w:t>
            </w:r>
          </w:p>
        </w:tc>
        <w:tc>
          <w:tcPr>
            <w:tcW w:w="5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在校师生的满意程度</w:t>
            </w:r>
          </w:p>
        </w:tc>
        <w:tc>
          <w:tcPr>
            <w:tcW w:w="74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在校师生的满意程度</w:t>
            </w:r>
          </w:p>
        </w:tc>
        <w:tc>
          <w:tcPr>
            <w:tcW w:w="1264"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10分在校师生的满意度达到95%得满分，每降低1%扣1分，扣完为止。</w:t>
            </w:r>
          </w:p>
        </w:tc>
        <w:tc>
          <w:tcPr>
            <w:tcW w:w="25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251"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95</w:t>
            </w:r>
          </w:p>
        </w:tc>
        <w:tc>
          <w:tcPr>
            <w:tcW w:w="4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467"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03" w:type="pct"/>
            <w:vMerge w:val="continue"/>
            <w:shd w:val="clear" w:color="auto" w:fill="auto"/>
            <w:noWrap/>
          </w:tcPr>
          <w:p>
            <w:pPr>
              <w:jc w:val="left"/>
              <w:rPr>
                <w:rFonts w:cs="Calibri"/>
                <w:color w:val="000000"/>
                <w:sz w:val="22"/>
              </w:rPr>
            </w:pPr>
          </w:p>
        </w:tc>
        <w:tc>
          <w:tcPr>
            <w:tcW w:w="571" w:type="pct"/>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服务对象满意度指标</w:t>
            </w:r>
          </w:p>
        </w:tc>
        <w:tc>
          <w:tcPr>
            <w:tcW w:w="5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家长的满意程度</w:t>
            </w:r>
          </w:p>
        </w:tc>
        <w:tc>
          <w:tcPr>
            <w:tcW w:w="74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家长的满意程度</w:t>
            </w:r>
          </w:p>
        </w:tc>
        <w:tc>
          <w:tcPr>
            <w:tcW w:w="1264"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10分家长的满意度达到95%得满分，每降低1%扣1分，扣完为止。</w:t>
            </w:r>
          </w:p>
        </w:tc>
        <w:tc>
          <w:tcPr>
            <w:tcW w:w="25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251"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95</w:t>
            </w:r>
          </w:p>
        </w:tc>
        <w:tc>
          <w:tcPr>
            <w:tcW w:w="472"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467"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调查问卷</w:t>
            </w:r>
          </w:p>
        </w:tc>
      </w:tr>
    </w:tbl>
    <w:p>
      <w:pPr>
        <w:numPr>
          <w:ilvl w:val="0"/>
          <w:numId w:val="0"/>
        </w:numPr>
        <w:spacing w:line="584" w:lineRule="exact"/>
        <w:rPr>
          <w:rFonts w:hint="eastAsia" w:ascii="Times New Roman" w:hAnsi="Times New Roman" w:eastAsia="黑体" w:cs="Times New Roman"/>
          <w:sz w:val="32"/>
          <w:szCs w:val="32"/>
        </w:rPr>
      </w:pPr>
    </w:p>
    <w:p>
      <w:pPr>
        <w:numPr>
          <w:ilvl w:val="0"/>
          <w:numId w:val="0"/>
        </w:numPr>
        <w:spacing w:line="584" w:lineRule="exact"/>
        <w:rPr>
          <w:rFonts w:hint="eastAsia" w:ascii="Times New Roman" w:hAnsi="Times New Roman" w:eastAsia="黑体" w:cs="Times New Roman"/>
          <w:sz w:val="32"/>
          <w:szCs w:val="32"/>
        </w:rPr>
      </w:pPr>
    </w:p>
    <w:p>
      <w:pPr>
        <w:numPr>
          <w:ilvl w:val="0"/>
          <w:numId w:val="0"/>
        </w:num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第二部分</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资金绩效目标</w:t>
      </w:r>
    </w:p>
    <w:p>
      <w:pPr>
        <w:ind w:firstLine="560"/>
        <w:jc w:val="left"/>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1.城乡义务教育生均公用经费[区级]绩效目标表</w:t>
      </w:r>
      <w:bookmarkEnd w:id="0"/>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按照义务教育生均公用经费标准申请财政预算资金，通过合理、合规使用资金达到保证学校正常运转，改善办学条件，促进义务教育发展。2.改善办学条件，提升教育环境。3.开展教师培训，提高教师队伍水平。4.开展文体活动，提高学生综合素质。</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2252"/>
        <w:gridCol w:w="2428"/>
        <w:gridCol w:w="3476"/>
        <w:gridCol w:w="1104"/>
        <w:gridCol w:w="26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80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87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247"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396"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80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87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12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3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961人</w:t>
            </w:r>
          </w:p>
        </w:tc>
        <w:tc>
          <w:tcPr>
            <w:tcW w:w="9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80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87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12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3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80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87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2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3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80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87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12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使用生均公用经费，用于保障学校正常运转的项目支出成本等于935元/生</w:t>
            </w:r>
          </w:p>
        </w:tc>
        <w:tc>
          <w:tcPr>
            <w:tcW w:w="3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w:t>
            </w:r>
          </w:p>
        </w:tc>
        <w:tc>
          <w:tcPr>
            <w:tcW w:w="9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80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87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12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该资金用于学校正常运转，改善办学条件，促进义务教育均衡发展及学生素质提高</w:t>
            </w:r>
          </w:p>
        </w:tc>
        <w:tc>
          <w:tcPr>
            <w:tcW w:w="3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9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80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7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3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9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ind w:firstLine="56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2.城乡义务教育生均公用经费[中央]绩效目标表</w:t>
      </w:r>
      <w:bookmarkEnd w:id="1"/>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24"/>
        <w:gridCol w:w="1240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7"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45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1.廊坊市第二小学学校对2022年在校学生961人，按照义务教育生均公用经费标准申请财政预算资金，通过合理、合规使用资金达到保证学校正常运转，改善办学条件，促进义务教育发展。</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9"/>
        <w:gridCol w:w="2188"/>
        <w:gridCol w:w="2207"/>
        <w:gridCol w:w="3783"/>
        <w:gridCol w:w="853"/>
        <w:gridCol w:w="34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27"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8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92"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357"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306"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2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7"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9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135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30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961人</w:t>
            </w:r>
          </w:p>
        </w:tc>
        <w:tc>
          <w:tcPr>
            <w:tcW w:w="12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廊坊市财政局廊坊市教育局关于提前下达2022年城乡义务教育中央补助经费预算（直达资金）的通知（廊财教[2021]62号）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7" w:type="pct"/>
            <w:vMerge w:val="continue"/>
            <w:vAlign w:val="center"/>
          </w:tcPr>
          <w:p>
            <w:pPr>
              <w:rPr>
                <w:rFonts w:hint="eastAsia" w:ascii="仿宋_GB2312" w:hAnsi="仿宋_GB2312" w:eastAsia="仿宋_GB2312" w:cs="仿宋_GB2312"/>
              </w:rPr>
            </w:pPr>
          </w:p>
        </w:tc>
        <w:tc>
          <w:tcPr>
            <w:tcW w:w="7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9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135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30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2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廊坊市财政局廊坊市教育局关于提前下达2022年城乡义务教育中央补助经费预算（直达资金）的通知（廊财教[2021]62号）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7" w:type="pct"/>
            <w:vMerge w:val="continue"/>
            <w:vAlign w:val="center"/>
          </w:tcPr>
          <w:p>
            <w:pPr>
              <w:rPr>
                <w:rFonts w:hint="eastAsia" w:ascii="仿宋_GB2312" w:hAnsi="仿宋_GB2312" w:eastAsia="仿宋_GB2312" w:cs="仿宋_GB2312"/>
              </w:rPr>
            </w:pPr>
          </w:p>
        </w:tc>
        <w:tc>
          <w:tcPr>
            <w:tcW w:w="7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9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35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30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2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0" w:hRule="atLeast"/>
          <w:jc w:val="center"/>
        </w:trPr>
        <w:tc>
          <w:tcPr>
            <w:tcW w:w="527" w:type="pct"/>
            <w:vMerge w:val="continue"/>
            <w:vAlign w:val="center"/>
          </w:tcPr>
          <w:p>
            <w:pPr>
              <w:rPr>
                <w:rFonts w:hint="eastAsia" w:ascii="仿宋_GB2312" w:hAnsi="仿宋_GB2312" w:eastAsia="仿宋_GB2312" w:cs="仿宋_GB2312"/>
              </w:rPr>
            </w:pPr>
          </w:p>
        </w:tc>
        <w:tc>
          <w:tcPr>
            <w:tcW w:w="7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9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135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使用生均公用经费，用于保障学校正常运转的项目支出成本等于935元/生</w:t>
            </w:r>
          </w:p>
        </w:tc>
        <w:tc>
          <w:tcPr>
            <w:tcW w:w="30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w:t>
            </w:r>
          </w:p>
        </w:tc>
        <w:tc>
          <w:tcPr>
            <w:tcW w:w="12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廊坊市财政局廊坊市教育局关于提前下达2022年城乡义务教育中央补助经费预算（直达资金）的通知（廊财教[2021]62号）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7"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9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135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该资金用于学校正常运转，改善办学条件，促进义务教育均衡发展及学生素质提高</w:t>
            </w:r>
          </w:p>
        </w:tc>
        <w:tc>
          <w:tcPr>
            <w:tcW w:w="30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12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廊财教[2021]62号文件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7"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9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35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30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12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3.合同制教师人员经费绩效目标表</w:t>
      </w:r>
      <w:bookmarkEnd w:id="2"/>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2.保障教学质量，提升教育水平</w:t>
            </w:r>
          </w:p>
          <w:p>
            <w:pPr>
              <w:pStyle w:val="14"/>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p>
          <w:p>
            <w:pPr>
              <w:pStyle w:val="14"/>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1"/>
        <w:gridCol w:w="2169"/>
        <w:gridCol w:w="1809"/>
        <w:gridCol w:w="3697"/>
        <w:gridCol w:w="2275"/>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7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49"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326"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816"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7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4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13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保障2022合同制教师 11人工资福利</w:t>
            </w:r>
          </w:p>
        </w:tc>
        <w:tc>
          <w:tcPr>
            <w:tcW w:w="81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11人</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7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4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13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81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7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4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13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81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7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4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13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81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7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4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13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81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7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4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13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81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7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4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13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81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7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4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13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81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7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4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13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81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3" w:name="_Toc_4_4_0000000007"/>
      <w:r>
        <w:rPr>
          <w:rFonts w:hint="eastAsia" w:ascii="仿宋_GB2312" w:hAnsi="仿宋_GB2312" w:eastAsia="仿宋_GB2312" w:cs="仿宋_GB2312"/>
          <w:color w:val="000000"/>
          <w:sz w:val="28"/>
        </w:rPr>
        <w:t>4.教育经费绩效目标表</w:t>
      </w:r>
      <w:bookmarkEnd w:id="3"/>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94"/>
        <w:gridCol w:w="1247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8" w:type="pct"/>
            <w:vAlign w:val="center"/>
          </w:tcPr>
          <w:p>
            <w:pPr>
              <w:pStyle w:val="12"/>
              <w:spacing w:line="36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402" w:type="pct"/>
            <w:vAlign w:val="center"/>
          </w:tcPr>
          <w:p>
            <w:pPr>
              <w:pStyle w:val="14"/>
              <w:numPr>
                <w:ilvl w:val="0"/>
                <w:numId w:val="1"/>
              </w:numPr>
              <w:spacing w:line="360" w:lineRule="exact"/>
              <w:rPr>
                <w:rFonts w:hint="eastAsia" w:ascii="仿宋_GB2312" w:hAnsi="仿宋_GB2312" w:eastAsia="仿宋_GB2312" w:cs="仿宋_GB2312"/>
              </w:rPr>
            </w:pPr>
            <w:r>
              <w:rPr>
                <w:rFonts w:hint="eastAsia" w:ascii="仿宋_GB2312" w:hAnsi="仿宋_GB2312" w:eastAsia="仿宋_GB2312" w:cs="仿宋_GB2312"/>
              </w:rPr>
              <w:t>弥补办公经费不足，保障教育教学正常的进行。</w:t>
            </w:r>
          </w:p>
          <w:p>
            <w:pPr>
              <w:pStyle w:val="14"/>
              <w:numPr>
                <w:ilvl w:val="0"/>
                <w:numId w:val="1"/>
              </w:numPr>
              <w:spacing w:line="360" w:lineRule="exact"/>
              <w:rPr>
                <w:rFonts w:hint="eastAsia" w:ascii="仿宋_GB2312" w:hAnsi="仿宋_GB2312" w:eastAsia="仿宋_GB2312" w:cs="仿宋_GB2312"/>
              </w:rPr>
            </w:pPr>
            <w:r>
              <w:rPr>
                <w:rFonts w:hint="eastAsia" w:ascii="仿宋_GB2312" w:hAnsi="仿宋_GB2312" w:eastAsia="仿宋_GB2312" w:cs="仿宋_GB2312"/>
              </w:rPr>
              <w:t>改善办学条件，提高教育教学环境。</w:t>
            </w:r>
          </w:p>
          <w:p>
            <w:pPr>
              <w:pStyle w:val="14"/>
              <w:numPr>
                <w:ilvl w:val="0"/>
                <w:numId w:val="1"/>
              </w:numPr>
              <w:spacing w:line="360" w:lineRule="exact"/>
              <w:rPr>
                <w:rFonts w:hint="eastAsia" w:ascii="仿宋_GB2312" w:hAnsi="仿宋_GB2312" w:eastAsia="仿宋_GB2312" w:cs="仿宋_GB2312"/>
              </w:rPr>
            </w:pPr>
            <w:r>
              <w:rPr>
                <w:rFonts w:hint="eastAsia" w:ascii="仿宋_GB2312" w:hAnsi="仿宋_GB2312" w:eastAsia="仿宋_GB2312" w:cs="仿宋_GB2312"/>
              </w:rPr>
              <w:t>开展文化体育等社会活动，提高学校社会影响力。</w:t>
            </w:r>
          </w:p>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line="36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499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44"/>
        <w:gridCol w:w="1998"/>
        <w:gridCol w:w="2341"/>
        <w:gridCol w:w="4135"/>
        <w:gridCol w:w="1927"/>
        <w:gridCol w:w="21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80" w:type="pct"/>
            <w:vAlign w:val="center"/>
          </w:tcPr>
          <w:p>
            <w:pPr>
              <w:pStyle w:val="12"/>
              <w:spacing w:line="36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705" w:type="pct"/>
            <w:vAlign w:val="center"/>
          </w:tcPr>
          <w:p>
            <w:pPr>
              <w:pStyle w:val="12"/>
              <w:spacing w:line="36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826" w:type="pct"/>
            <w:vAlign w:val="center"/>
          </w:tcPr>
          <w:p>
            <w:pPr>
              <w:pStyle w:val="12"/>
              <w:spacing w:line="36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459" w:type="pct"/>
            <w:vAlign w:val="center"/>
          </w:tcPr>
          <w:p>
            <w:pPr>
              <w:pStyle w:val="12"/>
              <w:spacing w:line="36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80" w:type="pct"/>
            <w:vAlign w:val="center"/>
          </w:tcPr>
          <w:p>
            <w:pPr>
              <w:pStyle w:val="12"/>
              <w:spacing w:line="36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747" w:type="pct"/>
            <w:vAlign w:val="center"/>
          </w:tcPr>
          <w:p>
            <w:pPr>
              <w:pStyle w:val="12"/>
              <w:spacing w:line="36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0" w:type="pct"/>
            <w:vMerge w:val="restart"/>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705"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826"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1459"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680"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12月</w:t>
            </w:r>
          </w:p>
        </w:tc>
        <w:tc>
          <w:tcPr>
            <w:tcW w:w="747"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0" w:type="pct"/>
            <w:vMerge w:val="continue"/>
            <w:vAlign w:val="center"/>
          </w:tcPr>
          <w:p>
            <w:pPr>
              <w:spacing w:line="360" w:lineRule="exact"/>
              <w:rPr>
                <w:rFonts w:hint="eastAsia" w:ascii="仿宋_GB2312" w:hAnsi="仿宋_GB2312" w:eastAsia="仿宋_GB2312" w:cs="仿宋_GB2312"/>
              </w:rPr>
            </w:pPr>
          </w:p>
        </w:tc>
        <w:tc>
          <w:tcPr>
            <w:tcW w:w="705"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826"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1459"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680"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747"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0" w:type="pct"/>
            <w:vMerge w:val="continue"/>
            <w:vAlign w:val="center"/>
          </w:tcPr>
          <w:p>
            <w:pPr>
              <w:spacing w:line="360" w:lineRule="exact"/>
              <w:rPr>
                <w:rFonts w:hint="eastAsia" w:ascii="仿宋_GB2312" w:hAnsi="仿宋_GB2312" w:eastAsia="仿宋_GB2312" w:cs="仿宋_GB2312"/>
              </w:rPr>
            </w:pPr>
          </w:p>
        </w:tc>
        <w:tc>
          <w:tcPr>
            <w:tcW w:w="705"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826"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1459"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680"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747"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0" w:type="pct"/>
            <w:vMerge w:val="continue"/>
            <w:vAlign w:val="center"/>
          </w:tcPr>
          <w:p>
            <w:pPr>
              <w:spacing w:line="360" w:lineRule="exact"/>
              <w:rPr>
                <w:rFonts w:hint="eastAsia" w:ascii="仿宋_GB2312" w:hAnsi="仿宋_GB2312" w:eastAsia="仿宋_GB2312" w:cs="仿宋_GB2312"/>
              </w:rPr>
            </w:pPr>
          </w:p>
        </w:tc>
        <w:tc>
          <w:tcPr>
            <w:tcW w:w="705"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826"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459"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680"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747"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0" w:type="pct"/>
            <w:vMerge w:val="continue"/>
            <w:vAlign w:val="center"/>
          </w:tcPr>
          <w:p>
            <w:pPr>
              <w:spacing w:line="360" w:lineRule="exact"/>
              <w:rPr>
                <w:rFonts w:hint="eastAsia" w:ascii="仿宋_GB2312" w:hAnsi="仿宋_GB2312" w:eastAsia="仿宋_GB2312" w:cs="仿宋_GB2312"/>
              </w:rPr>
            </w:pPr>
          </w:p>
        </w:tc>
        <w:tc>
          <w:tcPr>
            <w:tcW w:w="705"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826"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1459"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680"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≤13.33万元</w:t>
            </w:r>
          </w:p>
        </w:tc>
        <w:tc>
          <w:tcPr>
            <w:tcW w:w="747"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0" w:type="pct"/>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705"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826"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1459"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680"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提高</w:t>
            </w:r>
          </w:p>
        </w:tc>
        <w:tc>
          <w:tcPr>
            <w:tcW w:w="747"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0" w:type="pct"/>
            <w:vMerge w:val="restart"/>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05"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26"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459"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680"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747"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80" w:type="pct"/>
            <w:vMerge w:val="continue"/>
            <w:vAlign w:val="center"/>
          </w:tcPr>
          <w:p>
            <w:pPr>
              <w:spacing w:line="360" w:lineRule="exact"/>
              <w:rPr>
                <w:rFonts w:hint="eastAsia" w:ascii="仿宋_GB2312" w:hAnsi="仿宋_GB2312" w:eastAsia="仿宋_GB2312" w:cs="仿宋_GB2312"/>
              </w:rPr>
            </w:pPr>
          </w:p>
        </w:tc>
        <w:tc>
          <w:tcPr>
            <w:tcW w:w="705"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26"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459"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680"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747" w:type="pct"/>
            <w:vAlign w:val="center"/>
          </w:tcPr>
          <w:p>
            <w:pPr>
              <w:pStyle w:val="14"/>
              <w:spacing w:line="36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pPr>
    </w:p>
    <w:p>
      <w:pPr>
        <w:autoSpaceDE w:val="0"/>
        <w:autoSpaceDN w:val="0"/>
        <w:adjustRightInd w:val="0"/>
        <w:spacing w:line="584" w:lineRule="exact"/>
        <w:ind w:firstLine="480" w:firstLineChars="15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4"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4"/>
    <w:p>
      <w:pPr>
        <w:jc w:val="center"/>
        <w:outlineLvl w:val="1"/>
        <w:rPr>
          <w:rFonts w:ascii="方正小标宋_GBK" w:eastAsia="方正小标宋_GBK" w:cs="Times New Roman"/>
          <w:sz w:val="32"/>
        </w:rPr>
      </w:pPr>
      <w:bookmarkStart w:id="5"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5"/>
    </w:p>
    <w:p>
      <w:pPr>
        <w:outlineLvl w:val="1"/>
        <w:rPr>
          <w:rFonts w:ascii="方正小标宋_GBK" w:eastAsia="方正小标宋_GBK" w:cs="Times New Roman"/>
          <w:sz w:val="32"/>
        </w:rPr>
      </w:pPr>
      <w:r>
        <w:t>[451001]</w:t>
      </w:r>
      <w:r>
        <w:rPr>
          <w:rFonts w:hint="eastAsia"/>
        </w:rPr>
        <w:t>廊坊市第二小学</w:t>
      </w:r>
      <w:r>
        <w:t xml:space="preserve">                                                                                                  单位：万元</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9"/>
        <w:gridCol w:w="887"/>
        <w:gridCol w:w="1043"/>
        <w:gridCol w:w="1043"/>
        <w:gridCol w:w="652"/>
        <w:gridCol w:w="782"/>
        <w:gridCol w:w="782"/>
        <w:gridCol w:w="887"/>
        <w:gridCol w:w="887"/>
        <w:gridCol w:w="887"/>
        <w:gridCol w:w="887"/>
        <w:gridCol w:w="887"/>
        <w:gridCol w:w="888"/>
        <w:gridCol w:w="888"/>
        <w:gridCol w:w="888"/>
        <w:gridCol w:w="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tblHeader/>
          <w:jc w:val="center"/>
        </w:trPr>
        <w:tc>
          <w:tcPr>
            <w:tcW w:w="668" w:type="pct"/>
            <w:gridSpan w:val="2"/>
            <w:vAlign w:val="center"/>
          </w:tcPr>
          <w:p>
            <w:pPr>
              <w:pStyle w:val="12"/>
            </w:pPr>
            <w:r>
              <w:t>政府采购项目来源</w:t>
            </w:r>
          </w:p>
        </w:tc>
        <w:tc>
          <w:tcPr>
            <w:tcW w:w="368" w:type="pct"/>
            <w:vMerge w:val="restart"/>
            <w:vAlign w:val="center"/>
          </w:tcPr>
          <w:p>
            <w:pPr>
              <w:pStyle w:val="12"/>
            </w:pPr>
            <w:r>
              <w:t>采购物品名称</w:t>
            </w:r>
          </w:p>
        </w:tc>
        <w:tc>
          <w:tcPr>
            <w:tcW w:w="368" w:type="pct"/>
            <w:vMerge w:val="restart"/>
            <w:vAlign w:val="center"/>
          </w:tcPr>
          <w:p>
            <w:pPr>
              <w:pStyle w:val="12"/>
            </w:pPr>
            <w:r>
              <w:t>政府采购目录序号</w:t>
            </w:r>
          </w:p>
        </w:tc>
        <w:tc>
          <w:tcPr>
            <w:tcW w:w="230" w:type="pct"/>
            <w:vMerge w:val="restart"/>
            <w:vAlign w:val="center"/>
          </w:tcPr>
          <w:p>
            <w:pPr>
              <w:pStyle w:val="12"/>
            </w:pPr>
            <w:r>
              <w:t>计量  单位</w:t>
            </w:r>
          </w:p>
        </w:tc>
        <w:tc>
          <w:tcPr>
            <w:tcW w:w="276" w:type="pct"/>
            <w:vMerge w:val="restart"/>
            <w:vAlign w:val="center"/>
          </w:tcPr>
          <w:p>
            <w:pPr>
              <w:pStyle w:val="12"/>
            </w:pPr>
            <w:r>
              <w:t>数量</w:t>
            </w:r>
          </w:p>
        </w:tc>
        <w:tc>
          <w:tcPr>
            <w:tcW w:w="276" w:type="pct"/>
            <w:vMerge w:val="restart"/>
            <w:vAlign w:val="center"/>
          </w:tcPr>
          <w:p>
            <w:pPr>
              <w:pStyle w:val="12"/>
            </w:pPr>
            <w:r>
              <w:t>单价</w:t>
            </w:r>
          </w:p>
        </w:tc>
        <w:tc>
          <w:tcPr>
            <w:tcW w:w="2502" w:type="pct"/>
            <w:gridSpan w:val="8"/>
            <w:vAlign w:val="center"/>
          </w:tcPr>
          <w:p>
            <w:pPr>
              <w:pStyle w:val="12"/>
            </w:pPr>
            <w:r>
              <w:t>政府采购金额（当年</w:t>
            </w:r>
            <w:r>
              <w:rPr>
                <w:rFonts w:hint="eastAsia"/>
                <w:lang w:eastAsia="zh-CN"/>
              </w:rPr>
              <w:t>单位</w:t>
            </w:r>
            <w:r>
              <w:t>预算安排资金）</w:t>
            </w:r>
          </w:p>
        </w:tc>
        <w:tc>
          <w:tcPr>
            <w:tcW w:w="313"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02" w:hRule="atLeast"/>
          <w:tblHeader/>
          <w:jc w:val="center"/>
        </w:trPr>
        <w:tc>
          <w:tcPr>
            <w:tcW w:w="356" w:type="pct"/>
            <w:vAlign w:val="center"/>
          </w:tcPr>
          <w:p>
            <w:pPr>
              <w:pStyle w:val="12"/>
            </w:pPr>
            <w:r>
              <w:t>项目名称</w:t>
            </w:r>
          </w:p>
        </w:tc>
        <w:tc>
          <w:tcPr>
            <w:tcW w:w="313" w:type="pct"/>
            <w:vAlign w:val="center"/>
          </w:tcPr>
          <w:p>
            <w:pPr>
              <w:pStyle w:val="12"/>
            </w:pPr>
            <w:r>
              <w:t>预算    资金</w:t>
            </w:r>
          </w:p>
        </w:tc>
        <w:tc>
          <w:tcPr>
            <w:tcW w:w="368" w:type="pct"/>
            <w:vMerge w:val="continue"/>
          </w:tcPr>
          <w:p/>
        </w:tc>
        <w:tc>
          <w:tcPr>
            <w:tcW w:w="368" w:type="pct"/>
            <w:vMerge w:val="continue"/>
          </w:tcPr>
          <w:p/>
        </w:tc>
        <w:tc>
          <w:tcPr>
            <w:tcW w:w="230" w:type="pct"/>
            <w:vMerge w:val="continue"/>
          </w:tcPr>
          <w:p/>
        </w:tc>
        <w:tc>
          <w:tcPr>
            <w:tcW w:w="276" w:type="pct"/>
            <w:vMerge w:val="continue"/>
          </w:tcPr>
          <w:p/>
        </w:tc>
        <w:tc>
          <w:tcPr>
            <w:tcW w:w="276" w:type="pct"/>
            <w:vMerge w:val="continue"/>
          </w:tcPr>
          <w:p/>
        </w:tc>
        <w:tc>
          <w:tcPr>
            <w:tcW w:w="313" w:type="pct"/>
            <w:vAlign w:val="center"/>
          </w:tcPr>
          <w:p>
            <w:pPr>
              <w:pStyle w:val="12"/>
            </w:pPr>
            <w:r>
              <w:t>合计</w:t>
            </w:r>
          </w:p>
        </w:tc>
        <w:tc>
          <w:tcPr>
            <w:tcW w:w="313" w:type="pct"/>
            <w:vAlign w:val="center"/>
          </w:tcPr>
          <w:p>
            <w:pPr>
              <w:pStyle w:val="12"/>
            </w:pPr>
            <w:r>
              <w:t>一般公共预算拨款</w:t>
            </w:r>
          </w:p>
        </w:tc>
        <w:tc>
          <w:tcPr>
            <w:tcW w:w="313" w:type="pct"/>
            <w:vAlign w:val="center"/>
          </w:tcPr>
          <w:p>
            <w:pPr>
              <w:pStyle w:val="12"/>
            </w:pPr>
            <w:r>
              <w:t>基金预算拨款</w:t>
            </w:r>
          </w:p>
        </w:tc>
        <w:tc>
          <w:tcPr>
            <w:tcW w:w="313" w:type="pct"/>
            <w:vAlign w:val="center"/>
          </w:tcPr>
          <w:p>
            <w:pPr>
              <w:pStyle w:val="12"/>
            </w:pPr>
            <w:r>
              <w:t>国有资本经营预算拨款</w:t>
            </w:r>
          </w:p>
        </w:tc>
        <w:tc>
          <w:tcPr>
            <w:tcW w:w="313" w:type="pct"/>
            <w:vAlign w:val="center"/>
          </w:tcPr>
          <w:p>
            <w:pPr>
              <w:pStyle w:val="12"/>
            </w:pPr>
            <w:r>
              <w:t>财政专户核拨</w:t>
            </w:r>
          </w:p>
        </w:tc>
        <w:tc>
          <w:tcPr>
            <w:tcW w:w="313" w:type="pct"/>
            <w:vAlign w:val="center"/>
          </w:tcPr>
          <w:p>
            <w:pPr>
              <w:pStyle w:val="12"/>
            </w:pPr>
            <w:r>
              <w:t>单位    资金</w:t>
            </w:r>
          </w:p>
        </w:tc>
        <w:tc>
          <w:tcPr>
            <w:tcW w:w="313" w:type="pct"/>
            <w:vAlign w:val="center"/>
          </w:tcPr>
          <w:p>
            <w:pPr>
              <w:pStyle w:val="12"/>
            </w:pPr>
            <w:r>
              <w:t>财政拨    款结转</w:t>
            </w:r>
          </w:p>
        </w:tc>
        <w:tc>
          <w:tcPr>
            <w:tcW w:w="313" w:type="pct"/>
            <w:vAlign w:val="center"/>
          </w:tcPr>
          <w:p>
            <w:pPr>
              <w:pStyle w:val="12"/>
            </w:pPr>
            <w:r>
              <w:t>非财政    拨款结    转结余</w:t>
            </w:r>
          </w:p>
        </w:tc>
        <w:tc>
          <w:tcPr>
            <w:tcW w:w="31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356" w:type="pct"/>
            <w:vAlign w:val="center"/>
          </w:tcPr>
          <w:p>
            <w:pPr>
              <w:pStyle w:val="16"/>
            </w:pPr>
            <w:r>
              <w:t>合  计</w:t>
            </w:r>
          </w:p>
        </w:tc>
        <w:tc>
          <w:tcPr>
            <w:tcW w:w="313" w:type="pct"/>
            <w:vAlign w:val="center"/>
          </w:tcPr>
          <w:p>
            <w:pPr>
              <w:pStyle w:val="17"/>
            </w:pP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0" w:hRule="atLeast"/>
          <w:jc w:val="center"/>
        </w:trPr>
        <w:tc>
          <w:tcPr>
            <w:tcW w:w="356" w:type="pct"/>
            <w:vAlign w:val="center"/>
          </w:tcPr>
          <w:p>
            <w:pPr>
              <w:pStyle w:val="16"/>
            </w:pPr>
          </w:p>
        </w:tc>
        <w:tc>
          <w:tcPr>
            <w:tcW w:w="313" w:type="pct"/>
            <w:vAlign w:val="center"/>
          </w:tcPr>
          <w:p>
            <w:pPr>
              <w:pStyle w:val="17"/>
            </w:pP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356" w:type="pct"/>
            <w:vAlign w:val="center"/>
          </w:tcPr>
          <w:p>
            <w:pPr>
              <w:pStyle w:val="14"/>
            </w:pPr>
          </w:p>
        </w:tc>
        <w:tc>
          <w:tcPr>
            <w:tcW w:w="313" w:type="pct"/>
            <w:vAlign w:val="center"/>
          </w:tcPr>
          <w:p>
            <w:pPr>
              <w:pStyle w:val="13"/>
            </w:pPr>
          </w:p>
        </w:tc>
        <w:tc>
          <w:tcPr>
            <w:tcW w:w="368" w:type="pct"/>
            <w:vAlign w:val="center"/>
          </w:tcPr>
          <w:p>
            <w:pPr>
              <w:pStyle w:val="14"/>
            </w:pPr>
          </w:p>
        </w:tc>
        <w:tc>
          <w:tcPr>
            <w:tcW w:w="368" w:type="pct"/>
            <w:vAlign w:val="center"/>
          </w:tcPr>
          <w:p>
            <w:pPr>
              <w:pStyle w:val="14"/>
            </w:pPr>
          </w:p>
        </w:tc>
        <w:tc>
          <w:tcPr>
            <w:tcW w:w="230" w:type="pct"/>
            <w:vAlign w:val="center"/>
          </w:tcPr>
          <w:p>
            <w:pPr>
              <w:pStyle w:val="15"/>
            </w:pPr>
          </w:p>
        </w:tc>
        <w:tc>
          <w:tcPr>
            <w:tcW w:w="276" w:type="pct"/>
            <w:vAlign w:val="center"/>
          </w:tcPr>
          <w:p>
            <w:pPr>
              <w:pStyle w:val="13"/>
            </w:pPr>
          </w:p>
        </w:tc>
        <w:tc>
          <w:tcPr>
            <w:tcW w:w="276"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第二小</w:t>
      </w:r>
      <w:r>
        <w:rPr>
          <w:rFonts w:ascii="Times New Roman" w:hAnsi="Times New Roman" w:eastAsia="仿宋_GB2312" w:cs="Times New Roman"/>
          <w:sz w:val="32"/>
          <w:szCs w:val="32"/>
        </w:rPr>
        <w:t>学上年末固定资产金额为</w:t>
      </w:r>
      <w:r>
        <w:rPr>
          <w:rFonts w:hint="eastAsia" w:ascii="Times New Roman" w:hAnsi="Times New Roman" w:eastAsia="仿宋_GB2312" w:cs="Times New Roman"/>
          <w:sz w:val="32"/>
          <w:szCs w:val="32"/>
        </w:rPr>
        <w:t>578.480362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廊坊市第</w:t>
            </w:r>
            <w:r>
              <w:rPr>
                <w:rFonts w:hint="eastAsia" w:ascii="Times New Roman" w:hAnsi="Times New Roman" w:eastAsia="仿宋_GB2312" w:cs="Times New Roman"/>
                <w:b/>
                <w:bCs/>
                <w:kern w:val="0"/>
                <w:sz w:val="32"/>
                <w:szCs w:val="32"/>
              </w:rPr>
              <w:t>二小</w:t>
            </w:r>
            <w:r>
              <w:rPr>
                <w:rFonts w:ascii="Times New Roman" w:hAnsi="Times New Roman" w:eastAsia="仿宋_GB2312" w:cs="Times New Roman"/>
                <w:b/>
                <w:bCs/>
                <w:kern w:val="0"/>
                <w:sz w:val="32"/>
                <w:szCs w:val="32"/>
              </w:rPr>
              <w:t>学固定资产占用情况表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：廊坊市第</w:t>
            </w:r>
            <w:r>
              <w:rPr>
                <w:rFonts w:hint="eastAsia" w:ascii="Times New Roman" w:hAnsi="Times New Roman" w:eastAsia="仿宋_GB2312" w:cs="Times New Roman"/>
                <w:kern w:val="0"/>
                <w:sz w:val="22"/>
              </w:rPr>
              <w:t>二小</w:t>
            </w:r>
            <w:r>
              <w:rPr>
                <w:rFonts w:ascii="Times New Roman" w:hAnsi="Times New Roman" w:eastAsia="仿宋_GB2312" w:cs="Times New Roman"/>
                <w:kern w:val="0"/>
                <w:sz w:val="22"/>
              </w:rPr>
              <w:t>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578.480362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5292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253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5292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253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325.480462</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BF6848-88EF-43A0-84A8-13EEBB041F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2" w:fontKey="{36BDBDD9-7C39-436A-B4E9-53E12478439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normal">
    <w:altName w:val="Segoe Print"/>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embedRegular r:id="rId3" w:fontKey="{50DB211B-F68E-438E-BE4B-7AF19EEF47E9}"/>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18</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65AB83"/>
    <w:multiLevelType w:val="singleLevel"/>
    <w:tmpl w:val="B665AB8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70736"/>
    <w:rsid w:val="000A4BAA"/>
    <w:rsid w:val="000F6018"/>
    <w:rsid w:val="001A1291"/>
    <w:rsid w:val="00216DA5"/>
    <w:rsid w:val="00237841"/>
    <w:rsid w:val="0024206B"/>
    <w:rsid w:val="0025632D"/>
    <w:rsid w:val="002F36BA"/>
    <w:rsid w:val="003059E0"/>
    <w:rsid w:val="00336AFA"/>
    <w:rsid w:val="003C0A5C"/>
    <w:rsid w:val="00437FE7"/>
    <w:rsid w:val="004A54AA"/>
    <w:rsid w:val="004C0827"/>
    <w:rsid w:val="00523A3A"/>
    <w:rsid w:val="0065176D"/>
    <w:rsid w:val="00660389"/>
    <w:rsid w:val="0068194A"/>
    <w:rsid w:val="00692AEE"/>
    <w:rsid w:val="007B4337"/>
    <w:rsid w:val="007C7867"/>
    <w:rsid w:val="007D6A12"/>
    <w:rsid w:val="0081323A"/>
    <w:rsid w:val="00832A82"/>
    <w:rsid w:val="00832CE5"/>
    <w:rsid w:val="00944233"/>
    <w:rsid w:val="00961F07"/>
    <w:rsid w:val="009735EC"/>
    <w:rsid w:val="00993960"/>
    <w:rsid w:val="009A45F5"/>
    <w:rsid w:val="009B5858"/>
    <w:rsid w:val="00A505F1"/>
    <w:rsid w:val="00A6203D"/>
    <w:rsid w:val="00A90D8D"/>
    <w:rsid w:val="00B03564"/>
    <w:rsid w:val="00B40732"/>
    <w:rsid w:val="00B45ED6"/>
    <w:rsid w:val="00B556C8"/>
    <w:rsid w:val="00B80935"/>
    <w:rsid w:val="00BD57BD"/>
    <w:rsid w:val="00C463C3"/>
    <w:rsid w:val="00D24536"/>
    <w:rsid w:val="00D33460"/>
    <w:rsid w:val="00D347CC"/>
    <w:rsid w:val="00D409D5"/>
    <w:rsid w:val="00D464DE"/>
    <w:rsid w:val="00DA729A"/>
    <w:rsid w:val="00DC72B4"/>
    <w:rsid w:val="00E72308"/>
    <w:rsid w:val="00E91492"/>
    <w:rsid w:val="00F231BC"/>
    <w:rsid w:val="00FA5065"/>
    <w:rsid w:val="00FC2E3B"/>
    <w:rsid w:val="00FE7AFD"/>
    <w:rsid w:val="042F4B49"/>
    <w:rsid w:val="071A324D"/>
    <w:rsid w:val="08BB636A"/>
    <w:rsid w:val="0A8824D8"/>
    <w:rsid w:val="0CEC1180"/>
    <w:rsid w:val="0DF25C50"/>
    <w:rsid w:val="12BC340B"/>
    <w:rsid w:val="12D60970"/>
    <w:rsid w:val="13497F22"/>
    <w:rsid w:val="1356385F"/>
    <w:rsid w:val="16F72C63"/>
    <w:rsid w:val="17CF4F4A"/>
    <w:rsid w:val="196D10C1"/>
    <w:rsid w:val="1A8B4C12"/>
    <w:rsid w:val="1C874A89"/>
    <w:rsid w:val="1D9C6312"/>
    <w:rsid w:val="1F7C0B8B"/>
    <w:rsid w:val="214747E7"/>
    <w:rsid w:val="24885842"/>
    <w:rsid w:val="250C0222"/>
    <w:rsid w:val="29312005"/>
    <w:rsid w:val="2A9C5BA4"/>
    <w:rsid w:val="326336D4"/>
    <w:rsid w:val="37996E69"/>
    <w:rsid w:val="3BD75940"/>
    <w:rsid w:val="42C121F4"/>
    <w:rsid w:val="44955623"/>
    <w:rsid w:val="4E2E44B5"/>
    <w:rsid w:val="518965D2"/>
    <w:rsid w:val="526F57C8"/>
    <w:rsid w:val="539348D7"/>
    <w:rsid w:val="585D6A91"/>
    <w:rsid w:val="5A6B0244"/>
    <w:rsid w:val="5BDB7A2A"/>
    <w:rsid w:val="632E3567"/>
    <w:rsid w:val="637B0363"/>
    <w:rsid w:val="63D74F7B"/>
    <w:rsid w:val="64474731"/>
    <w:rsid w:val="64714802"/>
    <w:rsid w:val="64A31301"/>
    <w:rsid w:val="65B01F28"/>
    <w:rsid w:val="6B170353"/>
    <w:rsid w:val="6BE066CF"/>
    <w:rsid w:val="70645DE9"/>
    <w:rsid w:val="73693C55"/>
    <w:rsid w:val="7C275A5D"/>
    <w:rsid w:val="7E156974"/>
    <w:rsid w:val="7FB12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1134</Words>
  <Characters>6469</Characters>
  <Lines>53</Lines>
  <Paragraphs>15</Paragraphs>
  <TotalTime>252</TotalTime>
  <ScaleCrop>false</ScaleCrop>
  <LinksUpToDate>false</LinksUpToDate>
  <CharactersWithSpaces>7588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2023-08-02T01:11:47Z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42753E673C8548CF9196F463527EB6FB</vt:lpwstr>
  </property>
</Properties>
</file>