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6" w:name="_GoBack"/>
      <w:bookmarkEnd w:id="6"/>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第二十五小学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第二十五小学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19"/>
        <w:widowControl/>
        <w:numPr>
          <w:ilvl w:val="0"/>
          <w:numId w:val="1"/>
        </w:numPr>
        <w:adjustRightInd w:val="0"/>
        <w:spacing w:line="360" w:lineRule="atLeast"/>
        <w:ind w:left="0"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正确贯彻执行党的教育方针、政策、法规。</w:t>
      </w:r>
    </w:p>
    <w:p>
      <w:pPr>
        <w:pStyle w:val="19"/>
        <w:widowControl/>
        <w:adjustRightInd w:val="0"/>
        <w:spacing w:line="52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（二）维护学校的教学秩序，为学生创造良好的学习环境。</w:t>
      </w:r>
    </w:p>
    <w:p>
      <w:pPr>
        <w:pStyle w:val="19"/>
        <w:widowControl/>
        <w:adjustRightInd w:val="0"/>
        <w:spacing w:line="52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（三）积极稳妥地推进教育改革，按教育规律办事，不断提高教育质量。</w:t>
      </w:r>
    </w:p>
    <w:p>
      <w:pPr>
        <w:pStyle w:val="19"/>
        <w:widowControl/>
        <w:adjustRightInd w:val="0"/>
        <w:spacing w:line="52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（四）根据学校规模，设置学校管理机构，建立健全各项规章制度和岗位责任制。</w:t>
      </w:r>
    </w:p>
    <w:p>
      <w:pPr>
        <w:pStyle w:val="19"/>
        <w:widowControl/>
        <w:adjustRightInd w:val="0"/>
        <w:snapToGrid w:val="0"/>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（五）坚持教书育人，服务育人，环境育人方针，加强对学生的思想品德教育，使学生的德智体美劳全面发展。</w:t>
      </w:r>
    </w:p>
    <w:p>
      <w:pPr>
        <w:pStyle w:val="19"/>
        <w:widowControl/>
        <w:adjustRightInd w:val="0"/>
        <w:snapToGrid w:val="0"/>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（六）抓好教师队伍建设，使每个教师都热心于教育事业。</w:t>
      </w:r>
    </w:p>
    <w:p>
      <w:pPr>
        <w:pStyle w:val="19"/>
        <w:widowControl/>
        <w:adjustRightInd w:val="0"/>
        <w:snapToGrid w:val="0"/>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（七）做好安全防范，保证学生的人身安全。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2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9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39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廊坊市第二十五小学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439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预算的编制实行综合预算制度，即全部收入和支出都反映在预算中。廊坊市第二十五小学的收支包含在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收支预算总表支出栏、基本支出表、项目支出表按经济分类和支出功能分类科目编制，反映廊坊市第二十五小学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428.07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422.75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5.32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898.86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723.3</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34.19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人员经费支出减少了34.15万元</w:t>
      </w:r>
      <w:r>
        <w:rPr>
          <w:rFonts w:ascii="Times New Roman" w:hAnsi="Times New Roman" w:eastAsia="仿宋_GB2312" w:cs="Times New Roman"/>
          <w:sz w:val="32"/>
          <w:szCs w:val="32"/>
        </w:rPr>
        <w:t>；公用经费</w:t>
      </w:r>
      <w:r>
        <w:rPr>
          <w:rFonts w:hint="eastAsia" w:ascii="Times New Roman" w:hAnsi="Times New Roman" w:eastAsia="仿宋_GB2312" w:cs="Times New Roman"/>
          <w:sz w:val="32"/>
          <w:szCs w:val="32"/>
        </w:rPr>
        <w:t>减少了0.04万元。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757.49</w:t>
      </w:r>
      <w:r>
        <w:rPr>
          <w:rFonts w:ascii="Times New Roman" w:hAnsi="Times New Roman" w:eastAsia="仿宋_GB2312" w:cs="Times New Roman"/>
          <w:sz w:val="32"/>
          <w:szCs w:val="32"/>
        </w:rPr>
        <w:t>万元，主要为合同制教师人员经费项目支出。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ind w:firstLine="640"/>
        <w:rPr>
          <w:rFonts w:eastAsia="仿宋_GB2312"/>
          <w:sz w:val="32"/>
          <w:szCs w:val="32"/>
        </w:rPr>
      </w:pPr>
      <w:r>
        <w:rPr>
          <w:rFonts w:eastAsia="仿宋_GB2312"/>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eastAsia="仿宋_GB2312"/>
          <w:sz w:val="32"/>
          <w:szCs w:val="32"/>
        </w:rPr>
      </w:pPr>
      <w:r>
        <w:rPr>
          <w:rFonts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rPr>
          <w:rFonts w:eastAsia="仿宋_GB2312"/>
          <w:sz w:val="32"/>
          <w:szCs w:val="32"/>
        </w:rPr>
      </w:pPr>
      <w:r>
        <w:rPr>
          <w:rFonts w:eastAsia="仿宋_GB2312"/>
          <w:sz w:val="32"/>
          <w:szCs w:val="32"/>
        </w:rPr>
        <w:t>1、提高义务教育水平，免除城市区中小学生学杂费，提供免费教科书，解决大班额问题及入学难问题。对贫困中小学生进行补助。</w:t>
      </w:r>
    </w:p>
    <w:p>
      <w:pPr>
        <w:pStyle w:val="21"/>
        <w:rPr>
          <w:rFonts w:eastAsia="仿宋_GB2312"/>
          <w:sz w:val="32"/>
          <w:szCs w:val="32"/>
        </w:rPr>
      </w:pPr>
      <w:r>
        <w:rPr>
          <w:rFonts w:eastAsia="仿宋_GB2312"/>
          <w:sz w:val="32"/>
          <w:szCs w:val="32"/>
        </w:rPr>
        <w:t>2、按质按量完成教育教学方面的各项任务，稳步提升学校的教育教学质量，学生综合素质评价优秀率达到85%,合格率达到100%。</w:t>
      </w:r>
    </w:p>
    <w:p>
      <w:pPr>
        <w:pStyle w:val="21"/>
        <w:rPr>
          <w:rFonts w:eastAsia="仿宋_GB2312"/>
          <w:sz w:val="32"/>
          <w:szCs w:val="32"/>
        </w:rPr>
      </w:pPr>
      <w:r>
        <w:rPr>
          <w:rFonts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rPr>
          <w:rFonts w:eastAsia="仿宋_GB2312"/>
          <w:sz w:val="32"/>
          <w:szCs w:val="32"/>
        </w:rPr>
      </w:pPr>
      <w:r>
        <w:rPr>
          <w:rFonts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1"/>
        <w:rPr>
          <w:rFonts w:eastAsia="仿宋_GB2312"/>
          <w:sz w:val="32"/>
          <w:szCs w:val="32"/>
        </w:rPr>
      </w:pPr>
      <w:r>
        <w:rPr>
          <w:rFonts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rPr>
          <w:rFonts w:eastAsia="仿宋_GB2312"/>
          <w:sz w:val="32"/>
          <w:szCs w:val="32"/>
        </w:rPr>
      </w:pPr>
      <w:r>
        <w:rPr>
          <w:rFonts w:eastAsia="仿宋_GB2312"/>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rPr>
          <w:rFonts w:eastAsia="仿宋_GB2312"/>
          <w:sz w:val="32"/>
          <w:szCs w:val="32"/>
        </w:rPr>
      </w:pPr>
      <w:r>
        <w:rPr>
          <w:rFonts w:eastAsia="仿宋_GB2312"/>
          <w:sz w:val="32"/>
          <w:szCs w:val="32"/>
        </w:rPr>
        <w:t>1、成立学校监督小组，监督学校工作，强化工作落实。</w:t>
      </w:r>
    </w:p>
    <w:p>
      <w:pPr>
        <w:pStyle w:val="21"/>
        <w:rPr>
          <w:rFonts w:eastAsia="仿宋_GB2312"/>
          <w:sz w:val="32"/>
          <w:szCs w:val="32"/>
        </w:rPr>
      </w:pPr>
      <w:r>
        <w:rPr>
          <w:rFonts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rPr>
          <w:rFonts w:eastAsia="仿宋_GB2312"/>
          <w:sz w:val="32"/>
          <w:szCs w:val="32"/>
        </w:rPr>
      </w:pPr>
      <w:r>
        <w:rPr>
          <w:rFonts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rPr>
          <w:rFonts w:eastAsia="仿宋_GB2312"/>
          <w:sz w:val="32"/>
          <w:szCs w:val="32"/>
        </w:rPr>
      </w:pPr>
      <w:r>
        <w:rPr>
          <w:rFonts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rPr>
          <w:rFonts w:eastAsia="仿宋_GB2312"/>
          <w:sz w:val="32"/>
          <w:szCs w:val="32"/>
        </w:rPr>
      </w:pPr>
      <w:r>
        <w:rPr>
          <w:rFonts w:hint="eastAsia" w:eastAsia="仿宋_GB2312"/>
          <w:sz w:val="32"/>
          <w:szCs w:val="32"/>
        </w:rPr>
        <w:t>6</w:t>
      </w:r>
      <w:r>
        <w:rPr>
          <w:rFonts w:eastAsia="仿宋_GB2312"/>
          <w:sz w:val="32"/>
          <w:szCs w:val="32"/>
        </w:rPr>
        <w:t>、加强政治理论学习，强化党风廉政建设。做好师德传承活动，落实老中青传帮带。弘扬办学精神。加强师德宣传与学习活动。开展形式多样、扎实有效的师德教育活动。</w:t>
      </w:r>
    </w:p>
    <w:p>
      <w:pPr>
        <w:pStyle w:val="21"/>
        <w:rPr>
          <w:rFonts w:eastAsia="仿宋_GB2312"/>
          <w:sz w:val="32"/>
          <w:szCs w:val="32"/>
        </w:rPr>
      </w:pPr>
      <w:r>
        <w:rPr>
          <w:rFonts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49"/>
        <w:gridCol w:w="1938"/>
        <w:gridCol w:w="2282"/>
        <w:gridCol w:w="4721"/>
        <w:gridCol w:w="675"/>
        <w:gridCol w:w="388"/>
        <w:gridCol w:w="1129"/>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hint="eastAsia" w:ascii="normal" w:hAnsi="normal" w:cs="normal"/>
                <w:b/>
                <w:bCs/>
                <w:color w:val="000000"/>
                <w:kern w:val="0"/>
                <w:sz w:val="33"/>
                <w:szCs w:val="33"/>
                <w:lang w:eastAsia="zh-CN" w:bidi="ar"/>
              </w:rPr>
              <w:t>单位</w:t>
            </w:r>
            <w:r>
              <w:rPr>
                <w:rFonts w:ascii="normal" w:hAnsi="normal" w:eastAsia="normal" w:cs="normal"/>
                <w:b/>
                <w:bCs/>
                <w:color w:val="000000"/>
                <w:kern w:val="0"/>
                <w:sz w:val="33"/>
                <w:szCs w:val="33"/>
                <w:lang w:bidi="ar"/>
              </w:rPr>
              <w:t>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0" w:type="auto"/>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236" w:type="dxa"/>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1966" w:type="dxa"/>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0" w:type="auto"/>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0" w:type="auto"/>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36" w:type="dxa"/>
            <w:shd w:val="clear" w:color="auto" w:fill="auto"/>
            <w:noWrap/>
          </w:tcPr>
          <w:p>
            <w:pPr>
              <w:jc w:val="left"/>
              <w:rPr>
                <w:rFonts w:hint="eastAsia" w:ascii="仿宋_GB2312" w:hAnsi="仿宋_GB2312" w:eastAsia="仿宋_GB2312" w:cs="仿宋_GB2312"/>
                <w:color w:val="000000"/>
                <w:sz w:val="22"/>
              </w:rPr>
            </w:pP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36" w:type="dxa"/>
            <w:shd w:val="clear" w:color="auto" w:fill="auto"/>
            <w:noWrap/>
          </w:tcPr>
          <w:p>
            <w:pPr>
              <w:jc w:val="left"/>
              <w:rPr>
                <w:rFonts w:hint="eastAsia" w:ascii="仿宋_GB2312" w:hAnsi="仿宋_GB2312" w:eastAsia="仿宋_GB2312" w:cs="仿宋_GB2312"/>
                <w:color w:val="000000"/>
                <w:sz w:val="22"/>
              </w:rPr>
            </w:pP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单位</w:t>
            </w:r>
            <w:r>
              <w:rPr>
                <w:rFonts w:hint="eastAsia" w:ascii="仿宋_GB2312" w:hAnsi="仿宋_GB2312" w:eastAsia="仿宋_GB2312" w:cs="仿宋_GB2312"/>
                <w:color w:val="000000"/>
                <w:kern w:val="0"/>
                <w:sz w:val="22"/>
                <w:lang w:bidi="ar"/>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spacing w:line="584" w:lineRule="exact"/>
        <w:rPr>
          <w:rFonts w:ascii="仿宋_GB2312" w:eastAsia="仿宋_GB2312" w:cs="Times New Roman"/>
          <w:sz w:val="32"/>
          <w:szCs w:val="32"/>
        </w:rPr>
      </w:pPr>
    </w:p>
    <w:p>
      <w:pPr>
        <w:numPr>
          <w:ilvl w:val="0"/>
          <w:numId w:val="2"/>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color w:val="000000"/>
          <w:sz w:val="28"/>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pPr w:leftFromText="180" w:rightFromText="180" w:vertAnchor="text" w:horzAnchor="page" w:tblpX="1598" w:tblpY="550"/>
        <w:tblOverlap w:val="never"/>
        <w:tblW w:w="5026" w:type="pct"/>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7"/>
        <w:gridCol w:w="7540"/>
        <w:gridCol w:w="50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14"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lang w:val="uk-UA"/>
              </w:rPr>
            </w:pPr>
          </w:p>
        </w:tc>
        <w:tc>
          <w:tcPr>
            <w:tcW w:w="1785" w:type="pct"/>
            <w:tcBorders>
              <w:top w:val="single" w:color="FFFFFF" w:sz="6" w:space="0"/>
              <w:left w:val="single" w:color="FFFFFF" w:sz="6" w:space="0"/>
              <w:right w:val="single" w:color="FFFFFF" w:sz="6" w:space="0"/>
            </w:tcBorders>
            <w:vAlign w:val="center"/>
          </w:tcPr>
          <w:p>
            <w:pPr>
              <w:pStyle w:val="13"/>
              <w:ind w:right="1050"/>
              <w:jc w:val="both"/>
              <w:rPr>
                <w:rFonts w:hint="eastAsia" w:ascii="仿宋_GB2312" w:hAnsi="仿宋_GB2312" w:eastAsia="仿宋_GB2312" w:cs="仿宋_GB2312"/>
                <w:lang w:val="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49"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4"/>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tbl>
      <w:tblPr>
        <w:tblStyle w:val="8"/>
        <w:tblpPr w:leftFromText="180" w:rightFromText="180" w:vertAnchor="text" w:horzAnchor="page" w:tblpX="1591" w:tblpY="164"/>
        <w:tblOverlap w:val="never"/>
        <w:tblW w:w="502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66"/>
        <w:gridCol w:w="1332"/>
        <w:gridCol w:w="2438"/>
        <w:gridCol w:w="2718"/>
        <w:gridCol w:w="1120"/>
        <w:gridCol w:w="4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55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4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6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9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5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1736人</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continue"/>
            <w:vAlign w:val="center"/>
          </w:tcPr>
          <w:p>
            <w:pPr>
              <w:rPr>
                <w:rFonts w:hint="eastAsia" w:ascii="仿宋_GB2312" w:hAnsi="仿宋_GB2312" w:eastAsia="仿宋_GB2312" w:cs="仿宋_GB2312"/>
              </w:rPr>
            </w:pP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continue"/>
            <w:vAlign w:val="center"/>
          </w:tcPr>
          <w:p>
            <w:pPr>
              <w:rPr>
                <w:rFonts w:hint="eastAsia" w:ascii="仿宋_GB2312" w:hAnsi="仿宋_GB2312" w:eastAsia="仿宋_GB2312" w:cs="仿宋_GB2312"/>
              </w:rPr>
            </w:pP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continue"/>
            <w:vAlign w:val="center"/>
          </w:tcPr>
          <w:p>
            <w:pPr>
              <w:rPr>
                <w:rFonts w:hint="eastAsia" w:ascii="仿宋_GB2312" w:hAnsi="仿宋_GB2312" w:eastAsia="仿宋_GB2312" w:cs="仿宋_GB2312"/>
              </w:rPr>
            </w:pP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846"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2"/>
        <w:gridCol w:w="124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5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1.廊坊市第二十五小学2022年在校学生1736人，按照义务教育生均公用经费标准申请财政预算资金，通过合理、合规使用资金达到保证学校正常运转，改善办学条件，促进义务教育发展。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0"/>
        <w:gridCol w:w="1450"/>
        <w:gridCol w:w="2060"/>
        <w:gridCol w:w="2860"/>
        <w:gridCol w:w="1174"/>
        <w:gridCol w:w="4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5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3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0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1736人</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continue"/>
            <w:vAlign w:val="center"/>
          </w:tcPr>
          <w:p>
            <w:pPr>
              <w:rPr>
                <w:rFonts w:hint="eastAsia" w:ascii="仿宋_GB2312" w:hAnsi="仿宋_GB2312" w:eastAsia="仿宋_GB2312" w:cs="仿宋_GB2312"/>
              </w:rPr>
            </w:pP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continue"/>
            <w:vAlign w:val="center"/>
          </w:tcPr>
          <w:p>
            <w:pPr>
              <w:rPr>
                <w:rFonts w:hint="eastAsia" w:ascii="仿宋_GB2312" w:hAnsi="仿宋_GB2312" w:eastAsia="仿宋_GB2312" w:cs="仿宋_GB2312"/>
              </w:rPr>
            </w:pP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continue"/>
            <w:vAlign w:val="center"/>
          </w:tcPr>
          <w:p>
            <w:pPr>
              <w:rPr>
                <w:rFonts w:hint="eastAsia" w:ascii="仿宋_GB2312" w:hAnsi="仿宋_GB2312" w:eastAsia="仿宋_GB2312" w:cs="仿宋_GB2312"/>
              </w:rPr>
            </w:pP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义务教育教育高质量发展</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9"/>
        <w:gridCol w:w="8918"/>
        <w:gridCol w:w="34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770"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lang w:val="uk-UA"/>
              </w:rPr>
            </w:pPr>
          </w:p>
        </w:tc>
        <w:tc>
          <w:tcPr>
            <w:tcW w:w="1229" w:type="pct"/>
            <w:tcBorders>
              <w:top w:val="single" w:color="FFFFFF" w:sz="6" w:space="0"/>
              <w:left w:val="single" w:color="FFFFFF" w:sz="6" w:space="0"/>
              <w:right w:val="single" w:color="FFFFFF" w:sz="6" w:space="0"/>
            </w:tcBorders>
            <w:vAlign w:val="center"/>
          </w:tcPr>
          <w:p>
            <w:pPr>
              <w:pStyle w:val="13"/>
              <w:ind w:right="1050"/>
              <w:jc w:val="both"/>
              <w:rPr>
                <w:rFonts w:hint="eastAsia" w:ascii="仿宋_GB2312" w:hAnsi="仿宋_GB2312" w:eastAsia="仿宋_GB2312" w:cs="仿宋_GB2312"/>
                <w:lang w:val="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29"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0"/>
        <w:gridCol w:w="2133"/>
        <w:gridCol w:w="2584"/>
        <w:gridCol w:w="2222"/>
        <w:gridCol w:w="3195"/>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79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4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8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76人工资福利</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76人</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1"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left"/>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1"/>
        <w:gridCol w:w="7787"/>
        <w:gridCol w:w="48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294"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lang w:val="uk-UA"/>
              </w:rPr>
            </w:pPr>
          </w:p>
        </w:tc>
        <w:tc>
          <w:tcPr>
            <w:tcW w:w="1705" w:type="pct"/>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jc w:val="center"/>
        </w:trPr>
        <w:tc>
          <w:tcPr>
            <w:tcW w:w="5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52"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2.改善办学条件，提高教育教学环境。3.开展文化体育等社会活动，提高学校社会影响力。4.开展教师培训，提高教师队伍水平。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2116"/>
        <w:gridCol w:w="2564"/>
        <w:gridCol w:w="4966"/>
        <w:gridCol w:w="1391"/>
        <w:gridCol w:w="1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0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75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9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5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≤4.82万元</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spacing w:line="584" w:lineRule="exact"/>
        <w:ind w:firstLine="640" w:firstLineChars="200"/>
        <w:outlineLvl w:val="0"/>
        <w:rPr>
          <w:rFonts w:ascii="Times New Roman" w:hAnsi="Times New Roman" w:eastAsia="仿宋_GB2312" w:cs="Times New Roman"/>
          <w:sz w:val="32"/>
          <w:szCs w:val="24"/>
        </w:rPr>
      </w:pP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outlineLvl w:val="1"/>
        <w:rPr>
          <w:rFonts w:ascii="方正小标宋_GBK" w:eastAsia="方正小标宋_GBK" w:cs="Times New Roman"/>
          <w:sz w:val="32"/>
        </w:rPr>
      </w:pPr>
      <w:r>
        <w:t>[464001]</w:t>
      </w:r>
      <w:r>
        <w:rPr>
          <w:rFonts w:hint="eastAsia"/>
        </w:rPr>
        <w:t>廊坊市第二十五小学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廊坊市第二十五小学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1417.5149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廊坊市第二十五小学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sz w:val="22"/>
              </w:rPr>
              <w:t>廊坊市第二十五小学</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417.5149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5662.4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1260.2092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5212.4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1160.0584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157.3057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C935FC-DFBE-4EAA-AD8C-5522ECB63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AE4DF300-C913-4C45-8AC4-F64ECE36854A}"/>
  </w:font>
  <w:font w:name="仿宋_GB2312">
    <w:panose1 w:val="02010609030101010101"/>
    <w:charset w:val="86"/>
    <w:family w:val="modern"/>
    <w:pitch w:val="default"/>
    <w:sig w:usb0="00000001" w:usb1="080E0000" w:usb2="00000000" w:usb3="00000000" w:csb0="00040000" w:csb1="00000000"/>
    <w:embedRegular r:id="rId3" w:fontKey="{9ADC6123-BC57-4C18-8399-FB5A132C47BC}"/>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rmal">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931C9"/>
    <w:multiLevelType w:val="singleLevel"/>
    <w:tmpl w:val="C92931C9"/>
    <w:lvl w:ilvl="0" w:tentative="0">
      <w:start w:val="2"/>
      <w:numFmt w:val="chineseCounting"/>
      <w:suff w:val="space"/>
      <w:lvlText w:val="第%1部分"/>
      <w:lvlJc w:val="left"/>
      <w:rPr>
        <w:rFonts w:hint="eastAsia"/>
      </w:rPr>
    </w:lvl>
  </w:abstractNum>
  <w:abstractNum w:abstractNumId="1">
    <w:nsid w:val="418C64C0"/>
    <w:multiLevelType w:val="multilevel"/>
    <w:tmpl w:val="418C64C0"/>
    <w:lvl w:ilvl="0" w:tentative="0">
      <w:start w:val="1"/>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065F4"/>
    <w:rsid w:val="00160125"/>
    <w:rsid w:val="001973A9"/>
    <w:rsid w:val="0025632D"/>
    <w:rsid w:val="003059E0"/>
    <w:rsid w:val="0049100E"/>
    <w:rsid w:val="004A54AA"/>
    <w:rsid w:val="00615D08"/>
    <w:rsid w:val="00744850"/>
    <w:rsid w:val="008E208A"/>
    <w:rsid w:val="00944233"/>
    <w:rsid w:val="009862F8"/>
    <w:rsid w:val="00AE004F"/>
    <w:rsid w:val="00B40732"/>
    <w:rsid w:val="00B80935"/>
    <w:rsid w:val="00CE70E6"/>
    <w:rsid w:val="00D347CC"/>
    <w:rsid w:val="00DC72B4"/>
    <w:rsid w:val="00DE67B0"/>
    <w:rsid w:val="00E25E24"/>
    <w:rsid w:val="00FF7295"/>
    <w:rsid w:val="06C74599"/>
    <w:rsid w:val="0753102F"/>
    <w:rsid w:val="0CEC1180"/>
    <w:rsid w:val="0E5222FF"/>
    <w:rsid w:val="21006F4F"/>
    <w:rsid w:val="217A696B"/>
    <w:rsid w:val="237425E5"/>
    <w:rsid w:val="28F4427F"/>
    <w:rsid w:val="324400C2"/>
    <w:rsid w:val="37EC3479"/>
    <w:rsid w:val="397F0B6A"/>
    <w:rsid w:val="3AF410E4"/>
    <w:rsid w:val="3FA66C55"/>
    <w:rsid w:val="4D4128AF"/>
    <w:rsid w:val="52FD7414"/>
    <w:rsid w:val="5F8A7587"/>
    <w:rsid w:val="73693C55"/>
    <w:rsid w:val="74774D45"/>
    <w:rsid w:val="7FCD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1106</Words>
  <Characters>6308</Characters>
  <Lines>52</Lines>
  <Paragraphs>14</Paragraphs>
  <TotalTime>43</TotalTime>
  <ScaleCrop>false</ScaleCrop>
  <LinksUpToDate>false</LinksUpToDate>
  <CharactersWithSpaces>7400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2023-08-01T08:18:11Z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228C75C9EA65403B8836A622A133DDB8</vt:lpwstr>
  </property>
</Properties>
</file>