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4" w:name="_GoBack"/>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广阳区第八幼儿园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广阳区第八幼儿园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autoSpaceDE w:val="0"/>
        <w:autoSpaceDN w:val="0"/>
        <w:adjustRightInd w:val="0"/>
        <w:spacing w:line="579"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廊坊市广阳区第八幼儿园成立于2020年，2021年9月投入使用，现有教职工18人，在园幼儿数118人，共设置4个寝教一体室，主要职责是对3周岁以上幼儿进行保育和教育。</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79" w:lineRule="exact"/>
            </w:pPr>
          </w:p>
        </w:tc>
        <w:tc>
          <w:tcPr>
            <w:tcW w:w="1134"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2902"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廊坊市广阳区第八幼儿园</w:t>
            </w:r>
          </w:p>
        </w:tc>
        <w:tc>
          <w:tcPr>
            <w:tcW w:w="1134"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科级以下</w:t>
            </w:r>
          </w:p>
        </w:tc>
        <w:tc>
          <w:tcPr>
            <w:tcW w:w="2902"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left"/>
              <w:rPr>
                <w:rFonts w:ascii="Times New Roman" w:hAnsi="Times New Roman" w:eastAsia="仿宋_GB2312" w:cs="Times New Roman"/>
              </w:rPr>
            </w:pPr>
          </w:p>
        </w:tc>
        <w:tc>
          <w:tcPr>
            <w:tcW w:w="1134"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2902"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left"/>
              <w:rPr>
                <w:rFonts w:ascii="Times New Roman" w:hAnsi="Times New Roman" w:eastAsia="仿宋_GB2312" w:cs="Times New Roman"/>
              </w:rPr>
            </w:pPr>
          </w:p>
        </w:tc>
        <w:tc>
          <w:tcPr>
            <w:tcW w:w="1134"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2902"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广阳区第八幼儿园</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175.48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175.48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广阳区第八幼儿园2022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175.48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175.48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175.48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175.48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增加4.72万元，主要为幼儿园生均经费支出，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170.76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合同制教师人员经费项目支出</w:t>
      </w:r>
      <w:r>
        <w:rPr>
          <w:rFonts w:ascii="Times New Roman" w:hAnsi="Times New Roman" w:eastAsia="仿宋_GB2312" w:cs="Times New Roman"/>
          <w:sz w:val="32"/>
          <w:szCs w:val="32"/>
        </w:rPr>
        <w:t>。</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单位无</w:t>
      </w:r>
      <w:r>
        <w:rPr>
          <w:rFonts w:ascii="Times New Roman" w:hAnsi="Times New Roman" w:eastAsia="仿宋_GB2312" w:cs="Times New Roman"/>
          <w:sz w:val="32"/>
          <w:szCs w:val="32"/>
        </w:rPr>
        <w:t>财政拨款“三公”经费预算</w:t>
      </w:r>
      <w:r>
        <w:rPr>
          <w:rFonts w:hint="eastAsia" w:ascii="Times New Roman" w:hAnsi="Times New Roman" w:eastAsia="仿宋_GB2312" w:cs="Times New Roman"/>
          <w:sz w:val="32"/>
          <w:szCs w:val="32"/>
        </w:rPr>
        <w:t>安排。(</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r>
        <w:rPr>
          <w:rFonts w:hint="eastAsia" w:ascii="Times New Roman" w:hAnsi="Times New Roman" w:eastAsia="仿宋_GB2312" w:cs="Times New Roman"/>
          <w:sz w:val="32"/>
          <w:szCs w:val="32"/>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 xml:space="preserve">第一部分 </w:t>
      </w:r>
      <w:r>
        <w:rPr>
          <w:rFonts w:hint="eastAsia" w:ascii="楷体_GB2312" w:hAnsi="Times New Roman" w:eastAsia="楷体_GB2312" w:cs="Times New Roman"/>
          <w:b/>
          <w:sz w:val="32"/>
          <w:szCs w:val="32"/>
          <w:lang w:eastAsia="zh-CN"/>
        </w:rPr>
        <w:t>单位</w:t>
      </w:r>
      <w:r>
        <w:rPr>
          <w:rFonts w:hint="eastAsia" w:ascii="楷体_GB2312" w:hAnsi="Times New Roman" w:eastAsia="楷体_GB2312" w:cs="Times New Roman"/>
          <w:b/>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1、提高学前教育水平，提供免费教科书，解决大班额问题及入学难问题。</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2、按质按量完成教育教学方面的各项任务，稳步提升学校的教育教学质量，学生综合素质评价优秀率达到85%,合格率达到100%。</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幼儿园公用经费水平逐年提高，改善学校办学条件，保障学前教育阶段学校基本教学条件，使学前教育学校教学设施和生活设施满足基本教学需要，保障后勤社会化服务资金充足，使学校能够正常运转，超大班额现象消除，教师数量、素质、结构基本适应教学需要。</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开展各类课题研究、园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7、办人民满意的学校,教师、学生、家长整体满意度达到90%以上。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1、成立学校监督小组，监督学校工作，强化工作落实。</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4、学校体育、卫生工作。根据《幼儿园健康体检管理办法》要求，对在校学生每年进行1次常规健康体检。</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8、加强政治理论学习，强化党风廉政建设。做好师德传承活动，落实老中青传帮带。弘扬办学精神。加强师德宣传与学习活动。开展形式多样、扎实有效的师德教育活动。</w:t>
      </w:r>
    </w:p>
    <w:p>
      <w:pPr>
        <w:spacing w:line="579"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逐步制订、完善相关制度，规范教师师德。加强校本培训和继续教育工作，提升教师能力。落实教师评价工作，完善考核机制。搭建教师发展平台。</w:t>
      </w: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spacing w:line="579" w:lineRule="exact"/>
        <w:ind w:firstLine="640" w:firstLineChars="200"/>
        <w:rPr>
          <w:rFonts w:hint="eastAsia" w:ascii="仿宋_GB2312" w:eastAsia="仿宋_GB2312" w:cs="Times New Roman"/>
          <w:sz w:val="32"/>
          <w:szCs w:val="32"/>
        </w:rPr>
      </w:pPr>
    </w:p>
    <w:p>
      <w:pPr>
        <w:numPr>
          <w:ilvl w:val="0"/>
          <w:numId w:val="1"/>
        </w:num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pPr w:leftFromText="180" w:rightFromText="180" w:vertAnchor="text" w:horzAnchor="page" w:tblpX="623" w:tblpY="703"/>
        <w:tblOverlap w:val="never"/>
        <w:tblW w:w="55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554"/>
        <w:gridCol w:w="2331"/>
        <w:gridCol w:w="2241"/>
        <w:gridCol w:w="3687"/>
        <w:gridCol w:w="831"/>
        <w:gridCol w:w="687"/>
        <w:gridCol w:w="1295"/>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10" w:type="pct"/>
            <w:vMerge w:val="restart"/>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一级指标</w:t>
            </w:r>
          </w:p>
        </w:tc>
        <w:tc>
          <w:tcPr>
            <w:tcW w:w="504" w:type="pct"/>
            <w:vMerge w:val="restart"/>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二级指标</w:t>
            </w:r>
          </w:p>
        </w:tc>
        <w:tc>
          <w:tcPr>
            <w:tcW w:w="757" w:type="pct"/>
            <w:vMerge w:val="restart"/>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三级指标</w:t>
            </w:r>
          </w:p>
        </w:tc>
        <w:tc>
          <w:tcPr>
            <w:tcW w:w="727" w:type="pct"/>
            <w:vMerge w:val="restart"/>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绩效指标描述</w:t>
            </w:r>
          </w:p>
        </w:tc>
        <w:tc>
          <w:tcPr>
            <w:tcW w:w="1197" w:type="pct"/>
            <w:vMerge w:val="restart"/>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评（扣）分标准</w:t>
            </w:r>
          </w:p>
        </w:tc>
        <w:tc>
          <w:tcPr>
            <w:tcW w:w="913" w:type="pct"/>
            <w:gridSpan w:val="3"/>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指标值</w:t>
            </w:r>
          </w:p>
        </w:tc>
        <w:tc>
          <w:tcPr>
            <w:tcW w:w="488" w:type="pct"/>
            <w:vMerge w:val="restart"/>
            <w:tcBorders>
              <w:top w:val="single" w:color="auto" w:sz="4" w:space="0"/>
              <w:bottom w:val="single" w:color="auto" w:sz="4" w:space="0"/>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方正书宋_GBK" w:eastAsia="方正书宋_GBK"/>
                <w:b/>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0" w:type="pct"/>
            <w:vMerge w:val="continue"/>
            <w:tcBorders>
              <w:top w:val="single" w:color="auto" w:sz="4" w:space="0"/>
              <w:tl2br w:val="nil"/>
              <w:tr2bl w:val="nil"/>
            </w:tcBorders>
            <w:shd w:val="clear" w:color="auto" w:fill="auto"/>
            <w:vAlign w:val="center"/>
          </w:tcPr>
          <w:p>
            <w:pPr>
              <w:spacing w:line="240" w:lineRule="auto"/>
              <w:jc w:val="center"/>
              <w:rPr>
                <w:rFonts w:ascii="方正书宋_GBK" w:eastAsia="方正书宋_GBK"/>
                <w:b/>
              </w:rPr>
            </w:pPr>
          </w:p>
        </w:tc>
        <w:tc>
          <w:tcPr>
            <w:tcW w:w="504" w:type="pct"/>
            <w:vMerge w:val="continue"/>
            <w:tcBorders>
              <w:top w:val="single" w:color="auto" w:sz="4" w:space="0"/>
              <w:tl2br w:val="nil"/>
              <w:tr2bl w:val="nil"/>
            </w:tcBorders>
            <w:shd w:val="clear" w:color="auto" w:fill="auto"/>
            <w:vAlign w:val="center"/>
          </w:tcPr>
          <w:p>
            <w:pPr>
              <w:spacing w:line="240" w:lineRule="auto"/>
              <w:jc w:val="center"/>
              <w:rPr>
                <w:rFonts w:ascii="方正书宋_GBK" w:eastAsia="方正书宋_GBK"/>
                <w:b/>
              </w:rPr>
            </w:pPr>
          </w:p>
        </w:tc>
        <w:tc>
          <w:tcPr>
            <w:tcW w:w="757" w:type="pct"/>
            <w:vMerge w:val="continue"/>
            <w:tcBorders>
              <w:top w:val="single" w:color="auto" w:sz="4" w:space="0"/>
              <w:tl2br w:val="nil"/>
              <w:tr2bl w:val="nil"/>
            </w:tcBorders>
            <w:shd w:val="clear" w:color="auto" w:fill="auto"/>
            <w:vAlign w:val="center"/>
          </w:tcPr>
          <w:p>
            <w:pPr>
              <w:spacing w:line="240" w:lineRule="auto"/>
              <w:jc w:val="center"/>
              <w:rPr>
                <w:rFonts w:ascii="方正书宋_GBK" w:eastAsia="方正书宋_GBK"/>
                <w:b/>
              </w:rPr>
            </w:pPr>
          </w:p>
        </w:tc>
        <w:tc>
          <w:tcPr>
            <w:tcW w:w="727" w:type="pct"/>
            <w:vMerge w:val="continue"/>
            <w:tcBorders>
              <w:top w:val="single" w:color="auto" w:sz="4" w:space="0"/>
              <w:tl2br w:val="nil"/>
              <w:tr2bl w:val="nil"/>
            </w:tcBorders>
            <w:shd w:val="clear" w:color="auto" w:fill="auto"/>
            <w:vAlign w:val="center"/>
          </w:tcPr>
          <w:p>
            <w:pPr>
              <w:spacing w:line="240" w:lineRule="auto"/>
              <w:jc w:val="center"/>
              <w:rPr>
                <w:rFonts w:ascii="方正书宋_GBK" w:eastAsia="方正书宋_GBK"/>
                <w:b/>
              </w:rPr>
            </w:pPr>
          </w:p>
        </w:tc>
        <w:tc>
          <w:tcPr>
            <w:tcW w:w="1197" w:type="pct"/>
            <w:vMerge w:val="continue"/>
            <w:tcBorders>
              <w:top w:val="single" w:color="auto" w:sz="4" w:space="0"/>
              <w:tl2br w:val="nil"/>
              <w:tr2bl w:val="nil"/>
            </w:tcBorders>
            <w:shd w:val="clear" w:color="auto" w:fill="auto"/>
            <w:vAlign w:val="center"/>
          </w:tcPr>
          <w:p>
            <w:pPr>
              <w:spacing w:line="240" w:lineRule="auto"/>
              <w:jc w:val="center"/>
              <w:rPr>
                <w:rFonts w:ascii="方正书宋_GBK" w:eastAsia="方正书宋_GBK"/>
                <w:b/>
              </w:rPr>
            </w:pPr>
          </w:p>
        </w:tc>
        <w:tc>
          <w:tcPr>
            <w:tcW w:w="269" w:type="pct"/>
            <w:tcBorders>
              <w:top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符号</w:t>
            </w:r>
          </w:p>
        </w:tc>
        <w:tc>
          <w:tcPr>
            <w:tcW w:w="223" w:type="pct"/>
            <w:tcBorders>
              <w:top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值</w:t>
            </w:r>
          </w:p>
        </w:tc>
        <w:tc>
          <w:tcPr>
            <w:tcW w:w="420" w:type="pct"/>
            <w:tcBorders>
              <w:top w:val="single" w:color="auto" w:sz="4" w:space="0"/>
              <w:tl2br w:val="nil"/>
              <w:tr2bl w:val="nil"/>
            </w:tcBorders>
            <w:shd w:val="clear" w:color="auto" w:fill="auto"/>
            <w:vAlign w:val="center"/>
          </w:tcPr>
          <w:p>
            <w:pPr>
              <w:widowControl/>
              <w:spacing w:line="240" w:lineRule="auto"/>
              <w:jc w:val="center"/>
              <w:textAlignment w:val="center"/>
              <w:rPr>
                <w:rFonts w:ascii="方正书宋_GBK" w:eastAsia="方正书宋_GBK"/>
                <w:b/>
              </w:rPr>
            </w:pPr>
            <w:r>
              <w:rPr>
                <w:rFonts w:hint="eastAsia" w:ascii="方正书宋_GBK" w:eastAsia="方正书宋_GBK"/>
                <w:b/>
              </w:rPr>
              <w:t>单位（文字描述）</w:t>
            </w:r>
          </w:p>
        </w:tc>
        <w:tc>
          <w:tcPr>
            <w:tcW w:w="488" w:type="pct"/>
            <w:vMerge w:val="continue"/>
            <w:tcBorders>
              <w:top w:val="single" w:color="auto" w:sz="4" w:space="0"/>
              <w:tl2br w:val="nil"/>
              <w:tr2bl w:val="nil"/>
            </w:tcBorders>
            <w:shd w:val="clear" w:color="auto" w:fill="auto"/>
            <w:vAlign w:val="center"/>
          </w:tcPr>
          <w:p>
            <w:pPr>
              <w:spacing w:line="240" w:lineRule="auto"/>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restart"/>
            <w:tcBorders>
              <w:tl2br w:val="nil"/>
              <w:tr2bl w:val="nil"/>
            </w:tcBorders>
            <w:shd w:val="clear" w:color="auto" w:fill="auto"/>
            <w:noWrap/>
          </w:tcPr>
          <w:p>
            <w:pPr>
              <w:widowControl/>
              <w:spacing w:line="240" w:lineRule="auto"/>
              <w:jc w:val="center"/>
              <w:textAlignment w:val="center"/>
              <w:rPr>
                <w:rFonts w:ascii="方正书宋_GBK" w:eastAsia="方正书宋_GBK"/>
                <w:bCs/>
              </w:rPr>
            </w:pPr>
          </w:p>
          <w:p>
            <w:pPr>
              <w:widowControl/>
              <w:spacing w:line="240" w:lineRule="auto"/>
              <w:jc w:val="center"/>
              <w:textAlignment w:val="center"/>
              <w:rPr>
                <w:rFonts w:ascii="方正书宋_GBK" w:eastAsia="方正书宋_GBK"/>
                <w:bCs/>
              </w:rPr>
            </w:pPr>
          </w:p>
          <w:p>
            <w:pPr>
              <w:widowControl/>
              <w:spacing w:line="240" w:lineRule="auto"/>
              <w:jc w:val="center"/>
              <w:textAlignment w:val="center"/>
              <w:rPr>
                <w:rFonts w:ascii="方正书宋_GBK" w:eastAsia="方正书宋_GBK"/>
                <w:bCs/>
              </w:rPr>
            </w:pPr>
            <w:r>
              <w:rPr>
                <w:rFonts w:hint="eastAsia" w:ascii="方正书宋_GBK" w:eastAsia="方正书宋_GBK"/>
                <w:bCs/>
              </w:rPr>
              <w:t>产出指标</w:t>
            </w: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数量指标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幼儿园毕业生生合格率</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幼儿园毕业生合格率</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20分毕业生合格率100%得满分，否则不得分</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100</w:t>
            </w: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continue"/>
            <w:tcBorders>
              <w:tl2br w:val="nil"/>
              <w:tr2bl w:val="nil"/>
            </w:tcBorders>
            <w:shd w:val="clear" w:color="auto" w:fill="auto"/>
            <w:noWrap/>
          </w:tcPr>
          <w:p>
            <w:pPr>
              <w:widowControl/>
              <w:spacing w:line="240" w:lineRule="auto"/>
              <w:jc w:val="center"/>
              <w:textAlignment w:val="center"/>
              <w:rPr>
                <w:rFonts w:ascii="方正书宋_GBK" w:eastAsia="方正书宋_GBK"/>
                <w:bCs/>
              </w:rPr>
            </w:pP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数量指标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重点工作实际完成率</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重点工作实际完成率</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10分不低于95%得满分，否则不得分</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95</w:t>
            </w: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continue"/>
            <w:tcBorders>
              <w:tl2br w:val="nil"/>
              <w:tr2bl w:val="nil"/>
            </w:tcBorders>
            <w:shd w:val="clear" w:color="auto" w:fill="auto"/>
            <w:noWrap/>
          </w:tcPr>
          <w:p>
            <w:pPr>
              <w:widowControl/>
              <w:spacing w:line="240" w:lineRule="auto"/>
              <w:jc w:val="center"/>
              <w:textAlignment w:val="center"/>
              <w:rPr>
                <w:rFonts w:ascii="方正书宋_GBK" w:eastAsia="方正书宋_GBK"/>
                <w:bCs/>
              </w:rPr>
            </w:pP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质量指标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采购物资、建设工程合格率</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采购物资、建设工程合格率</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20分合格率100%得满分，否则不得分</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100</w:t>
            </w: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continue"/>
            <w:tcBorders>
              <w:tl2br w:val="nil"/>
              <w:tr2bl w:val="nil"/>
            </w:tcBorders>
            <w:shd w:val="clear" w:color="auto" w:fill="auto"/>
            <w:noWrap/>
          </w:tcPr>
          <w:p>
            <w:pPr>
              <w:widowControl/>
              <w:spacing w:line="240" w:lineRule="auto"/>
              <w:jc w:val="center"/>
              <w:textAlignment w:val="center"/>
              <w:rPr>
                <w:rFonts w:ascii="方正书宋_GBK" w:eastAsia="方正书宋_GBK"/>
                <w:bCs/>
              </w:rPr>
            </w:pP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时效指标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学校的各项工作任务及时完成情况</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幼儿园的各项工作任务及时完成情况</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10分及时完成得满分，否则不得分</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文字描述</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及时</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continue"/>
            <w:tcBorders>
              <w:tl2br w:val="nil"/>
              <w:tr2bl w:val="nil"/>
            </w:tcBorders>
            <w:shd w:val="clear" w:color="auto" w:fill="auto"/>
            <w:noWrap/>
          </w:tcPr>
          <w:p>
            <w:pPr>
              <w:widowControl/>
              <w:spacing w:line="240" w:lineRule="auto"/>
              <w:jc w:val="center"/>
              <w:textAlignment w:val="center"/>
              <w:rPr>
                <w:rFonts w:ascii="方正书宋_GBK" w:eastAsia="方正书宋_GBK"/>
                <w:bCs/>
              </w:rPr>
            </w:pP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成本指标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教育经费使用控制率</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支出的公用经费总额与预算安排的比率</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10分教育经费决算数不大于调整预算数得满分，否则不得分。</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文字描述</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教育经费决算数不大于调整预算数</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tcBorders>
              <w:tl2br w:val="nil"/>
              <w:tr2bl w:val="nil"/>
            </w:tcBorders>
            <w:shd w:val="clear" w:color="auto" w:fill="auto"/>
            <w:noWrap/>
          </w:tcPr>
          <w:p>
            <w:pPr>
              <w:widowControl/>
              <w:spacing w:line="240" w:lineRule="auto"/>
              <w:jc w:val="center"/>
              <w:textAlignment w:val="center"/>
              <w:rPr>
                <w:rFonts w:ascii="方正书宋_GBK" w:eastAsia="方正书宋_GBK"/>
                <w:bCs/>
              </w:rPr>
            </w:pPr>
            <w:r>
              <w:rPr>
                <w:rFonts w:hint="eastAsia" w:ascii="方正书宋_GBK" w:eastAsia="方正书宋_GBK"/>
                <w:bCs/>
              </w:rPr>
              <w:t>效益指标</w:t>
            </w: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社会效益指标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学前教育教育高质量发展</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推动学前教育从数量扩张向质量提高转变</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10分学生、家长、社会对学校整体满意度达到95%得满分，每降低1%扣1分，扣完为止。</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95</w:t>
            </w: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lang w:eastAsia="zh-CN"/>
              </w:rPr>
              <w:t>单位</w:t>
            </w:r>
            <w:r>
              <w:rPr>
                <w:rFonts w:hint="eastAsia" w:ascii="仿宋_GB2312" w:hAnsi="仿宋_GB2312" w:eastAsia="仿宋_GB2312" w:cs="仿宋_GB2312"/>
                <w:bCs/>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restart"/>
            <w:tcBorders>
              <w:tl2br w:val="nil"/>
              <w:tr2bl w:val="nil"/>
            </w:tcBorders>
            <w:shd w:val="clear" w:color="auto" w:fill="auto"/>
            <w:noWrap/>
          </w:tcPr>
          <w:p>
            <w:pPr>
              <w:widowControl/>
              <w:spacing w:line="240" w:lineRule="auto"/>
              <w:jc w:val="center"/>
              <w:textAlignment w:val="center"/>
              <w:rPr>
                <w:rFonts w:ascii="方正书宋_GBK" w:eastAsia="方正书宋_GBK"/>
                <w:bCs/>
              </w:rPr>
            </w:pPr>
            <w:r>
              <w:rPr>
                <w:rFonts w:hint="eastAsia" w:ascii="方正书宋_GBK" w:eastAsia="方正书宋_GBK"/>
                <w:bCs/>
              </w:rPr>
              <w:t>满意度指标</w:t>
            </w: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服务对象满意度指标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在校师生的满意程度</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在校师幼儿的满意程度</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10分在校师生的满意度达到95%得满分，每降低1%扣1分，扣完为止。</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95</w:t>
            </w: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10" w:type="pct"/>
            <w:vMerge w:val="continue"/>
            <w:tcBorders>
              <w:tl2br w:val="nil"/>
              <w:tr2bl w:val="nil"/>
            </w:tcBorders>
            <w:shd w:val="clear" w:color="auto" w:fill="auto"/>
            <w:noWrap/>
          </w:tcPr>
          <w:p>
            <w:pPr>
              <w:widowControl/>
              <w:spacing w:line="240" w:lineRule="auto"/>
              <w:jc w:val="center"/>
              <w:textAlignment w:val="center"/>
              <w:rPr>
                <w:rFonts w:ascii="方正书宋_GBK" w:eastAsia="方正书宋_GBK"/>
                <w:bCs/>
              </w:rPr>
            </w:pPr>
          </w:p>
        </w:tc>
        <w:tc>
          <w:tcPr>
            <w:tcW w:w="504" w:type="pct"/>
            <w:tcBorders>
              <w:tl2br w:val="nil"/>
              <w:tr2bl w:val="nil"/>
            </w:tcBorders>
            <w:shd w:val="clear" w:color="auto" w:fill="auto"/>
            <w:noWrap/>
            <w:vAlign w:val="center"/>
          </w:tcPr>
          <w:p>
            <w:pPr>
              <w:widowControl/>
              <w:spacing w:line="240" w:lineRule="auto"/>
              <w:jc w:val="center"/>
              <w:textAlignment w:val="center"/>
              <w:rPr>
                <w:rFonts w:ascii="方正书宋_GBK" w:eastAsia="方正书宋_GBK"/>
                <w:bCs/>
              </w:rPr>
            </w:pPr>
            <w:r>
              <w:rPr>
                <w:rFonts w:hint="eastAsia" w:ascii="方正书宋_GBK" w:eastAsia="方正书宋_GBK"/>
                <w:bCs/>
              </w:rPr>
              <w:t>服务对象满意度指标</w:t>
            </w:r>
          </w:p>
        </w:tc>
        <w:tc>
          <w:tcPr>
            <w:tcW w:w="75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家长的满意程度</w:t>
            </w:r>
          </w:p>
        </w:tc>
        <w:tc>
          <w:tcPr>
            <w:tcW w:w="72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家长的满意程度</w:t>
            </w:r>
          </w:p>
        </w:tc>
        <w:tc>
          <w:tcPr>
            <w:tcW w:w="1197"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10分家长的满意度达到95%得满分，每降低1%扣1分，扣完为止。</w:t>
            </w:r>
          </w:p>
        </w:tc>
        <w:tc>
          <w:tcPr>
            <w:tcW w:w="269"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223"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95</w:t>
            </w:r>
          </w:p>
        </w:tc>
        <w:tc>
          <w:tcPr>
            <w:tcW w:w="420"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w:t>
            </w:r>
          </w:p>
        </w:tc>
        <w:tc>
          <w:tcPr>
            <w:tcW w:w="488" w:type="pct"/>
            <w:tcBorders>
              <w:tl2br w:val="nil"/>
              <w:tr2bl w:val="nil"/>
            </w:tcBorders>
            <w:shd w:val="clear" w:color="auto" w:fill="auto"/>
            <w:noWrap/>
          </w:tcPr>
          <w:p>
            <w:pPr>
              <w:widowControl/>
              <w:spacing w:line="240" w:lineRule="auto"/>
              <w:jc w:val="left"/>
              <w:textAlignment w:val="center"/>
              <w:rPr>
                <w:rFonts w:hint="eastAsia" w:ascii="仿宋_GB2312" w:hAnsi="仿宋_GB2312" w:eastAsia="仿宋_GB2312" w:cs="仿宋_GB2312"/>
                <w:bCs/>
              </w:rPr>
            </w:pPr>
            <w:r>
              <w:rPr>
                <w:rFonts w:hint="eastAsia" w:ascii="仿宋_GB2312" w:hAnsi="仿宋_GB2312" w:eastAsia="仿宋_GB2312" w:cs="仿宋_GB2312"/>
                <w:bCs/>
              </w:rPr>
              <w:t>调查问卷</w:t>
            </w:r>
          </w:p>
        </w:tc>
      </w:tr>
    </w:tbl>
    <w:p>
      <w:pPr>
        <w:spacing w:line="579" w:lineRule="exact"/>
        <w:jc w:val="left"/>
        <w:rPr>
          <w:rFonts w:ascii="仿宋_GB2312" w:eastAsia="仿宋_GB2312" w:cs="Times New Roman"/>
          <w:sz w:val="32"/>
          <w:szCs w:val="32"/>
        </w:rPr>
      </w:pPr>
    </w:p>
    <w:p>
      <w:pPr>
        <w:numPr>
          <w:ilvl w:val="0"/>
          <w:numId w:val="0"/>
        </w:numPr>
        <w:spacing w:line="579" w:lineRule="exact"/>
        <w:rPr>
          <w:rFonts w:hint="eastAsia" w:ascii="Times New Roman" w:hAnsi="Times New Roman" w:eastAsia="黑体" w:cs="Times New Roman"/>
          <w:sz w:val="32"/>
          <w:szCs w:val="32"/>
        </w:rPr>
      </w:pPr>
    </w:p>
    <w:p>
      <w:pPr>
        <w:numPr>
          <w:ilvl w:val="0"/>
          <w:numId w:val="0"/>
        </w:numPr>
        <w:spacing w:line="579" w:lineRule="exact"/>
        <w:rPr>
          <w:rFonts w:hint="eastAsia" w:ascii="Times New Roman" w:hAnsi="Times New Roman" w:eastAsia="黑体" w:cs="Times New Roman"/>
          <w:sz w:val="32"/>
          <w:szCs w:val="32"/>
        </w:rPr>
      </w:pPr>
    </w:p>
    <w:p>
      <w:pPr>
        <w:numPr>
          <w:ilvl w:val="0"/>
          <w:numId w:val="0"/>
        </w:numPr>
        <w:spacing w:line="579" w:lineRule="exact"/>
        <w:ind w:firstLine="640" w:firstLineChars="200"/>
        <w:rPr>
          <w:rFonts w:ascii="方正仿宋_GBK" w:hAnsi="方正仿宋_GBK" w:eastAsia="方正仿宋_GBK" w:cs="方正仿宋_GBK"/>
          <w:color w:val="000000"/>
          <w:sz w:val="28"/>
        </w:rPr>
      </w:pPr>
      <w:r>
        <w:rPr>
          <w:rFonts w:hint="eastAsia" w:ascii="Times New Roman" w:hAnsi="Times New Roman" w:eastAsia="黑体" w:cs="Times New Roman"/>
          <w:sz w:val="32"/>
          <w:szCs w:val="32"/>
          <w:lang w:eastAsia="zh-CN"/>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bookmarkStart w:id="0" w:name="_Toc_4_4_0000000004"/>
    </w:p>
    <w:p>
      <w:pPr>
        <w:spacing w:line="240" w:lineRule="auto"/>
        <w:ind w:firstLine="560" w:firstLineChars="200"/>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1.廊坊市广阳区第八幼儿园合同制教师人员经费绩效目标表</w:t>
      </w:r>
      <w:bookmarkEnd w:id="0"/>
    </w:p>
    <w:tbl>
      <w:tblPr>
        <w:tblStyle w:val="8"/>
        <w:tblW w:w="1126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8"/>
        <w:gridCol w:w="950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758"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950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1.目标内容1缓解教师短缺，保障教育教学正常的进行。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2.目标内容2保障教学质量，提升教育水平</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3.目标内容3保障合同制教师工资福利待遇，并及时发放。</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4.目标内容4学生、学校、家长对合同制教师的满意度达到95%以上。</w:t>
            </w:r>
          </w:p>
        </w:tc>
      </w:tr>
    </w:tbl>
    <w:p>
      <w:pPr>
        <w:spacing w:line="240" w:lineRule="auto"/>
        <w:jc w:val="center"/>
        <w:rPr>
          <w:rFonts w:hint="eastAsia" w:ascii="仿宋_GB2312" w:hAnsi="仿宋_GB2312" w:eastAsia="仿宋_GB2312" w:cs="仿宋_GB2312"/>
        </w:rPr>
      </w:pPr>
    </w:p>
    <w:tbl>
      <w:tblPr>
        <w:tblStyle w:val="8"/>
        <w:tblW w:w="113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2"/>
        <w:gridCol w:w="1464"/>
        <w:gridCol w:w="1517"/>
        <w:gridCol w:w="2386"/>
        <w:gridCol w:w="1595"/>
        <w:gridCol w:w="2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46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51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38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95"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2929"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合同制教师在园人数</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保障2022年合同制教师15人工资福利</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15人</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合同制教师完成岗位目标率</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合同制教师岗位目标明确，并得以执行</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≥98%</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合同制教师短缺，保障教育教学正常地进行</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所教幼儿园班级幼儿满意度</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幼儿园满意度</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在园教师满意度</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2"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1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38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所教幼儿园班级家长满意度</w:t>
            </w:r>
          </w:p>
        </w:tc>
        <w:tc>
          <w:tcPr>
            <w:tcW w:w="159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292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jc w:val="left"/>
        <w:outlineLvl w:val="3"/>
        <w:rPr>
          <w:rFonts w:hint="eastAsia" w:ascii="仿宋_GB2312" w:hAnsi="仿宋_GB2312" w:eastAsia="仿宋_GB2312" w:cs="仿宋_GB2312"/>
          <w:color w:val="000000"/>
          <w:sz w:val="28"/>
        </w:rPr>
      </w:pPr>
    </w:p>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2.幼儿园生均经费绩效目标表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04"/>
        <w:gridCol w:w="94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0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948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1.目标内容1通过合理、合规使用资金达到保证幼儿园正常运转，进一步提高办园水平，改善办学条件，促进学前教育高质量发展。</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13"/>
        <w:gridCol w:w="1735"/>
        <w:gridCol w:w="2169"/>
        <w:gridCol w:w="764"/>
        <w:gridCol w:w="51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01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735"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169"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6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510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01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73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16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按文件要求申请公用经费的幼儿园人数</w:t>
            </w:r>
          </w:p>
        </w:tc>
        <w:tc>
          <w:tcPr>
            <w:tcW w:w="7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118人</w:t>
            </w:r>
          </w:p>
        </w:tc>
        <w:tc>
          <w:tcPr>
            <w:tcW w:w="51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01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73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生均公用经费使用的合格率</w:t>
            </w:r>
          </w:p>
        </w:tc>
        <w:tc>
          <w:tcPr>
            <w:tcW w:w="216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7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51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01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73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用于保障幼儿园正常运转项目完成及时率</w:t>
            </w:r>
          </w:p>
        </w:tc>
        <w:tc>
          <w:tcPr>
            <w:tcW w:w="216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7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51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01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73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216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使用生均公用经费，用于保障学校正常运转的项目支出成本等于400元/生/年</w:t>
            </w:r>
          </w:p>
        </w:tc>
        <w:tc>
          <w:tcPr>
            <w:tcW w:w="7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400元</w:t>
            </w:r>
          </w:p>
        </w:tc>
        <w:tc>
          <w:tcPr>
            <w:tcW w:w="51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01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3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学前教育高质是发展</w:t>
            </w:r>
          </w:p>
        </w:tc>
        <w:tc>
          <w:tcPr>
            <w:tcW w:w="216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7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51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1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3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6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7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51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79" w:lineRule="exact"/>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3"/>
    </w:p>
    <w:p>
      <w:pPr>
        <w:spacing w:line="579" w:lineRule="exact"/>
        <w:jc w:val="left"/>
        <w:outlineLvl w:val="1"/>
        <w:rPr>
          <w:rFonts w:ascii="方正小标宋_GBK" w:eastAsia="方正小标宋_GBK" w:cs="Times New Roman"/>
          <w:sz w:val="32"/>
        </w:rPr>
      </w:pPr>
      <w:r>
        <w:t>廊坊市</w:t>
      </w:r>
      <w:r>
        <w:rPr>
          <w:rFonts w:hint="eastAsia"/>
        </w:rPr>
        <w:t>广阳区广阳区第八幼儿园</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w:t>
            </w:r>
            <w:r>
              <w:rPr>
                <w:rFonts w:hint="eastAsia"/>
                <w:lang w:eastAsia="zh-CN"/>
              </w:rPr>
              <w:t>单位</w:t>
            </w:r>
            <w:r>
              <w:t>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廊坊市</w:t>
      </w:r>
      <w:r>
        <w:rPr>
          <w:rFonts w:hint="eastAsia" w:ascii="Times New Roman" w:hAnsi="Times New Roman" w:eastAsia="仿宋_GB2312" w:cs="Times New Roman"/>
          <w:color w:val="FF0000"/>
          <w:sz w:val="32"/>
          <w:szCs w:val="32"/>
        </w:rPr>
        <w:t>广阳区第八幼儿园</w:t>
      </w:r>
      <w:r>
        <w:rPr>
          <w:rFonts w:ascii="Times New Roman" w:hAnsi="Times New Roman" w:eastAsia="仿宋_GB2312" w:cs="Times New Roman"/>
          <w:color w:val="FF0000"/>
          <w:sz w:val="32"/>
          <w:szCs w:val="32"/>
        </w:rPr>
        <w:t>上年末固定资产金额为</w:t>
      </w:r>
      <w:r>
        <w:rPr>
          <w:rFonts w:hint="eastAsia" w:ascii="Times New Roman" w:hAnsi="Times New Roman" w:eastAsia="仿宋_GB2312" w:cs="Times New Roman"/>
          <w:color w:val="FF0000"/>
          <w:sz w:val="32"/>
          <w:szCs w:val="32"/>
        </w:rPr>
        <w:t>0</w:t>
      </w:r>
      <w:r>
        <w:rPr>
          <w:rFonts w:ascii="Times New Roman" w:hAnsi="Times New Roman" w:eastAsia="仿宋_GB2312" w:cs="Times New Roman"/>
          <w:color w:val="FF0000"/>
          <w:sz w:val="32"/>
          <w:szCs w:val="32"/>
        </w:rPr>
        <w:t>万元</w:t>
      </w:r>
      <w:r>
        <w:rPr>
          <w:rFonts w:hint="eastAsia" w:ascii="Times New Roman" w:hAnsi="Times New Roman" w:eastAsia="仿宋_GB2312" w:cs="Times New Roman"/>
          <w:color w:val="FF0000"/>
          <w:sz w:val="32"/>
          <w:szCs w:val="32"/>
        </w:rPr>
        <w:t>（详见下表）</w:t>
      </w:r>
      <w:r>
        <w:rPr>
          <w:rFonts w:ascii="Times New Roman" w:hAnsi="Times New Roman" w:eastAsia="仿宋_GB2312" w:cs="Times New Roman"/>
          <w:color w:val="FF0000"/>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广阳区第八幼儿园</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广阳区第幼八幼儿园</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DC0B05-C838-4775-915F-56DC5E95F1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6EF81736-C402-4D76-BF80-EA6EB4B1AD43}"/>
  </w:font>
  <w:font w:name="仿宋_GB2312">
    <w:panose1 w:val="02010609030101010101"/>
    <w:charset w:val="86"/>
    <w:family w:val="modern"/>
    <w:pitch w:val="default"/>
    <w:sig w:usb0="00000001" w:usb1="080E0000" w:usb2="00000000" w:usb3="00000000" w:csb0="00040000" w:csb1="00000000"/>
    <w:embedRegular r:id="rId3" w:fontKey="{3F529D1D-81B0-465D-986F-F5F3D3F65C36}"/>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embedRegular r:id="rId4" w:fontKey="{1D878D78-616A-4173-B1F1-E021F51E1CD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13</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076F2"/>
    <w:multiLevelType w:val="singleLevel"/>
    <w:tmpl w:val="256076F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3B0C9E"/>
    <w:rsid w:val="004A54AA"/>
    <w:rsid w:val="006D2A98"/>
    <w:rsid w:val="007370ED"/>
    <w:rsid w:val="007B1509"/>
    <w:rsid w:val="00944233"/>
    <w:rsid w:val="00970F1F"/>
    <w:rsid w:val="00A47E49"/>
    <w:rsid w:val="00B40732"/>
    <w:rsid w:val="00B57C38"/>
    <w:rsid w:val="00B80935"/>
    <w:rsid w:val="00D347CC"/>
    <w:rsid w:val="00DC72B4"/>
    <w:rsid w:val="0A714A3D"/>
    <w:rsid w:val="0CEC1180"/>
    <w:rsid w:val="0FAB751C"/>
    <w:rsid w:val="0FBF50D9"/>
    <w:rsid w:val="10284C60"/>
    <w:rsid w:val="160E21CF"/>
    <w:rsid w:val="195C6645"/>
    <w:rsid w:val="19820C8E"/>
    <w:rsid w:val="1DB10526"/>
    <w:rsid w:val="2175353F"/>
    <w:rsid w:val="276309E1"/>
    <w:rsid w:val="35280470"/>
    <w:rsid w:val="3E9937CD"/>
    <w:rsid w:val="45666CD5"/>
    <w:rsid w:val="46A22503"/>
    <w:rsid w:val="4C947E41"/>
    <w:rsid w:val="50841656"/>
    <w:rsid w:val="577425CE"/>
    <w:rsid w:val="57FA3D86"/>
    <w:rsid w:val="58300BC8"/>
    <w:rsid w:val="596F59AB"/>
    <w:rsid w:val="59B914BE"/>
    <w:rsid w:val="5D4B0BE0"/>
    <w:rsid w:val="5DD2630F"/>
    <w:rsid w:val="5E4F2BD0"/>
    <w:rsid w:val="65EB68C2"/>
    <w:rsid w:val="675A3F28"/>
    <w:rsid w:val="724B0EE2"/>
    <w:rsid w:val="73693C55"/>
    <w:rsid w:val="749710C5"/>
    <w:rsid w:val="7D031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896</Words>
  <Characters>5111</Characters>
  <Lines>42</Lines>
  <Paragraphs>11</Paragraphs>
  <TotalTime>149</TotalTime>
  <ScaleCrop>false</ScaleCrop>
  <LinksUpToDate>false</LinksUpToDate>
  <CharactersWithSpaces>5996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2023-08-02T01:26:15Z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849C962B63B1499990E9FCB6A2F7C23E</vt:lpwstr>
  </property>
</Properties>
</file>