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中共廊坊市</w:t>
      </w:r>
      <w:r>
        <w:rPr>
          <w:rFonts w:hint="eastAsia" w:ascii="Times New Roman" w:hAnsi="Times New Roman" w:eastAsia="方正小标宋简体" w:cs="Times New Roman"/>
          <w:sz w:val="44"/>
          <w:szCs w:val="44"/>
        </w:rPr>
        <w:t>广阳区委机构编制委员会办公室</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按照《中华人民共和国预算法》、《中华人民共和国预算法实施条例》、《地方预决算公开操作规程》和《河北省省级预算公开办法》规定，现将中共廊坊市</w:t>
      </w:r>
      <w:r>
        <w:rPr>
          <w:rFonts w:hint="eastAsia" w:ascii="Times New Roman" w:hAnsi="Times New Roman" w:eastAsia="仿宋_GB2312" w:cs="Times New Roman"/>
          <w:sz w:val="32"/>
          <w:szCs w:val="32"/>
        </w:rPr>
        <w:t>广阳区委机构编制委员会办公室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60" w:lineRule="exact"/>
        <w:ind w:left="1" w:firstLine="639"/>
        <w:textAlignment w:val="bottom"/>
        <w:rPr>
          <w:rFonts w:ascii="仿宋_GB2312" w:eastAsia="仿宋_GB2312"/>
          <w:sz w:val="32"/>
        </w:rPr>
      </w:pPr>
      <w:r>
        <w:rPr>
          <w:rFonts w:hint="eastAsia" w:ascii="仿宋_GB2312" w:eastAsia="仿宋_GB2312"/>
          <w:sz w:val="32"/>
        </w:rPr>
        <w:t>（一）贯彻落实党中央和省、市、区委关于行政管理体制和机构改革以及机构编制管理的政策法规，</w:t>
      </w:r>
      <w:r>
        <w:rPr>
          <w:rFonts w:hint="eastAsia" w:ascii="仿宋_GB2312" w:eastAsia="仿宋_GB2312"/>
          <w:bCs/>
          <w:sz w:val="32"/>
        </w:rPr>
        <w:t>组织拟订相关政策规定和地方规范性文件并监督实施</w:t>
      </w:r>
      <w:r>
        <w:rPr>
          <w:rFonts w:hint="eastAsia" w:ascii="仿宋_GB2312" w:eastAsia="仿宋_GB2312"/>
          <w:sz w:val="32"/>
        </w:rPr>
        <w:t>。管理和指导全区各级党委、人大、政府、政协、监察委机关、人民团体机关以及全区事业单位的机构编制工作。</w:t>
      </w:r>
    </w:p>
    <w:p>
      <w:pPr>
        <w:spacing w:line="560" w:lineRule="exact"/>
        <w:ind w:left="1" w:firstLine="639"/>
        <w:textAlignment w:val="bottom"/>
        <w:rPr>
          <w:rFonts w:ascii="仿宋_GB2312" w:eastAsia="仿宋_GB2312"/>
          <w:sz w:val="32"/>
        </w:rPr>
      </w:pPr>
      <w:r>
        <w:rPr>
          <w:rFonts w:hint="eastAsia" w:ascii="仿宋_GB2312" w:eastAsia="仿宋_GB2312"/>
          <w:sz w:val="32"/>
        </w:rPr>
        <w:t>（二）组织拟订全区行政管理体制改革和区委、区政府机构改革方案并组织实施；审核乡镇、街道的行政管理体制和机构改革方案；指导全区行政管理体制和机构改革以及机构编制管理工作；负责行政执法体制改革工作。</w:t>
      </w:r>
    </w:p>
    <w:p>
      <w:pPr>
        <w:spacing w:line="560" w:lineRule="exact"/>
        <w:ind w:left="1" w:firstLine="639"/>
        <w:textAlignment w:val="bottom"/>
        <w:rPr>
          <w:rFonts w:ascii="仿宋_GB2312" w:eastAsia="仿宋_GB2312"/>
          <w:sz w:val="32"/>
        </w:rPr>
      </w:pPr>
      <w:r>
        <w:rPr>
          <w:rFonts w:hint="eastAsia" w:ascii="仿宋_GB2312" w:eastAsia="仿宋_GB2312"/>
          <w:sz w:val="32"/>
        </w:rPr>
        <w:t>（三）协调区委、区政府各</w:t>
      </w:r>
      <w:r>
        <w:rPr>
          <w:rFonts w:hint="eastAsia" w:ascii="仿宋_GB2312" w:eastAsia="仿宋_GB2312"/>
          <w:sz w:val="32"/>
          <w:lang w:eastAsia="zh-CN"/>
        </w:rPr>
        <w:t>单位</w:t>
      </w:r>
      <w:r>
        <w:rPr>
          <w:rFonts w:hint="eastAsia" w:ascii="仿宋_GB2312" w:eastAsia="仿宋_GB2312"/>
          <w:sz w:val="32"/>
        </w:rPr>
        <w:t>的职能配置及其调整。协调区委、区政府</w:t>
      </w:r>
      <w:r>
        <w:rPr>
          <w:rFonts w:hint="eastAsia" w:ascii="仿宋_GB2312" w:eastAsia="仿宋_GB2312"/>
          <w:sz w:val="32"/>
          <w:lang w:eastAsia="zh-CN"/>
        </w:rPr>
        <w:t>单位</w:t>
      </w:r>
      <w:r>
        <w:rPr>
          <w:rFonts w:hint="eastAsia" w:ascii="仿宋_GB2312" w:eastAsia="仿宋_GB2312"/>
          <w:sz w:val="32"/>
        </w:rPr>
        <w:t>之间以及区直</w:t>
      </w:r>
      <w:r>
        <w:rPr>
          <w:rFonts w:hint="eastAsia" w:ascii="仿宋_GB2312" w:eastAsia="仿宋_GB2312"/>
          <w:sz w:val="32"/>
          <w:lang w:eastAsia="zh-CN"/>
        </w:rPr>
        <w:t>单位</w:t>
      </w:r>
      <w:r>
        <w:rPr>
          <w:rFonts w:hint="eastAsia" w:ascii="仿宋_GB2312" w:eastAsia="仿宋_GB2312"/>
          <w:sz w:val="32"/>
        </w:rPr>
        <w:t>与乡镇、街道之间的职责分工。</w:t>
      </w:r>
    </w:p>
    <w:p>
      <w:pPr>
        <w:spacing w:line="560" w:lineRule="exact"/>
        <w:ind w:left="1" w:firstLine="639"/>
        <w:textAlignment w:val="bottom"/>
        <w:rPr>
          <w:rFonts w:ascii="仿宋_GB2312" w:eastAsia="仿宋_GB2312"/>
          <w:sz w:val="32"/>
        </w:rPr>
      </w:pPr>
      <w:r>
        <w:rPr>
          <w:rFonts w:hint="eastAsia" w:ascii="仿宋_GB2312" w:eastAsia="仿宋_GB2312"/>
          <w:sz w:val="32"/>
        </w:rPr>
        <w:t>（四）</w:t>
      </w:r>
      <w:r>
        <w:rPr>
          <w:rFonts w:hint="eastAsia" w:ascii="仿宋_GB2312" w:eastAsia="仿宋_GB2312"/>
          <w:bCs/>
          <w:sz w:val="32"/>
        </w:rPr>
        <w:t>审核或审批</w:t>
      </w:r>
      <w:r>
        <w:rPr>
          <w:rFonts w:hint="eastAsia" w:ascii="仿宋_GB2312" w:eastAsia="仿宋_GB2312"/>
          <w:sz w:val="32"/>
        </w:rPr>
        <w:t>区委、区政府各</w:t>
      </w:r>
      <w:r>
        <w:rPr>
          <w:rFonts w:hint="eastAsia" w:ascii="仿宋_GB2312" w:eastAsia="仿宋_GB2312"/>
          <w:sz w:val="32"/>
          <w:lang w:eastAsia="zh-CN"/>
        </w:rPr>
        <w:t>单位</w:t>
      </w:r>
      <w:r>
        <w:rPr>
          <w:rFonts w:hint="eastAsia" w:ascii="仿宋_GB2312" w:eastAsia="仿宋_GB2312"/>
          <w:sz w:val="32"/>
        </w:rPr>
        <w:t>及各</w:t>
      </w:r>
      <w:r>
        <w:rPr>
          <w:rFonts w:hint="eastAsia" w:ascii="仿宋_GB2312" w:eastAsia="仿宋_GB2312"/>
          <w:sz w:val="32"/>
          <w:lang w:eastAsia="zh-CN"/>
        </w:rPr>
        <w:t>单位</w:t>
      </w:r>
      <w:r>
        <w:rPr>
          <w:rFonts w:hint="eastAsia" w:ascii="仿宋_GB2312" w:eastAsia="仿宋_GB2312"/>
          <w:sz w:val="32"/>
        </w:rPr>
        <w:t>派出机构的职能配置、机构设置、人员编制和领导职数；审核区人大、区政协、区监察委和区级各人民团体机关的职能配置、机构设置、人员编制和领导职数。</w:t>
      </w:r>
    </w:p>
    <w:p>
      <w:pPr>
        <w:spacing w:line="560" w:lineRule="exact"/>
        <w:ind w:left="1" w:firstLine="639"/>
        <w:textAlignment w:val="bottom"/>
        <w:rPr>
          <w:rFonts w:ascii="仿宋_GB2312" w:eastAsia="仿宋_GB2312"/>
          <w:sz w:val="32"/>
        </w:rPr>
      </w:pPr>
      <w:r>
        <w:rPr>
          <w:rFonts w:hint="eastAsia" w:ascii="仿宋_GB2312" w:eastAsia="仿宋_GB2312"/>
          <w:sz w:val="32"/>
        </w:rPr>
        <w:t>（五）审核或审批各乡镇、街道股级机构设置和调整事宜；审核或审批区人大、政协、监察委、区直</w:t>
      </w:r>
      <w:r>
        <w:rPr>
          <w:rFonts w:hint="eastAsia" w:ascii="仿宋_GB2312" w:eastAsia="仿宋_GB2312"/>
          <w:sz w:val="32"/>
          <w:lang w:eastAsia="zh-CN"/>
        </w:rPr>
        <w:t>单位</w:t>
      </w:r>
      <w:r>
        <w:rPr>
          <w:rFonts w:hint="eastAsia" w:ascii="仿宋_GB2312" w:eastAsia="仿宋_GB2312"/>
          <w:sz w:val="32"/>
        </w:rPr>
        <w:t>和各人民团体股级机构设置和调整事宜；审核各乡镇、街道机构编制分类。</w:t>
      </w:r>
    </w:p>
    <w:p>
      <w:pPr>
        <w:spacing w:line="560" w:lineRule="exact"/>
        <w:ind w:left="1" w:firstLine="639"/>
        <w:textAlignment w:val="bottom"/>
        <w:rPr>
          <w:rFonts w:ascii="仿宋_GB2312" w:eastAsia="仿宋_GB2312"/>
          <w:sz w:val="32"/>
        </w:rPr>
      </w:pPr>
      <w:r>
        <w:rPr>
          <w:rFonts w:hint="eastAsia" w:ascii="仿宋_GB2312" w:eastAsia="仿宋_GB2312"/>
          <w:sz w:val="32"/>
        </w:rPr>
        <w:t>（六）组织拟订全区事业单位管理体制和机构改革方案。贯彻执行各类事业单位人员编制标准和管理办法，负责推进事业单位机构编制标准体系建设；审核或审批区委、区政府直属事业单位和区直</w:t>
      </w:r>
      <w:r>
        <w:rPr>
          <w:rFonts w:hint="eastAsia" w:ascii="仿宋_GB2312" w:eastAsia="仿宋_GB2312"/>
          <w:sz w:val="32"/>
          <w:lang w:eastAsia="zh-CN"/>
        </w:rPr>
        <w:t>单位</w:t>
      </w:r>
      <w:r>
        <w:rPr>
          <w:rFonts w:hint="eastAsia" w:ascii="仿宋_GB2312" w:eastAsia="仿宋_GB2312"/>
          <w:sz w:val="32"/>
        </w:rPr>
        <w:t>、乡镇、街道、开发区（园区）所属事业单位的机构编制事宜；指导乡镇、街道、开发区（园区）事业单位管理体制改革和机构编制管理工作；负责全区党政群机关统一社会信用代码赋码管理工作，负责全区事业单位法人登记管理和监督检查工作。</w:t>
      </w:r>
    </w:p>
    <w:p>
      <w:pPr>
        <w:spacing w:line="560" w:lineRule="exact"/>
        <w:ind w:left="1" w:firstLine="639"/>
        <w:textAlignment w:val="bottom"/>
        <w:rPr>
          <w:rFonts w:ascii="仿宋_GB2312" w:eastAsia="仿宋_GB2312"/>
          <w:sz w:val="32"/>
        </w:rPr>
      </w:pPr>
      <w:r>
        <w:rPr>
          <w:rFonts w:hint="eastAsia" w:ascii="仿宋_GB2312" w:eastAsia="仿宋_GB2312"/>
          <w:sz w:val="32"/>
        </w:rPr>
        <w:t>（七）指导开发区（园区）行政管理体制改革工作；贯彻落实省级以上开发区（园区）机构编制管理办法，审核省级以上开发区（园区）机构编制事宜。</w:t>
      </w:r>
    </w:p>
    <w:p>
      <w:pPr>
        <w:spacing w:line="560" w:lineRule="exact"/>
        <w:ind w:left="1" w:firstLine="639"/>
        <w:textAlignment w:val="bottom"/>
        <w:rPr>
          <w:rFonts w:ascii="仿宋_GB2312" w:eastAsia="仿宋_GB2312"/>
          <w:sz w:val="32"/>
        </w:rPr>
      </w:pPr>
      <w:r>
        <w:rPr>
          <w:rFonts w:hint="eastAsia" w:ascii="仿宋_GB2312" w:eastAsia="仿宋_GB2312"/>
          <w:sz w:val="32"/>
        </w:rPr>
        <w:t>（八）负责全区机构编制的总量控制和动态管理。会同有关</w:t>
      </w:r>
      <w:r>
        <w:rPr>
          <w:rFonts w:hint="eastAsia" w:ascii="仿宋_GB2312" w:eastAsia="仿宋_GB2312"/>
          <w:sz w:val="32"/>
          <w:lang w:eastAsia="zh-CN"/>
        </w:rPr>
        <w:t>单位</w:t>
      </w:r>
      <w:r>
        <w:rPr>
          <w:rFonts w:hint="eastAsia" w:ascii="仿宋_GB2312" w:eastAsia="仿宋_GB2312"/>
          <w:sz w:val="32"/>
        </w:rPr>
        <w:t>负责机构编制实名制工作；负责区直机关事业单位编制使用核准；建立健全机构编制</w:t>
      </w:r>
      <w:r>
        <w:rPr>
          <w:rFonts w:hint="eastAsia" w:ascii="仿宋_GB2312" w:eastAsia="仿宋_GB2312"/>
          <w:sz w:val="32"/>
          <w:lang w:eastAsia="zh-CN"/>
        </w:rPr>
        <w:t>单位</w:t>
      </w:r>
      <w:r>
        <w:rPr>
          <w:rFonts w:hint="eastAsia" w:ascii="仿宋_GB2312" w:eastAsia="仿宋_GB2312"/>
          <w:sz w:val="32"/>
        </w:rPr>
        <w:t>与有关</w:t>
      </w:r>
      <w:r>
        <w:rPr>
          <w:rFonts w:hint="eastAsia" w:ascii="仿宋_GB2312" w:eastAsia="仿宋_GB2312"/>
          <w:sz w:val="32"/>
          <w:lang w:eastAsia="zh-CN"/>
        </w:rPr>
        <w:t>单位</w:t>
      </w:r>
      <w:r>
        <w:rPr>
          <w:rFonts w:hint="eastAsia" w:ascii="仿宋_GB2312" w:eastAsia="仿宋_GB2312"/>
          <w:sz w:val="32"/>
        </w:rPr>
        <w:t>的协调配合约束机制。</w:t>
      </w:r>
    </w:p>
    <w:p>
      <w:pPr>
        <w:spacing w:line="560" w:lineRule="exact"/>
        <w:ind w:left="1" w:firstLine="639"/>
        <w:textAlignment w:val="bottom"/>
        <w:rPr>
          <w:rFonts w:ascii="仿宋_GB2312" w:eastAsia="仿宋_GB2312"/>
          <w:sz w:val="32"/>
        </w:rPr>
      </w:pPr>
      <w:r>
        <w:rPr>
          <w:rFonts w:hint="eastAsia" w:ascii="仿宋_GB2312" w:eastAsia="仿宋_GB2312"/>
          <w:sz w:val="32"/>
        </w:rPr>
        <w:t>（九）负责对各级行政、事业单位管理体制和机构改革及机构编制执行情况的跟踪评估和监督检查。负责受理违反机构编制法规、纪律的检举、控告和投诉，对违反机构编制法规、纪律问题进行调查处理。</w:t>
      </w:r>
    </w:p>
    <w:p>
      <w:pPr>
        <w:spacing w:line="560" w:lineRule="exact"/>
        <w:ind w:left="1" w:firstLine="639"/>
        <w:textAlignment w:val="bottom"/>
        <w:rPr>
          <w:rFonts w:ascii="仿宋_GB2312" w:eastAsia="仿宋_GB2312"/>
          <w:sz w:val="32"/>
        </w:rPr>
      </w:pPr>
      <w:r>
        <w:rPr>
          <w:rFonts w:hint="eastAsia" w:ascii="仿宋_GB2312" w:eastAsia="仿宋_GB2312"/>
          <w:sz w:val="32"/>
        </w:rPr>
        <w:t>（十）负责全区机构编制电子政务和信息化工作。负责全区机构编制统计工作；负责机构编制网站的建设管理以及网络安全工作；指导全区党政群机关、事业单位和其他非营利性单位网上名称管理工作。</w:t>
      </w:r>
    </w:p>
    <w:p>
      <w:pPr>
        <w:spacing w:line="560" w:lineRule="exact"/>
        <w:ind w:left="1" w:firstLine="639"/>
        <w:textAlignment w:val="bottom"/>
        <w:rPr>
          <w:rFonts w:ascii="仿宋_GB2312" w:eastAsia="仿宋_GB2312"/>
          <w:sz w:val="32"/>
        </w:rPr>
      </w:pPr>
      <w:r>
        <w:rPr>
          <w:rFonts w:hint="eastAsia" w:ascii="仿宋_GB2312" w:eastAsia="仿宋_GB2312"/>
          <w:sz w:val="32"/>
        </w:rPr>
        <w:t>（十一）组织开展行政体制改革及机构编制管理创新基础性和前瞻性研究。</w:t>
      </w:r>
    </w:p>
    <w:p>
      <w:pPr>
        <w:spacing w:line="584" w:lineRule="exact"/>
        <w:ind w:firstLine="640" w:firstLineChars="200"/>
        <w:rPr>
          <w:rFonts w:ascii="Times New Roman" w:hAnsi="Times New Roman" w:eastAsia="楷体_GB2312" w:cs="Times New Roman"/>
          <w:b/>
          <w:sz w:val="32"/>
          <w:szCs w:val="32"/>
        </w:rPr>
      </w:pPr>
      <w:r>
        <w:rPr>
          <w:rFonts w:hint="eastAsia" w:ascii="仿宋_GB2312" w:eastAsia="仿宋_GB2312"/>
          <w:sz w:val="32"/>
        </w:rPr>
        <w:t>（十二）承办区委、区政府和区委机构编制委员会交办的其他任务。</w:t>
      </w:r>
    </w:p>
    <w:p>
      <w:pPr>
        <w:autoSpaceDE w:val="0"/>
        <w:autoSpaceDN w:val="0"/>
        <w:adjustRightInd w:val="0"/>
        <w:spacing w:line="584" w:lineRule="exact"/>
        <w:ind w:firstLine="627" w:firstLineChars="196"/>
        <w:jc w:val="left"/>
        <w:rPr>
          <w:rFonts w:ascii="Times New Roman" w:hAnsi="Times New Roman" w:eastAsia="仿宋_GB2312" w:cs="Times New Roman"/>
          <w:color w:val="FF0000"/>
          <w:sz w:val="32"/>
          <w:szCs w:val="32"/>
        </w:rPr>
      </w:pPr>
    </w:p>
    <w:p>
      <w:pPr>
        <w:autoSpaceDE w:val="0"/>
        <w:autoSpaceDN w:val="0"/>
        <w:adjustRightInd w:val="0"/>
        <w:spacing w:line="584" w:lineRule="exact"/>
        <w:ind w:firstLine="627" w:firstLineChars="196"/>
        <w:jc w:val="left"/>
        <w:rPr>
          <w:rFonts w:ascii="Times New Roman" w:hAnsi="Times New Roman" w:eastAsia="仿宋_GB2312" w:cs="Times New Roman"/>
          <w:color w:val="FF0000"/>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4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90"/>
        <w:gridCol w:w="1984"/>
        <w:gridCol w:w="1854"/>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69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98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85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690" w:type="dxa"/>
            <w:vMerge w:val="continue"/>
            <w:shd w:val="clear" w:color="auto" w:fill="auto"/>
            <w:vAlign w:val="center"/>
          </w:tcPr>
          <w:p/>
        </w:tc>
        <w:tc>
          <w:tcPr>
            <w:tcW w:w="1984" w:type="dxa"/>
            <w:vMerge w:val="continue"/>
            <w:shd w:val="clear" w:color="auto" w:fill="auto"/>
            <w:vAlign w:val="center"/>
          </w:tcPr>
          <w:p/>
        </w:tc>
        <w:tc>
          <w:tcPr>
            <w:tcW w:w="1854"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中共廊坊市广阳区委机构编制委员会办公室</w:t>
            </w:r>
          </w:p>
        </w:tc>
        <w:tc>
          <w:tcPr>
            <w:tcW w:w="198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机关</w:t>
            </w:r>
          </w:p>
        </w:tc>
        <w:tc>
          <w:tcPr>
            <w:tcW w:w="185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r>
              <w:rPr>
                <w:rFonts w:hint="eastAsia" w:ascii="Times New Roman" w:hAnsi="Times New Roman" w:eastAsia="仿宋_GB2312" w:cs="Times New Roman"/>
                <w:b/>
              </w:rPr>
              <w:t>（行政）</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预算的编制实行综合预算制度，即全部收入和支出都反映在预算中。中共廊坊市</w:t>
      </w:r>
      <w:r>
        <w:rPr>
          <w:rFonts w:hint="eastAsia" w:ascii="Times New Roman" w:hAnsi="Times New Roman" w:eastAsia="仿宋_GB2312" w:cs="Times New Roman"/>
          <w:sz w:val="32"/>
          <w:szCs w:val="32"/>
        </w:rPr>
        <w:t>广阳区委机构编制委员会办公室</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274.59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274.5</w:t>
      </w:r>
      <w:r>
        <w:rPr>
          <w:rFonts w:ascii="Times New Roman" w:hAnsi="Times New Roman" w:eastAsia="仿宋_GB2312" w:cs="Times New Roman"/>
          <w:sz w:val="32"/>
          <w:szCs w:val="32"/>
        </w:rPr>
        <w:t>9万元，基金预算收入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收支预算总表支出栏、基本支出表、项目支出表按经济分类和支出功能分类科目编制，反映中共廊坊市</w:t>
      </w:r>
      <w:r>
        <w:rPr>
          <w:rFonts w:hint="eastAsia" w:ascii="Times New Roman" w:hAnsi="Times New Roman" w:eastAsia="仿宋_GB2312" w:cs="Times New Roman"/>
          <w:sz w:val="32"/>
          <w:szCs w:val="32"/>
        </w:rPr>
        <w:t>广阳区委机构编制委员会办公室2022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274.59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265.09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234.84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30.25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9.5</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274.59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1.12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8.38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一般公共服务</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9.5</w:t>
      </w:r>
      <w:r>
        <w:rPr>
          <w:rFonts w:ascii="Times New Roman" w:hAnsi="Times New Roman" w:eastAsia="仿宋_GB2312" w:cs="Times New Roman"/>
          <w:sz w:val="32"/>
          <w:szCs w:val="32"/>
        </w:rPr>
        <w:t>万元，主要为法律顾问服务经费、事业单位改革办公经费项目支出。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2年，我机关运行经费共计安排</w:t>
      </w:r>
      <w:r>
        <w:rPr>
          <w:rFonts w:hint="eastAsia" w:ascii="Times New Roman" w:hAnsi="Times New Roman" w:eastAsia="仿宋_GB2312" w:cs="Times New Roman"/>
          <w:sz w:val="32"/>
          <w:szCs w:val="32"/>
        </w:rPr>
        <w:t>30.25</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keepNext w:val="0"/>
        <w:keepLines w:val="0"/>
        <w:pageBreakBefore w:val="0"/>
        <w:kinsoku/>
        <w:wordWrap/>
        <w:overflowPunct/>
        <w:topLinePunct w:val="0"/>
        <w:autoSpaceDE/>
        <w:autoSpaceDN/>
        <w:bidi w:val="0"/>
        <w:adjustRightInd/>
        <w:snapToGrid/>
        <w:spacing w:line="584" w:lineRule="exact"/>
        <w:ind w:left="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left="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overflowPunct/>
        <w:topLinePunct w:val="0"/>
        <w:autoSpaceDE/>
        <w:autoSpaceDN/>
        <w:bidi w:val="0"/>
        <w:adjustRightInd/>
        <w:snapToGrid/>
        <w:spacing w:line="584" w:lineRule="exact"/>
        <w:ind w:left="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动态调整，盘活编制资源。聚焦有效解决编制管理“一定终身”和“资源固化”情况严重、“粗放管理”和“重管轻用”情况突出等问题，推动全区机构编制资源的统筹优化、集约高效使用。研究制定我区机构编制动态调整评估试点工作实施意见，明确该工作的目标意义、主要原则、评估指标、评估方法、结果运用等，并上深改会以改革措施试行。对全区事业单位进行梳理分类，分批次有重点地进行评估，将效益不高的机构编制收回编制周转池。根据中心工作实际和相关单位的申请，为任务重、工作好的单位建立事业单位或增加编制。</w:t>
      </w:r>
    </w:p>
    <w:p>
      <w:pPr>
        <w:pStyle w:val="19"/>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规范管理，解决遗留问题。根据机构编制核查出的问题，分类分批逐步解决，努力实现规范管理。协调组织、人社、财政等</w:t>
      </w:r>
      <w:r>
        <w:rPr>
          <w:rFonts w:hint="eastAsia" w:ascii="仿宋_GB2312" w:eastAsia="仿宋_GB2312"/>
          <w:sz w:val="32"/>
          <w:szCs w:val="32"/>
          <w:lang w:eastAsia="zh-CN"/>
        </w:rPr>
        <w:t>单位</w:t>
      </w:r>
      <w:r>
        <w:rPr>
          <w:rFonts w:hint="eastAsia" w:ascii="仿宋_GB2312" w:eastAsia="仿宋_GB2312"/>
          <w:sz w:val="32"/>
          <w:szCs w:val="32"/>
        </w:rPr>
        <w:t>，召开专题调度会议，共同研究人员混岗、经费形式、股级任命、领导职务等方面共性问题的解决办法。针对具体问题，与相关单位沟通协调，理清问题根源，拿出解决方案。对各单位“三定”方案进行重新核定，比对编制平台数据加以规范，确保“三定”与平台保持高度一致。加强日常管理，实现机构编制平台机构编制变动、人员变动的及时更新。制定全区机构编制规范管理规定，保持规范管理的常态化。</w:t>
      </w:r>
    </w:p>
    <w:p>
      <w:pPr>
        <w:keepNext w:val="0"/>
        <w:keepLines w:val="0"/>
        <w:pageBreakBefore w:val="0"/>
        <w:kinsoku/>
        <w:wordWrap/>
        <w:overflowPunct/>
        <w:topLinePunct w:val="0"/>
        <w:autoSpaceDE/>
        <w:autoSpaceDN/>
        <w:bidi w:val="0"/>
        <w:adjustRightInd/>
        <w:snapToGrid/>
        <w:spacing w:line="584" w:lineRule="exact"/>
        <w:ind w:left="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法律顾问服务经费</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绩效目标：按照全区依法治区工作部署，为保障各项机构编制事务合法合规开展，更好的依法行政。</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绩效指标：数量机构编制服务数量1个。时效法律顾问服务进度严格按照合同约定执行。质量法律顾问服务验收合格。成本成本控制在1.5万元。社会效益为依法工作夯实基础，提高工作效率。可持续影响保障各项机构编制事务合法合规开展，提升机构编制工作依法行政。满意度工作人员满意度大于90%。</w:t>
      </w:r>
    </w:p>
    <w:p>
      <w:pPr>
        <w:pStyle w:val="20"/>
        <w:keepNext w:val="0"/>
        <w:keepLines w:val="0"/>
        <w:pageBreakBefore w:val="0"/>
        <w:kinsoku/>
        <w:wordWrap/>
        <w:overflowPunct/>
        <w:topLinePunct w:val="0"/>
        <w:autoSpaceDE/>
        <w:autoSpaceDN/>
        <w:bidi w:val="0"/>
        <w:adjustRightInd/>
        <w:snapToGrid/>
        <w:spacing w:line="584" w:lineRule="exact"/>
        <w:ind w:left="0" w:firstLine="640" w:firstLineChars="200"/>
        <w:textAlignment w:val="auto"/>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事业单位改革办公经费</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绩效目标：为积极稳妥推进事业单位改革顺利进行，推进机构功能重塑再造，有效开展行政类和经营类事业单位改革。</w:t>
      </w:r>
    </w:p>
    <w:p>
      <w:pPr>
        <w:pStyle w:val="20"/>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绩效指标：数量</w:t>
      </w:r>
      <w:r>
        <w:rPr>
          <w:rFonts w:hint="eastAsia" w:ascii="仿宋_GB2312" w:eastAsia="仿宋_GB2312"/>
          <w:sz w:val="32"/>
          <w:szCs w:val="32"/>
          <w:lang w:eastAsia="zh-CN"/>
        </w:rPr>
        <w:t>单位</w:t>
      </w:r>
      <w:r>
        <w:rPr>
          <w:rFonts w:hint="eastAsia" w:ascii="仿宋_GB2312" w:eastAsia="仿宋_GB2312"/>
          <w:sz w:val="32"/>
          <w:szCs w:val="32"/>
        </w:rPr>
        <w:t>机构服务数量大于等于180个。时效事业单位改革办公经费进度严格按照工作计划执行。质量事业单位改革有效提升。成本成本控制在8万元。社会效益推进机构改革功能重塑再造。可持续影响提升建立良好的人才发展环境。满意度</w:t>
      </w:r>
      <w:r>
        <w:rPr>
          <w:rFonts w:hint="eastAsia" w:ascii="仿宋_GB2312" w:eastAsia="仿宋_GB2312"/>
          <w:sz w:val="32"/>
          <w:szCs w:val="32"/>
          <w:lang w:eastAsia="zh-CN"/>
        </w:rPr>
        <w:t>单位</w:t>
      </w:r>
      <w:r>
        <w:rPr>
          <w:rFonts w:hint="eastAsia" w:ascii="仿宋_GB2312" w:eastAsia="仿宋_GB2312"/>
          <w:sz w:val="32"/>
          <w:szCs w:val="32"/>
        </w:rPr>
        <w:t>机构服务满意度大于90%。</w:t>
      </w:r>
    </w:p>
    <w:p>
      <w:pPr>
        <w:keepNext w:val="0"/>
        <w:keepLines w:val="0"/>
        <w:pageBreakBefore w:val="0"/>
        <w:kinsoku/>
        <w:wordWrap/>
        <w:overflowPunct/>
        <w:topLinePunct w:val="0"/>
        <w:autoSpaceDE/>
        <w:autoSpaceDN/>
        <w:bidi w:val="0"/>
        <w:adjustRightInd/>
        <w:snapToGrid/>
        <w:spacing w:line="584" w:lineRule="exact"/>
        <w:ind w:left="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单位实现年度绩效目标，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1、</w:t>
      </w:r>
      <w:r>
        <w:rPr>
          <w:rFonts w:hint="eastAsia" w:ascii="仿宋_GB2312" w:eastAsia="仿宋_GB2312"/>
          <w:sz w:val="32"/>
          <w:szCs w:val="32"/>
        </w:rPr>
        <w:t>完善制度建设</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强化组织领导，有力推进生产经营类事业单位改革</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广阳区在改革期间及时调整区事业单位改革领导小组，建立健全党委、政府统一领导，机构编制</w:t>
      </w:r>
      <w:r>
        <w:rPr>
          <w:rFonts w:hint="eastAsia" w:ascii="仿宋_GB2312" w:eastAsia="仿宋_GB2312"/>
          <w:sz w:val="32"/>
          <w:szCs w:val="32"/>
          <w:lang w:eastAsia="zh-CN"/>
        </w:rPr>
        <w:t>单位</w:t>
      </w:r>
      <w:r>
        <w:rPr>
          <w:rFonts w:hint="eastAsia" w:ascii="仿宋_GB2312" w:eastAsia="仿宋_GB2312"/>
          <w:sz w:val="32"/>
          <w:szCs w:val="32"/>
        </w:rPr>
        <w:t>与组织、财政、人社等</w:t>
      </w:r>
      <w:r>
        <w:rPr>
          <w:rFonts w:hint="eastAsia" w:ascii="仿宋_GB2312" w:eastAsia="仿宋_GB2312"/>
          <w:sz w:val="32"/>
          <w:szCs w:val="32"/>
          <w:lang w:eastAsia="zh-CN"/>
        </w:rPr>
        <w:t>单位</w:t>
      </w:r>
      <w:r>
        <w:rPr>
          <w:rFonts w:hint="eastAsia" w:ascii="仿宋_GB2312" w:eastAsia="仿宋_GB2312"/>
          <w:sz w:val="32"/>
          <w:szCs w:val="32"/>
        </w:rPr>
        <w:t>相互协调配合的工作机制。指导涉改单位结合自身实际制定符合发展要求的改革方案，由机构编制</w:t>
      </w:r>
      <w:r>
        <w:rPr>
          <w:rFonts w:hint="eastAsia" w:ascii="仿宋_GB2312" w:eastAsia="仿宋_GB2312"/>
          <w:sz w:val="32"/>
          <w:szCs w:val="32"/>
          <w:lang w:eastAsia="zh-CN"/>
        </w:rPr>
        <w:t>单位</w:t>
      </w:r>
      <w:r>
        <w:rPr>
          <w:rFonts w:hint="eastAsia" w:ascii="仿宋_GB2312" w:eastAsia="仿宋_GB2312"/>
          <w:sz w:val="32"/>
          <w:szCs w:val="32"/>
        </w:rPr>
        <w:t>负责综合协调，事业单位及其主管</w:t>
      </w:r>
      <w:r>
        <w:rPr>
          <w:rFonts w:hint="eastAsia" w:ascii="仿宋_GB2312" w:eastAsia="仿宋_GB2312"/>
          <w:sz w:val="32"/>
          <w:szCs w:val="32"/>
          <w:lang w:eastAsia="zh-CN"/>
        </w:rPr>
        <w:t>单位</w:t>
      </w:r>
      <w:r>
        <w:rPr>
          <w:rFonts w:hint="eastAsia" w:ascii="仿宋_GB2312" w:eastAsia="仿宋_GB2312"/>
          <w:sz w:val="32"/>
          <w:szCs w:val="32"/>
        </w:rPr>
        <w:t>履行主体责任并负责组织实施，有力有序推进改革各项工作。</w:t>
      </w:r>
    </w:p>
    <w:p>
      <w:pPr>
        <w:pStyle w:val="21"/>
        <w:keepNext w:val="0"/>
        <w:keepLines w:val="0"/>
        <w:pageBreakBefore w:val="0"/>
        <w:kinsoku/>
        <w:wordWrap/>
        <w:overflowPunct/>
        <w:topLinePunct w:val="0"/>
        <w:autoSpaceDE/>
        <w:autoSpaceDN/>
        <w:bidi w:val="0"/>
        <w:adjustRightInd/>
        <w:snapToGrid/>
        <w:spacing w:line="584" w:lineRule="exact"/>
        <w:ind w:left="0" w:firstLine="640" w:firstLineChars="200"/>
        <w:textAlignment w:val="auto"/>
        <w:rPr>
          <w:rFonts w:ascii="仿宋_GB2312" w:eastAsia="仿宋_GB2312"/>
          <w:sz w:val="32"/>
          <w:szCs w:val="32"/>
        </w:rPr>
      </w:pPr>
      <w:r>
        <w:rPr>
          <w:rFonts w:hint="eastAsia" w:ascii="仿宋_GB2312" w:eastAsia="仿宋_GB2312"/>
          <w:sz w:val="32"/>
          <w:szCs w:val="32"/>
          <w:lang w:eastAsia="zh-CN"/>
        </w:rPr>
        <w:t>2、</w:t>
      </w:r>
      <w:r>
        <w:rPr>
          <w:rFonts w:hint="eastAsia" w:ascii="仿宋_GB2312" w:eastAsia="仿宋_GB2312"/>
          <w:sz w:val="32"/>
          <w:szCs w:val="32"/>
        </w:rPr>
        <w:t>加强支出管理</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严格按照工作计划完成支出进度</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3、</w:t>
      </w:r>
      <w:r>
        <w:rPr>
          <w:rFonts w:hint="eastAsia" w:ascii="仿宋_GB2312" w:eastAsia="仿宋_GB2312"/>
          <w:sz w:val="32"/>
          <w:szCs w:val="32"/>
        </w:rPr>
        <w:t>加强绩效运行监控</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强化监督检查。区委编办与纪检监察机关、组织人事、财政、审计等</w:t>
      </w:r>
      <w:r>
        <w:rPr>
          <w:rFonts w:hint="eastAsia" w:ascii="仿宋_GB2312" w:eastAsia="仿宋_GB2312"/>
          <w:sz w:val="32"/>
          <w:szCs w:val="32"/>
          <w:lang w:eastAsia="zh-CN"/>
        </w:rPr>
        <w:t>单位</w:t>
      </w:r>
      <w:r>
        <w:rPr>
          <w:rFonts w:hint="eastAsia" w:ascii="仿宋_GB2312" w:eastAsia="仿宋_GB2312"/>
          <w:sz w:val="32"/>
          <w:szCs w:val="32"/>
        </w:rPr>
        <w:t>开展协作配合，加强对《规定》贯彻执行情况的监督检查，及时发现和纠正机构编制管理中存在的问题和违纪违法行为。</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4、</w:t>
      </w:r>
      <w:r>
        <w:rPr>
          <w:rFonts w:hint="eastAsia" w:ascii="仿宋_GB2312" w:eastAsia="仿宋_GB2312"/>
          <w:sz w:val="32"/>
          <w:szCs w:val="32"/>
        </w:rPr>
        <w:t>做好绩效自评</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全面梳理业务流程，明确业务环节，分析风险隐患，完善风险评估机制，制定风险应对策略；做好绩效自评工作。</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5、</w:t>
      </w:r>
      <w:r>
        <w:rPr>
          <w:rFonts w:hint="eastAsia" w:ascii="仿宋_GB2312" w:eastAsia="仿宋_GB2312"/>
          <w:sz w:val="32"/>
          <w:szCs w:val="32"/>
        </w:rPr>
        <w:t>规范财务资产管理</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要不断强化预算意识，形成以单位领导支持、财务</w:t>
      </w:r>
      <w:r>
        <w:rPr>
          <w:rFonts w:hint="eastAsia" w:ascii="仿宋_GB2312" w:eastAsia="仿宋_GB2312"/>
          <w:sz w:val="32"/>
          <w:szCs w:val="32"/>
          <w:lang w:eastAsia="zh-CN"/>
        </w:rPr>
        <w:t>单位</w:t>
      </w:r>
      <w:r>
        <w:rPr>
          <w:rFonts w:hint="eastAsia" w:ascii="仿宋_GB2312" w:eastAsia="仿宋_GB2312"/>
          <w:sz w:val="32"/>
          <w:szCs w:val="32"/>
        </w:rPr>
        <w:t>牵头、其他</w:t>
      </w:r>
      <w:r>
        <w:rPr>
          <w:rFonts w:hint="eastAsia" w:ascii="仿宋_GB2312" w:eastAsia="仿宋_GB2312"/>
          <w:sz w:val="32"/>
          <w:szCs w:val="32"/>
          <w:lang w:eastAsia="zh-CN"/>
        </w:rPr>
        <w:t>单位</w:t>
      </w:r>
      <w:r>
        <w:rPr>
          <w:rFonts w:hint="eastAsia" w:ascii="仿宋_GB2312" w:eastAsia="仿宋_GB2312"/>
          <w:sz w:val="32"/>
          <w:szCs w:val="32"/>
        </w:rPr>
        <w:t>密切配合的工作格局，保证预算编制质量。结合单位业务情况，进行科学合理分配细化，</w:t>
      </w:r>
      <w:r>
        <w:rPr>
          <w:rFonts w:hint="eastAsia" w:ascii="仿宋_GB2312" w:eastAsia="仿宋_GB2312"/>
          <w:sz w:val="32"/>
          <w:szCs w:val="32"/>
          <w:lang w:eastAsia="zh-CN"/>
        </w:rPr>
        <w:t>单位</w:t>
      </w:r>
      <w:r>
        <w:rPr>
          <w:rFonts w:hint="eastAsia" w:ascii="仿宋_GB2312" w:eastAsia="仿宋_GB2312"/>
          <w:sz w:val="32"/>
          <w:szCs w:val="32"/>
        </w:rPr>
        <w:t>预算经批复后，跟踪预算执行进度，及时组织收入，科学合理安排支出，降低预算支出的波动幅度。严格执行财务资产管理，积极组织项目实施，对于达到政府采购标准的项目支出，明确规定采购项目的采购期限，督促尽快组织实施采购计划。加强对预算执行过程的控制和结果的反馈，对预算执行差异及时分析成因和影响，并及时向领导和相关科室进行反馈，以采取措施纠正执行偏差，促进预算目标的全面完成。</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6、</w:t>
      </w:r>
      <w:r>
        <w:rPr>
          <w:rFonts w:hint="eastAsia" w:ascii="仿宋_GB2312" w:eastAsia="仿宋_GB2312"/>
          <w:sz w:val="32"/>
          <w:szCs w:val="32"/>
        </w:rPr>
        <w:t>加强内部监管</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加强监控管理，及时跟踪项目进度，对项目实施中存在的具体问题采取纠偏措施。加强相关专业技术人员的业务培训，进一步提高绩效评价质量。班子建设是</w:t>
      </w:r>
      <w:r>
        <w:rPr>
          <w:rFonts w:hint="eastAsia" w:ascii="仿宋_GB2312" w:eastAsia="仿宋_GB2312"/>
          <w:sz w:val="32"/>
          <w:szCs w:val="32"/>
          <w:lang w:eastAsia="zh-CN"/>
        </w:rPr>
        <w:t>单位</w:t>
      </w:r>
      <w:r>
        <w:rPr>
          <w:rFonts w:hint="eastAsia" w:ascii="仿宋_GB2312" w:eastAsia="仿宋_GB2312"/>
          <w:sz w:val="32"/>
          <w:szCs w:val="32"/>
        </w:rPr>
        <w:t>自身建设的关键，为了造就一支“学习好、团结好、纪律好、作风好、政绩好”的领导班子，区编委办主要抓了以下四个方面。做好内部监管，以班子</w:t>
      </w:r>
      <w:r>
        <w:rPr>
          <w:rFonts w:hint="eastAsia" w:ascii="仿宋_GB2312" w:eastAsia="仿宋_GB2312"/>
          <w:sz w:val="32"/>
          <w:szCs w:val="32"/>
          <w:lang w:eastAsia="zh-CN"/>
        </w:rPr>
        <w:t>理论学习中心组</w:t>
      </w:r>
      <w:r>
        <w:rPr>
          <w:rFonts w:hint="eastAsia" w:ascii="仿宋_GB2312" w:eastAsia="仿宋_GB2312"/>
          <w:sz w:val="32"/>
          <w:szCs w:val="32"/>
        </w:rPr>
        <w:t>为核心，学习中央、省、市机构编制等方面的知识，切实提高理论修养。</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lang w:eastAsia="zh-CN"/>
        </w:rPr>
        <w:t>7、</w:t>
      </w:r>
      <w:r>
        <w:rPr>
          <w:rFonts w:hint="eastAsia" w:ascii="仿宋_GB2312" w:eastAsia="仿宋_GB2312"/>
          <w:sz w:val="32"/>
          <w:szCs w:val="32"/>
        </w:rPr>
        <w:t>加强宣传培训调研等</w:t>
      </w:r>
    </w:p>
    <w:p>
      <w:pPr>
        <w:pStyle w:val="21"/>
        <w:keepNext w:val="0"/>
        <w:keepLines w:val="0"/>
        <w:pageBreakBefore w:val="0"/>
        <w:kinsoku/>
        <w:wordWrap/>
        <w:overflowPunct/>
        <w:topLinePunct w:val="0"/>
        <w:autoSpaceDE/>
        <w:autoSpaceDN/>
        <w:bidi w:val="0"/>
        <w:adjustRightInd/>
        <w:snapToGrid/>
        <w:spacing w:line="584" w:lineRule="exact"/>
        <w:ind w:left="0"/>
        <w:textAlignment w:val="auto"/>
        <w:rPr>
          <w:rFonts w:ascii="仿宋_GB2312" w:eastAsia="仿宋_GB2312"/>
          <w:sz w:val="32"/>
          <w:szCs w:val="32"/>
        </w:rPr>
      </w:pPr>
      <w:r>
        <w:rPr>
          <w:rFonts w:hint="eastAsia" w:ascii="仿宋_GB2312" w:eastAsia="仿宋_GB2312"/>
          <w:sz w:val="32"/>
          <w:szCs w:val="32"/>
        </w:rPr>
        <w:t>通过开展调研，对涉改单位运行情况、财务状况、人员信息等进行详细摸底，认真分析梳理涉改单位</w:t>
      </w:r>
      <w:r>
        <w:rPr>
          <w:rFonts w:hint="eastAsia" w:ascii="仿宋_GB2312" w:eastAsia="仿宋_GB2312"/>
          <w:sz w:val="32"/>
          <w:szCs w:val="32"/>
          <w:lang w:eastAsia="zh-CN"/>
        </w:rPr>
        <w:t>反映</w:t>
      </w:r>
      <w:r>
        <w:rPr>
          <w:rFonts w:hint="eastAsia" w:ascii="仿宋_GB2312" w:eastAsia="仿宋_GB2312"/>
          <w:sz w:val="32"/>
          <w:szCs w:val="32"/>
        </w:rPr>
        <w:t>的问题及意见建议，及时跟进督促，提供服务保障，掌握改革工作进程，有针对性地开展改革工作。</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61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34"/>
        <w:gridCol w:w="1276"/>
        <w:gridCol w:w="1559"/>
        <w:gridCol w:w="1701"/>
        <w:gridCol w:w="2688"/>
        <w:gridCol w:w="607"/>
        <w:gridCol w:w="424"/>
        <w:gridCol w:w="573"/>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trPr>
        <w:tc>
          <w:tcPr>
            <w:tcW w:w="1134"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一级指标</w:t>
            </w:r>
          </w:p>
        </w:tc>
        <w:tc>
          <w:tcPr>
            <w:tcW w:w="1276"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二级</w:t>
            </w:r>
          </w:p>
          <w:p>
            <w:pPr>
              <w:widowControl/>
              <w:adjustRightInd w:val="0"/>
              <w:snapToGrid w:val="0"/>
              <w:spacing w:line="260" w:lineRule="exact"/>
              <w:jc w:val="center"/>
              <w:rPr>
                <w:rFonts w:ascii="方正书宋_GBK" w:eastAsia="方正书宋_GBK"/>
                <w:b/>
              </w:rPr>
            </w:pPr>
            <w:r>
              <w:rPr>
                <w:rFonts w:ascii="方正书宋_GBK" w:eastAsia="方正书宋_GBK"/>
                <w:b/>
              </w:rPr>
              <w:t>指标</w:t>
            </w:r>
          </w:p>
        </w:tc>
        <w:tc>
          <w:tcPr>
            <w:tcW w:w="1559"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三级</w:t>
            </w:r>
          </w:p>
          <w:p>
            <w:pPr>
              <w:widowControl/>
              <w:adjustRightInd w:val="0"/>
              <w:snapToGrid w:val="0"/>
              <w:spacing w:line="260" w:lineRule="exact"/>
              <w:jc w:val="center"/>
              <w:rPr>
                <w:rFonts w:ascii="方正书宋_GBK" w:eastAsia="方正书宋_GBK"/>
                <w:b/>
              </w:rPr>
            </w:pPr>
            <w:r>
              <w:rPr>
                <w:rFonts w:ascii="方正书宋_GBK" w:eastAsia="方正书宋_GBK"/>
                <w:b/>
              </w:rPr>
              <w:t>指标</w:t>
            </w:r>
          </w:p>
        </w:tc>
        <w:tc>
          <w:tcPr>
            <w:tcW w:w="1701"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评（扣）分标准</w:t>
            </w:r>
          </w:p>
        </w:tc>
        <w:tc>
          <w:tcPr>
            <w:tcW w:w="2688"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60" w:lineRule="exact"/>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指标值</w:t>
            </w:r>
          </w:p>
        </w:tc>
        <w:tc>
          <w:tcPr>
            <w:tcW w:w="2654"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指标值</w:t>
            </w:r>
          </w:p>
          <w:p>
            <w:pPr>
              <w:widowControl/>
              <w:adjustRightInd w:val="0"/>
              <w:snapToGrid w:val="0"/>
              <w:spacing w:line="26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trPr>
        <w:tc>
          <w:tcPr>
            <w:tcW w:w="1134" w:type="dxa"/>
            <w:vMerge w:val="continue"/>
            <w:tcBorders>
              <w:tl2br w:val="nil"/>
              <w:tr2bl w:val="nil"/>
            </w:tcBorders>
            <w:vAlign w:val="center"/>
          </w:tcPr>
          <w:p>
            <w:pPr>
              <w:spacing w:line="260" w:lineRule="exact"/>
            </w:pPr>
          </w:p>
        </w:tc>
        <w:tc>
          <w:tcPr>
            <w:tcW w:w="1276" w:type="dxa"/>
            <w:vMerge w:val="continue"/>
            <w:tcBorders>
              <w:tl2br w:val="nil"/>
              <w:tr2bl w:val="nil"/>
            </w:tcBorders>
            <w:vAlign w:val="center"/>
          </w:tcPr>
          <w:p>
            <w:pPr>
              <w:spacing w:line="260" w:lineRule="exact"/>
            </w:pPr>
          </w:p>
        </w:tc>
        <w:tc>
          <w:tcPr>
            <w:tcW w:w="1559" w:type="dxa"/>
            <w:vMerge w:val="continue"/>
            <w:tcBorders>
              <w:tl2br w:val="nil"/>
              <w:tr2bl w:val="nil"/>
            </w:tcBorders>
            <w:vAlign w:val="center"/>
          </w:tcPr>
          <w:p>
            <w:pPr>
              <w:spacing w:line="260" w:lineRule="exact"/>
            </w:pPr>
          </w:p>
        </w:tc>
        <w:tc>
          <w:tcPr>
            <w:tcW w:w="1701" w:type="dxa"/>
            <w:vMerge w:val="continue"/>
            <w:tcBorders>
              <w:tl2br w:val="nil"/>
              <w:tr2bl w:val="nil"/>
            </w:tcBorders>
            <w:vAlign w:val="center"/>
          </w:tcPr>
          <w:p>
            <w:pPr>
              <w:spacing w:line="260" w:lineRule="exact"/>
            </w:pPr>
          </w:p>
        </w:tc>
        <w:tc>
          <w:tcPr>
            <w:tcW w:w="2688" w:type="dxa"/>
            <w:vMerge w:val="continue"/>
            <w:tcBorders>
              <w:tl2br w:val="nil"/>
              <w:tr2bl w:val="nil"/>
            </w:tcBorders>
            <w:vAlign w:val="center"/>
          </w:tcPr>
          <w:p>
            <w:pPr>
              <w:spacing w:line="260" w:lineRule="exact"/>
            </w:pPr>
          </w:p>
        </w:tc>
        <w:tc>
          <w:tcPr>
            <w:tcW w:w="607" w:type="dxa"/>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符号</w:t>
            </w:r>
          </w:p>
        </w:tc>
        <w:tc>
          <w:tcPr>
            <w:tcW w:w="424" w:type="dxa"/>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spacing w:line="260" w:lineRule="exact"/>
              <w:jc w:val="center"/>
              <w:rPr>
                <w:rFonts w:ascii="方正书宋_GBK" w:eastAsia="方正书宋_GBK"/>
                <w:b/>
              </w:rPr>
            </w:pPr>
            <w:r>
              <w:rPr>
                <w:rFonts w:ascii="方正书宋_GBK" w:eastAsia="方正书宋_GBK"/>
                <w:b/>
              </w:rPr>
              <w:t>单位</w:t>
            </w:r>
          </w:p>
        </w:tc>
        <w:tc>
          <w:tcPr>
            <w:tcW w:w="2654" w:type="dxa"/>
            <w:vMerge w:val="continue"/>
            <w:tcBorders>
              <w:tl2br w:val="nil"/>
              <w:tr2bl w:val="nil"/>
            </w:tcBorders>
            <w:vAlign w:val="center"/>
          </w:tcPr>
          <w:p>
            <w:pPr>
              <w:spacing w:line="2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trPr>
        <w:tc>
          <w:tcPr>
            <w:tcW w:w="1134" w:type="dxa"/>
            <w:vMerge w:val="restart"/>
            <w:tcBorders>
              <w:tl2br w:val="nil"/>
              <w:tr2bl w:val="nil"/>
            </w:tcBorders>
            <w:vAlign w:val="center"/>
          </w:tcPr>
          <w:p>
            <w:pPr>
              <w:widowControl/>
              <w:adjustRightInd w:val="0"/>
              <w:snapToGrid w:val="0"/>
              <w:spacing w:line="26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276" w:type="dxa"/>
            <w:tcBorders>
              <w:tl2br w:val="nil"/>
              <w:tr2bl w:val="nil"/>
            </w:tcBorders>
            <w:vAlign w:val="center"/>
          </w:tcPr>
          <w:p>
            <w:pPr>
              <w:widowControl/>
              <w:adjustRightInd w:val="0"/>
              <w:snapToGrid w:val="0"/>
              <w:spacing w:line="260" w:lineRule="exact"/>
              <w:jc w:val="center"/>
              <w:rPr>
                <w:rFonts w:ascii="方正书宋_GBK" w:eastAsia="方正书宋_GBK"/>
              </w:rPr>
            </w:pPr>
            <w:r>
              <w:rPr>
                <w:rFonts w:ascii="方正书宋_GBK" w:eastAsia="方正书宋_GBK"/>
              </w:rPr>
              <w:t>数量</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机构服务数量</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达到指标值得20分未达到按标准扣分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607"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1个</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53"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ascii="方正书宋_GBK" w:eastAsia="方正书宋_GBK"/>
              </w:rPr>
            </w:pPr>
            <w:r>
              <w:rPr>
                <w:rFonts w:ascii="方正书宋_GBK" w:eastAsia="方正书宋_GBK"/>
              </w:rPr>
              <w:t>质量</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积极稳妥推进事业单位改革</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有效开展提升率</w:t>
            </w:r>
          </w:p>
        </w:tc>
        <w:tc>
          <w:tcPr>
            <w:tcW w:w="607"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573"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签署合同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hint="eastAsia" w:ascii="方正书宋_GBK" w:eastAsia="方正书宋_GBK"/>
                <w:lang w:eastAsia="zh-CN"/>
              </w:rPr>
            </w:pPr>
            <w:r>
              <w:rPr>
                <w:rFonts w:hint="eastAsia" w:ascii="方正书宋_GBK" w:eastAsia="方正书宋_GBK"/>
                <w:lang w:eastAsia="zh-CN"/>
              </w:rPr>
              <w:t>成本</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完成金额</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完成金额</w:t>
            </w:r>
          </w:p>
        </w:tc>
        <w:tc>
          <w:tcPr>
            <w:tcW w:w="607"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573"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万</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廊广编办【2022】1号廊广编办【2021】44号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56"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hint="eastAsia" w:ascii="方正书宋_GBK" w:eastAsia="方正书宋_GBK"/>
                <w:lang w:eastAsia="zh-CN"/>
              </w:rPr>
            </w:pPr>
            <w:r>
              <w:rPr>
                <w:rFonts w:hint="eastAsia" w:ascii="方正书宋_GBK" w:eastAsia="方正书宋_GBK"/>
                <w:lang w:eastAsia="zh-CN"/>
              </w:rPr>
              <w:t>时效</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完成及时率</w:t>
            </w:r>
          </w:p>
        </w:tc>
        <w:tc>
          <w:tcPr>
            <w:tcW w:w="607"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p>
        </w:tc>
        <w:tc>
          <w:tcPr>
            <w:tcW w:w="573" w:type="dxa"/>
            <w:tcBorders>
              <w:tl2br w:val="nil"/>
              <w:tr2bl w:val="nil"/>
            </w:tcBorders>
            <w:vAlign w:val="center"/>
          </w:tcPr>
          <w:p>
            <w:pPr>
              <w:widowControl/>
              <w:adjustRightInd w:val="0"/>
              <w:snapToGrid w:val="0"/>
              <w:spacing w:line="26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12月底</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2" w:hRule="atLeast"/>
        </w:trPr>
        <w:tc>
          <w:tcPr>
            <w:tcW w:w="1134" w:type="dxa"/>
            <w:vMerge w:val="restart"/>
            <w:tcBorders>
              <w:tl2br w:val="nil"/>
              <w:tr2bl w:val="nil"/>
            </w:tcBorders>
            <w:vAlign w:val="center"/>
          </w:tcPr>
          <w:p>
            <w:pPr>
              <w:adjustRightInd w:val="0"/>
              <w:snapToGrid w:val="0"/>
              <w:spacing w:line="26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276" w:type="dxa"/>
            <w:tcBorders>
              <w:tl2br w:val="nil"/>
              <w:tr2bl w:val="nil"/>
            </w:tcBorders>
            <w:vAlign w:val="center"/>
          </w:tcPr>
          <w:p>
            <w:pPr>
              <w:widowControl/>
              <w:adjustRightInd w:val="0"/>
              <w:snapToGrid w:val="0"/>
              <w:spacing w:line="260" w:lineRule="exact"/>
              <w:jc w:val="center"/>
              <w:rPr>
                <w:rFonts w:hint="eastAsia" w:ascii="方正书宋_GBK" w:eastAsia="方正书宋_GBK"/>
                <w:lang w:eastAsia="zh-CN"/>
              </w:rPr>
            </w:pPr>
            <w:r>
              <w:rPr>
                <w:rFonts w:hint="eastAsia" w:ascii="方正书宋_GBK" w:eastAsia="方正书宋_GBK"/>
                <w:lang w:eastAsia="zh-CN"/>
              </w:rPr>
              <w:t>经济</w:t>
            </w:r>
          </w:p>
          <w:p>
            <w:pPr>
              <w:widowControl/>
              <w:adjustRightInd w:val="0"/>
              <w:snapToGrid w:val="0"/>
              <w:spacing w:line="260" w:lineRule="exact"/>
              <w:jc w:val="center"/>
              <w:rPr>
                <w:rFonts w:ascii="方正书宋_GBK" w:eastAsia="方正书宋_GBK"/>
              </w:rPr>
            </w:pPr>
            <w:r>
              <w:rPr>
                <w:rFonts w:ascii="方正书宋_GBK" w:eastAsia="方正书宋_GBK"/>
              </w:rPr>
              <w:t>效益</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积极稳妥推进事业单位改革工作</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提升事业单位管理服务水平</w:t>
            </w:r>
          </w:p>
        </w:tc>
        <w:tc>
          <w:tcPr>
            <w:tcW w:w="607" w:type="dxa"/>
            <w:tcBorders>
              <w:tl2br w:val="nil"/>
              <w:tr2bl w:val="nil"/>
            </w:tcBorders>
            <w:vAlign w:val="center"/>
          </w:tcPr>
          <w:p>
            <w:pPr>
              <w:widowControl/>
              <w:adjustRightInd w:val="0"/>
              <w:snapToGrid w:val="0"/>
              <w:spacing w:line="260" w:lineRule="exact"/>
              <w:jc w:val="left"/>
              <w:rPr>
                <w:rFonts w:hint="eastAsia" w:ascii="仿宋_GB2312" w:hAnsi="仿宋_GB2312" w:eastAsia="仿宋_GB2312" w:cs="仿宋_GB2312"/>
              </w:rPr>
            </w:pPr>
            <w:r>
              <w:rPr>
                <w:rFonts w:hint="eastAsia" w:ascii="仿宋_GB2312" w:hAnsi="仿宋_GB2312" w:eastAsia="仿宋_GB2312" w:cs="仿宋_GB2312"/>
              </w:rPr>
              <w:t>文字描述</w:t>
            </w:r>
          </w:p>
        </w:tc>
        <w:tc>
          <w:tcPr>
            <w:tcW w:w="424"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2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提升水平</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94"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hint="eastAsia" w:ascii="方正书宋_GBK" w:eastAsia="方正书宋_GBK"/>
                <w:lang w:eastAsia="zh-CN"/>
              </w:rPr>
            </w:pPr>
            <w:r>
              <w:rPr>
                <w:rFonts w:hint="eastAsia" w:ascii="方正书宋_GBK" w:eastAsia="方正书宋_GBK"/>
                <w:lang w:eastAsia="zh-CN"/>
              </w:rPr>
              <w:t>社会</w:t>
            </w:r>
          </w:p>
          <w:p>
            <w:pPr>
              <w:widowControl/>
              <w:adjustRightInd w:val="0"/>
              <w:snapToGrid w:val="0"/>
              <w:spacing w:line="260" w:lineRule="exact"/>
              <w:jc w:val="center"/>
              <w:rPr>
                <w:rFonts w:ascii="方正书宋_GBK" w:eastAsia="方正书宋_GBK"/>
              </w:rPr>
            </w:pPr>
            <w:r>
              <w:rPr>
                <w:rFonts w:hint="eastAsia" w:ascii="方正书宋_GBK" w:eastAsia="方正书宋_GBK"/>
              </w:rPr>
              <w:t>效益</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增进民生福祉</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达到指标值得10分未达到按标准扣分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提升推进机构改革功能重塑再造</w:t>
            </w:r>
          </w:p>
        </w:tc>
        <w:tc>
          <w:tcPr>
            <w:tcW w:w="607" w:type="dxa"/>
            <w:tcBorders>
              <w:tl2br w:val="nil"/>
              <w:tr2bl w:val="nil"/>
            </w:tcBorders>
            <w:vAlign w:val="center"/>
          </w:tcPr>
          <w:p>
            <w:pPr>
              <w:widowControl/>
              <w:adjustRightInd w:val="0"/>
              <w:snapToGrid w:val="0"/>
              <w:spacing w:line="26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42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提升</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both"/>
              <w:rPr>
                <w:rFonts w:hint="eastAsia" w:ascii="方正书宋_GBK" w:eastAsia="方正书宋_GBK"/>
                <w:lang w:eastAsia="zh-CN"/>
              </w:rPr>
            </w:pPr>
            <w:r>
              <w:rPr>
                <w:rFonts w:hint="eastAsia" w:ascii="方正书宋_GBK" w:eastAsia="方正书宋_GBK"/>
                <w:lang w:eastAsia="zh-CN"/>
              </w:rPr>
              <w:t>可持续影响</w:t>
            </w:r>
          </w:p>
        </w:tc>
        <w:tc>
          <w:tcPr>
            <w:tcW w:w="1559"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建立良好的人才环境</w:t>
            </w:r>
          </w:p>
        </w:tc>
        <w:tc>
          <w:tcPr>
            <w:tcW w:w="1701" w:type="dxa"/>
            <w:tcBorders>
              <w:tl2br w:val="nil"/>
              <w:tr2bl w:val="nil"/>
            </w:tcBorders>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达到指标值得15分未达到按标准扣分</w:t>
            </w:r>
          </w:p>
        </w:tc>
        <w:tc>
          <w:tcPr>
            <w:tcW w:w="2688"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提升建立良好的人才发展环境</w:t>
            </w:r>
          </w:p>
        </w:tc>
        <w:tc>
          <w:tcPr>
            <w:tcW w:w="607" w:type="dxa"/>
            <w:tcBorders>
              <w:tl2br w:val="nil"/>
              <w:tr2bl w:val="nil"/>
            </w:tcBorders>
            <w:vAlign w:val="center"/>
          </w:tcPr>
          <w:p>
            <w:pPr>
              <w:widowControl/>
              <w:adjustRightInd w:val="0"/>
              <w:snapToGrid w:val="0"/>
              <w:spacing w:line="26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文字描述</w:t>
            </w:r>
          </w:p>
        </w:tc>
        <w:tc>
          <w:tcPr>
            <w:tcW w:w="42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提升</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10" w:hRule="atLeast"/>
        </w:trPr>
        <w:tc>
          <w:tcPr>
            <w:tcW w:w="1134" w:type="dxa"/>
            <w:vMerge w:val="continue"/>
            <w:tcBorders>
              <w:tl2br w:val="nil"/>
              <w:tr2bl w:val="nil"/>
            </w:tcBorders>
            <w:vAlign w:val="center"/>
          </w:tcPr>
          <w:p>
            <w:pPr>
              <w:spacing w:line="260" w:lineRule="exact"/>
            </w:pPr>
          </w:p>
        </w:tc>
        <w:tc>
          <w:tcPr>
            <w:tcW w:w="1276" w:type="dxa"/>
            <w:tcBorders>
              <w:tl2br w:val="nil"/>
              <w:tr2bl w:val="nil"/>
            </w:tcBorders>
            <w:vAlign w:val="center"/>
          </w:tcPr>
          <w:p>
            <w:pPr>
              <w:widowControl/>
              <w:adjustRightInd w:val="0"/>
              <w:snapToGrid w:val="0"/>
              <w:spacing w:line="260" w:lineRule="exact"/>
              <w:jc w:val="center"/>
              <w:rPr>
                <w:rFonts w:ascii="方正书宋_GBK" w:eastAsia="方正书宋_GBK"/>
              </w:rPr>
            </w:pPr>
            <w:r>
              <w:rPr>
                <w:rFonts w:hint="eastAsia" w:ascii="方正书宋_GBK" w:eastAsia="方正书宋_GBK"/>
              </w:rPr>
              <w:t>满意度</w:t>
            </w:r>
          </w:p>
        </w:tc>
        <w:tc>
          <w:tcPr>
            <w:tcW w:w="1559" w:type="dxa"/>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701" w:type="dxa"/>
            <w:tcBorders>
              <w:tl2br w:val="nil"/>
              <w:tr2bl w:val="nil"/>
            </w:tcBorders>
            <w:noWrap/>
            <w:vAlign w:val="top"/>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达到指标值得15分未达到按标准扣分</w:t>
            </w:r>
          </w:p>
        </w:tc>
        <w:tc>
          <w:tcPr>
            <w:tcW w:w="2688" w:type="dxa"/>
            <w:tcBorders>
              <w:tl2br w:val="nil"/>
              <w:tr2bl w:val="nil"/>
            </w:tcBorders>
            <w:noWrap/>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服务对象满意度</w:t>
            </w:r>
          </w:p>
        </w:tc>
        <w:tc>
          <w:tcPr>
            <w:tcW w:w="607" w:type="dxa"/>
            <w:tcBorders>
              <w:tl2br w:val="nil"/>
              <w:tr2bl w:val="nil"/>
            </w:tcBorders>
            <w:vAlign w:val="center"/>
          </w:tcPr>
          <w:p>
            <w:pPr>
              <w:widowControl/>
              <w:adjustRightInd w:val="0"/>
              <w:snapToGrid w:val="0"/>
              <w:spacing w:line="260" w:lineRule="exact"/>
              <w:jc w:val="left"/>
              <w:rPr>
                <w:rFonts w:hint="eastAsia" w:ascii="仿宋_GB2312" w:hAnsi="仿宋_GB2312" w:eastAsia="仿宋_GB2312" w:cs="仿宋_GB2312"/>
              </w:rPr>
            </w:pPr>
            <w:r>
              <w:rPr>
                <w:rFonts w:hint="eastAsia" w:ascii="仿宋_GB2312" w:hAnsi="仿宋_GB2312" w:eastAsia="仿宋_GB2312" w:cs="仿宋_GB2312"/>
              </w:rPr>
              <w:t>≥</w:t>
            </w:r>
          </w:p>
        </w:tc>
        <w:tc>
          <w:tcPr>
            <w:tcW w:w="42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2654" w:type="dxa"/>
            <w:tcBorders>
              <w:tl2br w:val="nil"/>
              <w:tr2bl w:val="nil"/>
            </w:tcBorders>
            <w:vAlign w:val="center"/>
          </w:tcPr>
          <w:p>
            <w:pPr>
              <w:widowControl/>
              <w:adjustRightInd w:val="0"/>
              <w:snapToGrid w:val="0"/>
              <w:spacing w:line="26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ind w:firstLine="560" w:firstLineChars="200"/>
        <w:jc w:val="lef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法律顾问服务经费</w:t>
      </w:r>
      <w:r>
        <w:rPr>
          <w:rFonts w:hint="eastAsia" w:ascii="仿宋_GB2312" w:hAnsi="仿宋_GB2312" w:eastAsia="仿宋_GB2312" w:cs="仿宋_GB2312"/>
          <w:sz w:val="28"/>
          <w:szCs w:val="28"/>
        </w:rPr>
        <w:t>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sz w:val="21"/>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8"/>
        <w:gridCol w:w="2126"/>
        <w:gridCol w:w="3261"/>
        <w:gridCol w:w="3349"/>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8"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2734" w:type="dxa"/>
            <w:gridSpan w:val="5"/>
            <w:shd w:val="clear" w:color="auto" w:fill="auto"/>
            <w:vAlign w:val="center"/>
          </w:tcPr>
          <w:p>
            <w:pPr>
              <w:pStyle w:val="14"/>
              <w:spacing w:line="2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1.为保障各项事务合法合规开展</w:t>
            </w:r>
          </w:p>
          <w:p>
            <w:pPr>
              <w:pStyle w:val="14"/>
              <w:spacing w:line="26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2.按照全区依法治区工作部署</w:t>
            </w:r>
          </w:p>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kern w:val="0"/>
                <w:sz w:val="21"/>
                <w:szCs w:val="21"/>
                <w:lang w:eastAsia="uk-UA"/>
              </w:rPr>
              <w:t>更好的依法行政。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8"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126"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3261"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349"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26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8" w:type="dxa"/>
            <w:vMerge w:val="restart"/>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单位</w:t>
            </w:r>
            <w:r>
              <w:rPr>
                <w:rFonts w:hint="eastAsia" w:ascii="仿宋_GB2312" w:hAnsi="仿宋_GB2312" w:eastAsia="仿宋_GB2312" w:cs="仿宋_GB2312"/>
                <w:sz w:val="21"/>
                <w:szCs w:val="21"/>
              </w:rPr>
              <w:t>机构数量</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单位</w:t>
            </w:r>
            <w:r>
              <w:rPr>
                <w:rFonts w:hint="eastAsia" w:ascii="仿宋_GB2312" w:hAnsi="仿宋_GB2312" w:eastAsia="仿宋_GB2312" w:cs="仿宋_GB2312"/>
                <w:sz w:val="21"/>
                <w:szCs w:val="21"/>
              </w:rPr>
              <w:t>机构数量</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1个</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为更好的依法行政</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更好的依法行政效率</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100百分比</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12月底</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成本节约率</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完成金额</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≤1.5万元</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廊广编办【2022】1号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2" w:hRule="atLeast"/>
          <w:jc w:val="center"/>
        </w:trPr>
        <w:tc>
          <w:tcPr>
            <w:tcW w:w="1328" w:type="dxa"/>
            <w:vMerge w:val="restart"/>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保障各项机构编制事务合法合规</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保障各项机构编制事务合法合规</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保障合法合规性</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4"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为依法工作夯实基础</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提高工作效率</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提升效率</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6" w:hRule="atLeast"/>
          <w:jc w:val="center"/>
        </w:trPr>
        <w:tc>
          <w:tcPr>
            <w:tcW w:w="1328" w:type="dxa"/>
            <w:vMerge w:val="continue"/>
            <w:shd w:val="clear" w:color="auto" w:fill="auto"/>
            <w:vAlign w:val="center"/>
          </w:tcPr>
          <w:p>
            <w:pPr>
              <w:spacing w:line="260" w:lineRule="exact"/>
              <w:rPr>
                <w:rFonts w:hint="eastAsia" w:ascii="仿宋_GB2312" w:hAnsi="仿宋_GB2312" w:eastAsia="仿宋_GB2312" w:cs="仿宋_GB2312"/>
                <w:sz w:val="21"/>
                <w:szCs w:val="21"/>
              </w:rPr>
            </w:pP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保障机构编制工作依法行政</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提升机构编制工作依法行政</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6" w:hRule="atLeast"/>
          <w:jc w:val="center"/>
        </w:trPr>
        <w:tc>
          <w:tcPr>
            <w:tcW w:w="1328"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126"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3261"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w:t>
            </w:r>
          </w:p>
        </w:tc>
        <w:tc>
          <w:tcPr>
            <w:tcW w:w="3349"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区委编办满意度</w:t>
            </w:r>
          </w:p>
        </w:tc>
        <w:tc>
          <w:tcPr>
            <w:tcW w:w="1843"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≥90百分比</w:t>
            </w:r>
          </w:p>
        </w:tc>
        <w:tc>
          <w:tcPr>
            <w:tcW w:w="2155" w:type="dxa"/>
            <w:shd w:val="clear" w:color="auto" w:fill="auto"/>
            <w:vAlign w:val="center"/>
          </w:tcPr>
          <w:p>
            <w:pPr>
              <w:spacing w:line="26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ind w:firstLine="560" w:firstLineChars="200"/>
        <w:jc w:val="left"/>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sz w:val="28"/>
          <w:szCs w:val="28"/>
        </w:rPr>
        <w:t>事业单位改革办公经费绩效目标表</w:t>
      </w:r>
    </w:p>
    <w:p>
      <w:pPr>
        <w:spacing w:line="14" w:lineRule="exact"/>
        <w:ind w:firstLine="420" w:firstLineChars="200"/>
        <w:jc w:val="center"/>
        <w:rPr>
          <w:rFonts w:hint="eastAsia" w:ascii="仿宋_GB2312" w:hAnsi="仿宋_GB2312" w:eastAsia="仿宋_GB2312" w:cs="仿宋_GB2312"/>
          <w:sz w:val="21"/>
          <w:szCs w:val="21"/>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1653" w:type="dxa"/>
            <w:gridSpan w:val="5"/>
            <w:shd w:val="clear" w:color="auto" w:fill="auto"/>
            <w:vAlign w:val="center"/>
          </w:tcPr>
          <w:p>
            <w:pPr>
              <w:pStyle w:val="14"/>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1.改善人民生活品质、增进民生福祉深化改革，不断创新公共服务体制机制。</w:t>
            </w:r>
          </w:p>
          <w:p>
            <w:pPr>
              <w:pStyle w:val="14"/>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2.满足人民群众日益增长的美好生活需要。</w:t>
            </w:r>
          </w:p>
          <w:p>
            <w:pPr>
              <w:spacing w:line="400" w:lineRule="exac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3.推进机构功能重塑再造和整体效能提升为目标，有效开展好行政类和经营类事业单位改革。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单位</w:t>
            </w:r>
            <w:r>
              <w:rPr>
                <w:rFonts w:hint="eastAsia" w:ascii="仿宋_GB2312" w:hAnsi="仿宋_GB2312" w:eastAsia="仿宋_GB2312" w:cs="仿宋_GB2312"/>
                <w:sz w:val="21"/>
                <w:szCs w:val="21"/>
              </w:rPr>
              <w:t>机构服务数量</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单位</w:t>
            </w:r>
            <w:r>
              <w:rPr>
                <w:rFonts w:hint="eastAsia" w:ascii="仿宋_GB2312" w:hAnsi="仿宋_GB2312" w:eastAsia="仿宋_GB2312" w:cs="仿宋_GB2312"/>
                <w:sz w:val="21"/>
                <w:szCs w:val="21"/>
              </w:rPr>
              <w:t>机构服务数量</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≥180个</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为积极稳妥推进事业单位改革</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有效开展提升率</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100百分比</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签署合同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12月底</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成本节约率</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完成金额</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≤8万元</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廊广编办【2021】44号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为积极稳妥推进事业单位改革</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提升事业登记管理服务水平</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提升水平</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jc w:val="center"/>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增进民生福祉深化改革</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提升推进机构改革功能重塑再造</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rPr>
                <w:rFonts w:hint="eastAsia" w:ascii="仿宋_GB2312" w:hAnsi="仿宋_GB2312" w:eastAsia="仿宋_GB2312" w:cs="仿宋_GB2312"/>
                <w:sz w:val="21"/>
                <w:szCs w:val="21"/>
              </w:rPr>
            </w:pP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建立良好的人才发展环境</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提升建立良好的人才发展环境</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409" w:type="dxa"/>
            <w:shd w:val="clear" w:color="auto" w:fill="auto"/>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268"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98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w:t>
            </w:r>
          </w:p>
        </w:tc>
        <w:tc>
          <w:tcPr>
            <w:tcW w:w="3402"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单位</w:t>
            </w:r>
            <w:r>
              <w:rPr>
                <w:rFonts w:hint="eastAsia" w:ascii="仿宋_GB2312" w:hAnsi="仿宋_GB2312" w:eastAsia="仿宋_GB2312" w:cs="仿宋_GB2312"/>
                <w:sz w:val="21"/>
                <w:szCs w:val="21"/>
              </w:rPr>
              <w:t>机构服务满意度</w:t>
            </w:r>
          </w:p>
        </w:tc>
        <w:tc>
          <w:tcPr>
            <w:tcW w:w="1843"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≥90百分比</w:t>
            </w:r>
          </w:p>
        </w:tc>
        <w:tc>
          <w:tcPr>
            <w:tcW w:w="2155" w:type="dxa"/>
            <w:shd w:val="clear" w:color="auto" w:fill="auto"/>
            <w:vAlign w:val="center"/>
          </w:tcPr>
          <w:p>
            <w:pPr>
              <w:spacing w:line="4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autoSpaceDE w:val="0"/>
        <w:autoSpaceDN w:val="0"/>
        <w:adjustRightInd w:val="0"/>
        <w:spacing w:line="280" w:lineRule="exact"/>
        <w:jc w:val="left"/>
        <w:rPr>
          <w:rFonts w:hint="eastAsia" w:ascii="仿宋_GB2312" w:hAnsi="仿宋_GB2312" w:eastAsia="仿宋_GB2312" w:cs="仿宋_GB2312"/>
          <w:sz w:val="21"/>
          <w:szCs w:val="21"/>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b/>
          <w:szCs w:val="21"/>
        </w:rPr>
      </w:pPr>
      <w:r>
        <w:rPr>
          <w:b/>
          <w:szCs w:val="21"/>
        </w:rPr>
        <w:t>[261001]中共廊坊市</w:t>
      </w:r>
      <w:r>
        <w:rPr>
          <w:rFonts w:hint="eastAsia"/>
          <w:b/>
          <w:szCs w:val="21"/>
        </w:rPr>
        <w:t xml:space="preserve">广阳区委机构编制委员会办公室 </w:t>
      </w:r>
      <w:r>
        <w:rPr>
          <w:b/>
          <w:szCs w:val="21"/>
        </w:rP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w:t>
            </w:r>
            <w:r>
              <w:rPr>
                <w:rFonts w:hint="eastAsia"/>
                <w:lang w:eastAsia="zh-CN"/>
              </w:rPr>
              <w:t>单位</w:t>
            </w:r>
            <w:r>
              <w:t>预算安排资金）</w:t>
            </w:r>
          </w:p>
        </w:tc>
        <w:tc>
          <w:tcPr>
            <w:tcW w:w="30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中共廊坊市</w:t>
      </w:r>
      <w:r>
        <w:rPr>
          <w:rFonts w:hint="eastAsia" w:ascii="Times New Roman" w:hAnsi="Times New Roman" w:eastAsia="仿宋_GB2312" w:cs="Times New Roman"/>
          <w:sz w:val="32"/>
          <w:szCs w:val="32"/>
        </w:rPr>
        <w:t>广阳区委机构编制委员会办公室</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38.74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中共廊坊市</w:t>
            </w:r>
            <w:r>
              <w:rPr>
                <w:rFonts w:hint="eastAsia" w:ascii="Times New Roman" w:hAnsi="Times New Roman" w:eastAsia="仿宋_GB2312" w:cs="Times New Roman"/>
                <w:b/>
                <w:bCs/>
                <w:sz w:val="32"/>
                <w:szCs w:val="32"/>
              </w:rPr>
              <w:t>广阳区委机构编制委员会办公室</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：中共廊坊市</w:t>
            </w:r>
            <w:r>
              <w:rPr>
                <w:rFonts w:hint="eastAsia" w:ascii="Times New Roman" w:hAnsi="Times New Roman" w:eastAsia="仿宋_GB2312" w:cs="Times New Roman"/>
                <w:kern w:val="0"/>
                <w:sz w:val="22"/>
              </w:rPr>
              <w:t>广阳区委机构编制委员会办公室</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21</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27.03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1F34"/>
    <w:rsid w:val="000230E6"/>
    <w:rsid w:val="000C7105"/>
    <w:rsid w:val="000D671C"/>
    <w:rsid w:val="000F1C2E"/>
    <w:rsid w:val="000F6018"/>
    <w:rsid w:val="00153416"/>
    <w:rsid w:val="001F5A39"/>
    <w:rsid w:val="00202629"/>
    <w:rsid w:val="00250E8C"/>
    <w:rsid w:val="0025632D"/>
    <w:rsid w:val="002C7394"/>
    <w:rsid w:val="002E4FE3"/>
    <w:rsid w:val="003059E0"/>
    <w:rsid w:val="003B3A02"/>
    <w:rsid w:val="003D1D86"/>
    <w:rsid w:val="003D43C4"/>
    <w:rsid w:val="003D7268"/>
    <w:rsid w:val="00434FB8"/>
    <w:rsid w:val="004A54AA"/>
    <w:rsid w:val="00610A77"/>
    <w:rsid w:val="006E54F0"/>
    <w:rsid w:val="007F1714"/>
    <w:rsid w:val="00872DC3"/>
    <w:rsid w:val="00877BEB"/>
    <w:rsid w:val="008D1E4A"/>
    <w:rsid w:val="009204D8"/>
    <w:rsid w:val="00944233"/>
    <w:rsid w:val="00996183"/>
    <w:rsid w:val="00A609D9"/>
    <w:rsid w:val="00B22F26"/>
    <w:rsid w:val="00B40732"/>
    <w:rsid w:val="00B54BA0"/>
    <w:rsid w:val="00B80935"/>
    <w:rsid w:val="00BC3E9D"/>
    <w:rsid w:val="00C470F0"/>
    <w:rsid w:val="00C952F8"/>
    <w:rsid w:val="00CD3084"/>
    <w:rsid w:val="00D347CC"/>
    <w:rsid w:val="00D53615"/>
    <w:rsid w:val="00D73FD7"/>
    <w:rsid w:val="00D8094F"/>
    <w:rsid w:val="00DC106D"/>
    <w:rsid w:val="00DC631D"/>
    <w:rsid w:val="00DC72B4"/>
    <w:rsid w:val="00E97172"/>
    <w:rsid w:val="00EE02C6"/>
    <w:rsid w:val="00F924E7"/>
    <w:rsid w:val="0CEC1180"/>
    <w:rsid w:val="2C9303C4"/>
    <w:rsid w:val="339A4ADB"/>
    <w:rsid w:val="39466D56"/>
    <w:rsid w:val="45107504"/>
    <w:rsid w:val="4FB34022"/>
    <w:rsid w:val="5A1F70DB"/>
    <w:rsid w:val="73693C55"/>
    <w:rsid w:val="76CC32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985</Words>
  <Characters>5618</Characters>
  <Lines>46</Lines>
  <Paragraphs>13</Paragraphs>
  <TotalTime>1</TotalTime>
  <ScaleCrop>false</ScaleCrop>
  <LinksUpToDate>false</LinksUpToDate>
  <CharactersWithSpaces>6590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2024-05-14T08:28:04Z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59A3DD0742C84DDBB14A5E3CC0970B78</vt:lpwstr>
  </property>
</Properties>
</file>