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8" w:name="_GoBack"/>
      <w:bookmarkEnd w:id="8"/>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广阳区北旺镇初级中学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广阳区北旺镇初级中学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以农村教育为重点，推进义务教育均衡发展，建立中小学校舍安全保障机制，改善薄弱学校办学条件，提高素质教育水平，开展丰富多彩的教学活动。促进公共教育资源向农村和经济欠发达地区倾斜。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廊坊市北旺镇初级中学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财政性基金基本保障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广阳区北旺镇初级中学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2年预算收入92.94万元，其中：一般公共预算收入92.94万元，基金预算收入0万元，财政专户核拨收入0万元，其他来源收入0万元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广阳区北旺镇初级中学2022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2年支出预算92.94万元，其中</w:t>
      </w:r>
      <w:r>
        <w:rPr>
          <w:rFonts w:hint="eastAsia" w:ascii="Times New Roman" w:hAnsi="Times New Roman" w:eastAsia="仿宋_GB2312" w:cs="Times New Roman"/>
          <w:sz w:val="32"/>
          <w:szCs w:val="32"/>
        </w:rPr>
        <w:t>基本支出0万元，包括人员类项目经费0万元和运转类公用项目经费0万元；运转类其他及特定目标类项目支出92.94万元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2年预算收支安排92.94万元，较20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48.17万元，主要为</w:t>
      </w:r>
      <w:r>
        <w:rPr>
          <w:rFonts w:hint="eastAsia" w:ascii="Times New Roman" w:hAnsi="Times New Roman" w:eastAsia="仿宋_GB2312" w:cs="Times New Roman"/>
          <w:sz w:val="32"/>
          <w:szCs w:val="32"/>
        </w:rPr>
        <w:t>操场和消防改造</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运行经费共计安排92.94万元，主要用于</w:t>
      </w:r>
      <w:r>
        <w:rPr>
          <w:rFonts w:hint="eastAsia" w:ascii="Times New Roman" w:hAnsi="Times New Roman" w:eastAsia="仿宋_GB2312" w:cs="Times New Roman"/>
          <w:sz w:val="32"/>
          <w:szCs w:val="32"/>
        </w:rPr>
        <w:t>北旺镇初级中学</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w:t>
      </w:r>
      <w:bookmarkStart w:id="0" w:name="_Hlk97643923"/>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w:t>
      </w:r>
      <w:bookmarkEnd w:id="0"/>
      <w:r>
        <w:rPr>
          <w:rFonts w:ascii="Times New Roman" w:hAnsi="Times New Roman" w:eastAsia="仿宋_GB2312" w:cs="Times New Roman"/>
          <w:sz w:val="32"/>
          <w:szCs w:val="32"/>
        </w:rPr>
        <w:t>（其中：公务用车购置</w:t>
      </w:r>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万元，公务用车运维</w:t>
      </w:r>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我校无公车运行经费支出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，增加0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：我校无公务接待费支出。</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1、发展农村义务教育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免除农村中学生学杂费，提高公用经费保障水平，为贫困中小学生免费提供教科书</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改善农村中学办学条件。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保障中学公用经费水平逐年提高。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保障中学入学率。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2、改善学校办学条件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开展学生社会实践活动，建立学生实践教育基地，推进学校教育信息化。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3、提升特殊教育保障水平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保证教学设备设施配备齐全，保障学生校园安全，支持贫困学生和爱心家园学生完成学业。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改善办学条件，配置基础教育资源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4、开展教师教研及学生德育活动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提高教师教学水平，调动教师积极性，培养专家型教师人才，提高学生的综合素质。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1、成立以校长为组长的学校教学经费保障领导小组，加强对教学经费保障的领导工作，确保教学经费使用占学校总开支的20%以上。</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2、建立日请月结、学期公布的财务制度。增加财物工作的透明、公开度。</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3、设立意见箱和回音栏，对教师提出的建议和意见及制给予回答并落实。</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4、定期召开教学经费保障专题会议。集思广益，使学校经费为教学开绿灯。</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5、成立教学经费保障监督小组，实行民主理财，集体决策。</w:t>
      </w:r>
    </w:p>
    <w:p>
      <w:pPr>
        <w:overflowPunct w:val="0"/>
        <w:adjustRightInd w:val="0"/>
        <w:snapToGrid w:val="0"/>
        <w:spacing w:afterLines="50" w:line="580" w:lineRule="exact"/>
        <w:ind w:firstLine="627" w:firstLineChars="196"/>
        <w:jc w:val="left"/>
        <w:rPr>
          <w:rFonts w:hint="eastAsia" w:ascii="仿宋_GB2312" w:eastAsia="仿宋_GB2312" w:cs="Times New Roman"/>
          <w:sz w:val="32"/>
          <w:szCs w:val="32"/>
        </w:rPr>
      </w:pPr>
      <w:r>
        <w:rPr>
          <w:rFonts w:hint="eastAsia" w:ascii="仿宋_GB2312" w:eastAsia="仿宋_GB2312" w:cs="Times New Roman"/>
          <w:sz w:val="32"/>
          <w:szCs w:val="32"/>
        </w:rPr>
        <w:t>6、设立教师外出培训、外出学习交流专项资金。确保教师培训、外出学习交流落实到实处。</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义务教育在校生</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义务教育在校学生数</w:t>
            </w:r>
          </w:p>
        </w:tc>
        <w:tc>
          <w:tcPr>
            <w:tcW w:w="54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549</w:t>
            </w:r>
          </w:p>
        </w:tc>
        <w:tc>
          <w:tcPr>
            <w:tcW w:w="57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sz w:val="22"/>
              </w:rPr>
              <w:t>保障教学完成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购置物资合格率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及时性</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20分及时完成得满分，否则不得分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10分支出不高于项目资金总额得满分，否则不得分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927400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元</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社会效益</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提高</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服务对象满意度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10分</w:t>
            </w:r>
            <w:r>
              <w:rPr>
                <w:rFonts w:hint="eastAsia" w:ascii="仿宋_GB2312" w:hAnsi="仿宋_GB2312" w:eastAsia="仿宋_GB2312" w:cs="仿宋_GB2312"/>
                <w:lang w:eastAsia="zh-CN"/>
              </w:rPr>
              <w:t>家长</w:t>
            </w:r>
            <w:r>
              <w:rPr>
                <w:rFonts w:hint="eastAsia" w:ascii="仿宋_GB2312" w:hAnsi="仿宋_GB2312" w:eastAsia="仿宋_GB2312" w:cs="仿宋_GB2312"/>
              </w:rPr>
              <w:t>的满意度达到95%得满分，每降低1%扣1分，扣完为止。</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eastAsia="zh-CN"/>
              </w:rPr>
              <w:t>家长</w:t>
            </w:r>
            <w:r>
              <w:rPr>
                <w:rFonts w:hint="eastAsia" w:ascii="仿宋_GB2312" w:hAnsi="仿宋_GB2312" w:eastAsia="仿宋_GB2312" w:cs="仿宋_GB2312"/>
              </w:rPr>
              <w:t>的满意程度</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1" w:name="_Toc_4_4_0000000004"/>
      <w:r>
        <w:rPr>
          <w:rFonts w:hint="eastAsia" w:ascii="仿宋_GB2312" w:hAnsi="仿宋_GB2312" w:eastAsia="仿宋_GB2312" w:cs="仿宋_GB2312"/>
          <w:color w:val="000000"/>
          <w:sz w:val="28"/>
        </w:rPr>
        <w:t>1.城乡义务教育生均公用经费 [区级]绩效目标表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0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0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1.廊坊市广阳区北旺镇北旺中学对2022年在校学生549人，按照义务教育生均公用经费标准申请财政预算金，通过合理、合规使用资金达到保证学校正常运转。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4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549人</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5"/>
      <w:r>
        <w:rPr>
          <w:rFonts w:hint="eastAsia" w:ascii="仿宋_GB2312" w:hAnsi="仿宋_GB2312" w:eastAsia="仿宋_GB2312" w:cs="仿宋_GB2312"/>
          <w:color w:val="000000"/>
          <w:sz w:val="28"/>
        </w:rPr>
        <w:t>2.城乡义务教育生均公用经费[省级]绩效目标表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3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3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1.廊坊市广阳区北旺镇初级中学对2022年在校学生549人，按照义务教育生均公用经费标准申请财政预算金，通过合理、合规使用资金达到保证学校正常运转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828"/>
        <w:gridCol w:w="3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2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14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549人</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6"/>
      <w:r>
        <w:rPr>
          <w:rFonts w:hint="eastAsia" w:ascii="仿宋_GB2312" w:hAnsi="仿宋_GB2312" w:eastAsia="仿宋_GB2312" w:cs="仿宋_GB2312"/>
          <w:color w:val="000000"/>
          <w:sz w:val="28"/>
        </w:rPr>
        <w:t>3.合同制教师人员经费绩效目标表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2人工资福利</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7"/>
      <w:r>
        <w:rPr>
          <w:rFonts w:hint="eastAsia" w:ascii="仿宋_GB2312" w:hAnsi="仿宋_GB2312" w:eastAsia="仿宋_GB2312" w:cs="仿宋_GB2312"/>
          <w:color w:val="000000"/>
          <w:sz w:val="28"/>
        </w:rPr>
        <w:t>4.教育经费绩效目标表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≤15.38万元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8"/>
      <w:r>
        <w:rPr>
          <w:rFonts w:hint="eastAsia" w:ascii="仿宋_GB2312" w:hAnsi="仿宋_GB2312" w:eastAsia="仿宋_GB2312" w:cs="仿宋_GB2312"/>
          <w:color w:val="000000"/>
          <w:sz w:val="28"/>
        </w:rPr>
        <w:t>5.特殊教育资金[省级]绩效目标表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6"/>
        <w:gridCol w:w="1478"/>
        <w:gridCol w:w="2654"/>
        <w:gridCol w:w="1073"/>
        <w:gridCol w:w="15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47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7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58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3个</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12月底</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18000元</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安排政府采购预算0万元。具体内容见下表。</w:t>
      </w:r>
    </w:p>
    <w:bookmarkEnd w:id="6"/>
    <w:p>
      <w:pPr>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7"/>
    </w:p>
    <w:p>
      <w:pPr>
        <w:outlineLvl w:val="1"/>
        <w:rPr>
          <w:rFonts w:ascii="方正小标宋_GBK" w:eastAsia="方正小标宋_GBK" w:cs="Times New Roman"/>
          <w:sz w:val="32"/>
        </w:rPr>
      </w:pPr>
      <w:r>
        <w:t>***廊坊市</w:t>
      </w:r>
      <w:r>
        <w:rPr>
          <w:rFonts w:hint="eastAsia"/>
        </w:rPr>
        <w:t>广阳区*</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rPr>
                <w:lang w:eastAsia="zh-CN"/>
              </w:rPr>
            </w:pP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rPr>
                <w:lang w:eastAsia="zh-CN"/>
              </w:rPr>
            </w:pP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rPr>
                <w:lang w:eastAsia="zh-CN"/>
              </w:rPr>
            </w:pPr>
          </w:p>
        </w:tc>
        <w:tc>
          <w:tcPr>
            <w:tcW w:w="1134" w:type="dxa"/>
            <w:vAlign w:val="center"/>
          </w:tcPr>
          <w:p>
            <w:pPr>
              <w:pStyle w:val="13"/>
              <w:rPr>
                <w:lang w:eastAsia="zh-CN"/>
              </w:rPr>
            </w:pPr>
          </w:p>
        </w:tc>
        <w:tc>
          <w:tcPr>
            <w:tcW w:w="1134" w:type="dxa"/>
            <w:vAlign w:val="center"/>
          </w:tcPr>
          <w:p>
            <w:pPr>
              <w:pStyle w:val="13"/>
              <w:rPr>
                <w:lang w:eastAsia="zh-CN"/>
              </w:rPr>
            </w:pPr>
          </w:p>
        </w:tc>
        <w:tc>
          <w:tcPr>
            <w:tcW w:w="709" w:type="dxa"/>
            <w:vAlign w:val="center"/>
          </w:tcPr>
          <w:p>
            <w:pPr>
              <w:pStyle w:val="13"/>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rPr>
                <w:lang w:eastAsia="zh-CN"/>
              </w:rPr>
            </w:pPr>
          </w:p>
        </w:tc>
        <w:tc>
          <w:tcPr>
            <w:tcW w:w="1134" w:type="dxa"/>
            <w:vAlign w:val="center"/>
          </w:tcPr>
          <w:p>
            <w:pPr>
              <w:pStyle w:val="13"/>
              <w:rPr>
                <w:lang w:eastAsia="zh-CN"/>
              </w:rPr>
            </w:pPr>
          </w:p>
        </w:tc>
        <w:tc>
          <w:tcPr>
            <w:tcW w:w="1134" w:type="dxa"/>
            <w:vAlign w:val="center"/>
          </w:tcPr>
          <w:p>
            <w:pPr>
              <w:pStyle w:val="13"/>
              <w:rPr>
                <w:lang w:eastAsia="zh-CN"/>
              </w:rPr>
            </w:pPr>
          </w:p>
        </w:tc>
        <w:tc>
          <w:tcPr>
            <w:tcW w:w="709" w:type="dxa"/>
            <w:vAlign w:val="center"/>
          </w:tcPr>
          <w:p>
            <w:pPr>
              <w:pStyle w:val="13"/>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广阳区北旺镇初级中学</w:t>
      </w:r>
      <w:r>
        <w:rPr>
          <w:rFonts w:ascii="Times New Roman" w:hAnsi="Times New Roman" w:eastAsia="仿宋_GB2312" w:cs="Times New Roman"/>
          <w:sz w:val="32"/>
          <w:szCs w:val="32"/>
        </w:rPr>
        <w:t>上年末固定资产金额为906.4万元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广阳区北旺镇初级中学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906.4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5303.75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896.82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5303.75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9.58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820D8D-4A18-4025-BFDA-45EE35B404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332F74C0-19DE-4FDC-BDA2-43D8F72E4358}"/>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E4187103-E86A-449E-A535-B438CD95F22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1813E6"/>
    <w:rsid w:val="001B56AE"/>
    <w:rsid w:val="00213ECB"/>
    <w:rsid w:val="0025632D"/>
    <w:rsid w:val="003059E0"/>
    <w:rsid w:val="00314BE2"/>
    <w:rsid w:val="00366A79"/>
    <w:rsid w:val="003B01D1"/>
    <w:rsid w:val="00424608"/>
    <w:rsid w:val="0046172E"/>
    <w:rsid w:val="004A54AA"/>
    <w:rsid w:val="004F2B32"/>
    <w:rsid w:val="00506817"/>
    <w:rsid w:val="005476B1"/>
    <w:rsid w:val="00596E7A"/>
    <w:rsid w:val="00634D94"/>
    <w:rsid w:val="006976E5"/>
    <w:rsid w:val="007A3C7A"/>
    <w:rsid w:val="007C7A8E"/>
    <w:rsid w:val="00803C8C"/>
    <w:rsid w:val="00807351"/>
    <w:rsid w:val="0081725D"/>
    <w:rsid w:val="00944233"/>
    <w:rsid w:val="0099144E"/>
    <w:rsid w:val="009F6B17"/>
    <w:rsid w:val="00A017D9"/>
    <w:rsid w:val="00AA0FE6"/>
    <w:rsid w:val="00AB532D"/>
    <w:rsid w:val="00AF3725"/>
    <w:rsid w:val="00B40732"/>
    <w:rsid w:val="00B4653D"/>
    <w:rsid w:val="00B80935"/>
    <w:rsid w:val="00C84CEA"/>
    <w:rsid w:val="00C8586C"/>
    <w:rsid w:val="00CC41DF"/>
    <w:rsid w:val="00D347CC"/>
    <w:rsid w:val="00D54DCC"/>
    <w:rsid w:val="00DC72B4"/>
    <w:rsid w:val="00E6531B"/>
    <w:rsid w:val="00EB39AD"/>
    <w:rsid w:val="00F15B2E"/>
    <w:rsid w:val="00F23953"/>
    <w:rsid w:val="0CEC1180"/>
    <w:rsid w:val="19A75039"/>
    <w:rsid w:val="22D35B42"/>
    <w:rsid w:val="2B61737F"/>
    <w:rsid w:val="2E2F001A"/>
    <w:rsid w:val="36632AB1"/>
    <w:rsid w:val="39DE5D8E"/>
    <w:rsid w:val="5D8D4F40"/>
    <w:rsid w:val="6BA53BB1"/>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945</Words>
  <Characters>5390</Characters>
  <Lines>44</Lines>
  <Paragraphs>12</Paragraphs>
  <TotalTime>2</TotalTime>
  <ScaleCrop>false</ScaleCrop>
  <LinksUpToDate>false</LinksUpToDate>
  <CharactersWithSpaces>6323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2022-03-08T06:21:00Z</dcterms:created>
  <dc:creator>guest</dc:creator>
  <cp:lastModifiedBy>CXL</cp:lastModifiedBy>
  <cp:lastPrinted>2018-01-30T06:12:00Z</cp:lastPrinted>
  <dcterms:modified xsi:type="dcterms:W3CDTF">2023-08-01T09:15:25Z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3E3C16B3CA0C44CD9DC3644B0483861D</vt:lpwstr>
  </property>
</Properties>
</file>