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jc w:val="both"/>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广阳区爱民东道街道办</w:t>
      </w:r>
      <w:r>
        <w:rPr>
          <w:rFonts w:hint="eastAsia" w:ascii="Times New Roman" w:hAnsi="Times New Roman" w:eastAsia="方正小标宋简体" w:cs="Times New Roman"/>
          <w:sz w:val="44"/>
          <w:szCs w:val="44"/>
          <w:lang w:eastAsia="zh-CN"/>
        </w:rPr>
        <w:t>事处</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根据《廊坊市广阳区爱民东道街道办事处职能配置、内设机构和人员编制规定》， 廊坊市广阳区爱民东道街道办事处的主要职责是：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党政综合办公室：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1.负责监督检查和指导所属单位和行政村的档案工作。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2.做好信访工作，畅通信访渠道、处理来信、接待来访。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3.负责辖区内的统计工作。履行统计职责，广泛引导、动员和组织社会力量积极参与并认真配合做好国家规定的周期性普查工作。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二、党建工作办公室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1.宣传执行党的路线、方针、政策，宣传和执行党中央、上级党组织和本级党组织的决议，团结、组织党内外的干部和群众，努力完成本单位所担负的任务。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维护和执行党的纪律，监督党员干部和其他任何工作人员严格遵守国家法律法规。</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负责乡镇和街道党（工）委自身建设和基层党组织建设，以及其他隶属乡镇和街道党（工）委的党组织建设。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负责下级党的基层组织选举工作、对下级党组织的成立或撤销作出决定。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负责非公有制企业和社会组织党建工作、扩大新兴领域党建有效覆盖</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加强党员队伍建设，对党员进行教育、管理、监督和服务，做好经常性的发展党员工作。加强流动党员管理。</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做好人才服务工作，发现、培养、推荐党员和群众中的优秀人才。</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落实意识形态工作责任制，组织党员群众学习习近平新时代中国特色社会主义思想，培育和践行社会主义核心价值观，加强精神文明建设和文化建设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 落实统一战线工作任务要求，做好民族事务工作。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 领导辖区内人大工作，以及工会、共青团、妇联等工作。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 根据委托授权负责本辖区内的宗教事务管理工作。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 依照法定权限，做好本辖区的征兵、民兵、预备役、国防教育、国民经济动员、人民防空、国防交通、国防设施保护等工作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 负责联系街道辖区内的人民代表大会代表，组织代表开展活动，反映代表和群众的建议、批评和意见，办理常务委员会交办的监督、选举以及其他工作，并向常务委员会报告工作。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三、应急管理办公室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负责辖区内的食品安全隐患排查、信息报告、协助执法和宣传教育等工作、做好本行政区域内小作坊、小餐饮、小摊点的监督管理工作。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加强本辖区生产经营单位安全生产状况的监督检查、协助上级有关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依法履行安全生产监督管理职责。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负责本辖区的消防工作、开展消防宣传、防火巡查、隐患查改。指导村（居）民委员会开展群众性的消防工作。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负责辖区防汛抗洪、抗旱等相关工作。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负责辖区防灾减灾等相关工作。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依法做好本辖区的突发事件应对工作，制定本级突发事件应急预案，组织开展应急演练。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负责辖区应急管理工作，建立健全应急联动机制，严格落实应急管理责任，加强基层综合应急队伍建设和应急保障能力建设。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负责本辖区内自然灾害救助工作，做好自然灾害风险排查、隐患治理、救助准备、信息报告、先期处置、应急救助、灾后救助和救助款物管理等工作。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四、自然资源和生态环境办公室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动员和组织社会力量参与土地调查工作。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按照职责分工负责辖区市容、村容和环境卫生、农村生活污水管理责任。</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按照职责分工负责本辖区河湖的水资源保护、水域岸线管理、水污染防治、水环境治理等工作，协助上级人民政府及其有关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做好地下水相关管理和监督工作。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根据本地区的实际，组织开展大气污染防治工作。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落实属地监管责任，做好禁止露天焚烧秸秆工作。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6．根据本地区的实际，组织开展扬尘污染防治工作。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按照职责分工做好“散乱污”企业综合整治工作。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按照职责分工和相关预案开展突发环境事件应急处置工作，按照有关规定向上级报告。</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五、综合行政执法队</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1.根据法律法规和省政府授权，承担综合行政执法工作。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2.协助有关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查处传销行为。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3.加大信用信息归集应用力度，落实守信联合激励和失信联合惩戒制度、推进信用分级分类监管。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4.制定本辖区社会治安综合治理规划、检查、推动社会治安综合治理措施的落实，协调和督促有关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开展法制宣传教育工作、调解各类纠纷。</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5.组织群众开展各种形式的治安防范活动和军民、警民联防活动；指导、帮助村（居）民委员会做好社会治安综合治理工作。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7.承担民间纠纷调解相关工作。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8.协调有关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做好未成年人的保护工作。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9.承担企业劳动争议调解相关工作。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10.组织相关单位开展社区矫正工作和对户籍或居住地在本辖区的刑满释放人员做好接收建档和安置帮教工作，做好重点帮教对象的衔接工作。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11.负责社区戒毒、社区康复工作。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六、行政综合服务中心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1.负责指导居民委员会的换届选举工作。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2.指导村（居）民委员会建立健全各项自治制度，并予以备案。</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3.按权限负责基层社区社会组织的分类指导和业务指导。</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4.负责加强本辖区健康教育工作及其专业人才培养、建立健康知识和技能核心信息发布制度、普及健康科学知识、向公众提供科学、准确的健康信息。</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5.负责本辖区健康中国建设，健全实施健康中国行动领导推进工作机制，逐项抓好任务落实。</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6.根据法律法规和省政府授权，承担行政审批服务工作。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7.开展就业政策宣传、就业援助等就业服务工作。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8.负责辖区内人口与计划生育工作。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9.组织开展全民健身活动，建立健全全民健身工作协调机制。</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10.负责本辖区爱国卫生日常工作。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11.按权限开展社会救助工作。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12.按权限做好残疾人保障工作。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13.负责组织开展预防精神障碍发生、促进精神障碍患者康复等工作。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14.按照职责分工负责做好辖区城乡居民基本养老保险工作。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七、社区建设和物业监督管理办公室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1.组织实施居家养老服务工作，建设居家养老服务设施，落实政府购买服务、经费补贴等扶持政策措施、组织、指导社会各界参与居家养老和空巢、留守老年人关爱服务。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2.负责指导辖区内业主大会的成立和业主委员会的选举工作。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3.按权限负责社区工作者的日常管理工作。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八、综合文化服务站</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1.组织开展本辖区科普活动，宣传科学、文明的生产和生活方式。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2.负责本辖区综合文化站、新时代文明实践中心（所、站）建设和日常管理、实施免费开放。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九、退役军人服务站</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负责拥军优属、退役军人服务等工作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廊坊市广阳区爱民东道街道办事处</w:t>
            </w:r>
          </w:p>
        </w:tc>
        <w:tc>
          <w:tcPr>
            <w:tcW w:w="1134" w:type="dxa"/>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行政</w:t>
            </w:r>
          </w:p>
        </w:tc>
        <w:tc>
          <w:tcPr>
            <w:tcW w:w="1276" w:type="dxa"/>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财政拨款</w:t>
            </w:r>
            <w:r>
              <w:rPr>
                <w:rFonts w:hint="eastAsia" w:ascii="Times New Roman" w:hAnsi="Times New Roman" w:eastAsia="仿宋_GB2312" w:cs="Times New Roman"/>
                <w:b/>
                <w:szCs w:val="24"/>
              </w:rPr>
              <w:t>（行政）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3129.42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3129.42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广阳区爱民东道街道办事处2022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3129.42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2034.74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1807.84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226.9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1094.68</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3129.42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283.04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185.91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人员及公用经费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97.13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226.9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爱民东道街道办事处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新时代，新征程。2022年，爱民东道街道将抓住新机场兴建的宝贵历史机遇，创新思维方式，汇聚兴街富民力量，实现跨越大发展。力争将爱民东道街道建设成为开放、包容、宜居的生态新区。</w:t>
      </w:r>
    </w:p>
    <w:p>
      <w:pPr>
        <w:ind w:firstLine="643" w:firstLineChars="200"/>
        <w:rPr>
          <w:rFonts w:ascii="仿宋_GB2312" w:hAnsi="新宋体" w:eastAsia="仿宋_GB2312"/>
          <w:b/>
          <w:sz w:val="32"/>
          <w:szCs w:val="32"/>
        </w:rPr>
      </w:pPr>
      <w:r>
        <w:rPr>
          <w:rFonts w:hint="eastAsia" w:ascii="仿宋_GB2312" w:hAnsi="新宋体" w:eastAsia="仿宋_GB2312"/>
          <w:b/>
          <w:sz w:val="32"/>
          <w:szCs w:val="32"/>
        </w:rPr>
        <w:t>一、加快项目建设，促进经济发展</w:t>
      </w:r>
    </w:p>
    <w:p>
      <w:pPr>
        <w:ind w:firstLine="640" w:firstLineChars="200"/>
        <w:rPr>
          <w:rFonts w:ascii="仿宋_GB2312" w:hAnsi="新宋体" w:eastAsia="仿宋_GB2312"/>
          <w:sz w:val="32"/>
          <w:szCs w:val="32"/>
        </w:rPr>
      </w:pPr>
      <w:r>
        <w:rPr>
          <w:rFonts w:hint="eastAsia" w:ascii="仿宋_GB2312" w:hAnsi="新宋体" w:eastAsia="仿宋_GB2312"/>
          <w:sz w:val="32"/>
          <w:szCs w:val="32"/>
        </w:rPr>
        <w:t>一是要加大宣传力度，扩大舆论环境，提高区域知名度。二是对在建楼宇项目要突出重点，落实责任，盯目标、盯进度、盯节点、盯成效，统筹推进项目建设，力争项目早建成、早投入、早见效。逐渐形成以和平路为中轴线，各具特色的商务楼群为核心商圈的发展模式。三是要尽快介入，全面掌握楼宇信息，引导开发商进行楼宇功能定位。确立不同楼宇的业态定位，发展产业集群，使楼宇经济朝产业化、特色化、专业化的方向发展。</w:t>
      </w:r>
    </w:p>
    <w:p>
      <w:pPr>
        <w:ind w:firstLine="643" w:firstLineChars="200"/>
        <w:rPr>
          <w:rFonts w:ascii="仿宋_GB2312" w:hAnsi="新宋体" w:eastAsia="仿宋_GB2312"/>
          <w:b/>
          <w:sz w:val="32"/>
          <w:szCs w:val="32"/>
        </w:rPr>
      </w:pPr>
      <w:r>
        <w:rPr>
          <w:rFonts w:hint="eastAsia" w:ascii="仿宋_GB2312" w:hAnsi="新宋体" w:eastAsia="仿宋_GB2312"/>
          <w:b/>
          <w:sz w:val="32"/>
          <w:szCs w:val="32"/>
        </w:rPr>
        <w:t>二、推进污染防治，确保质量达标</w:t>
      </w:r>
    </w:p>
    <w:p>
      <w:pPr>
        <w:ind w:firstLine="640" w:firstLineChars="200"/>
        <w:rPr>
          <w:rFonts w:ascii="仿宋_GB2312" w:hAnsi="新宋体" w:eastAsia="仿宋_GB2312"/>
          <w:sz w:val="32"/>
          <w:szCs w:val="32"/>
        </w:rPr>
      </w:pPr>
      <w:r>
        <w:rPr>
          <w:rFonts w:hint="eastAsia" w:ascii="仿宋_GB2312" w:hAnsi="新宋体" w:eastAsia="仿宋_GB2312"/>
          <w:sz w:val="32"/>
          <w:szCs w:val="32"/>
        </w:rP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ind w:firstLine="643" w:firstLineChars="200"/>
        <w:rPr>
          <w:rFonts w:ascii="仿宋_GB2312" w:hAnsi="新宋体" w:eastAsia="仿宋_GB2312"/>
          <w:b/>
          <w:sz w:val="32"/>
          <w:szCs w:val="32"/>
        </w:rPr>
      </w:pPr>
      <w:r>
        <w:rPr>
          <w:rFonts w:hint="eastAsia" w:ascii="仿宋_GB2312" w:hAnsi="新宋体" w:eastAsia="仿宋_GB2312"/>
          <w:b/>
          <w:sz w:val="32"/>
          <w:szCs w:val="32"/>
        </w:rPr>
        <w:t>三、提升服务水平，建设幸福街区</w:t>
      </w:r>
    </w:p>
    <w:p>
      <w:pPr>
        <w:spacing w:line="584" w:lineRule="exact"/>
        <w:ind w:firstLine="640" w:firstLineChars="200"/>
        <w:rPr>
          <w:rFonts w:ascii="楷体_GB2312" w:hAnsi="新宋体" w:eastAsia="楷体_GB2312"/>
          <w:sz w:val="32"/>
          <w:szCs w:val="32"/>
        </w:rPr>
      </w:pPr>
      <w:r>
        <w:rPr>
          <w:rFonts w:hint="eastAsia" w:ascii="仿宋_GB2312" w:hAnsi="新宋体" w:eastAsia="仿宋_GB2312"/>
          <w:sz w:val="32"/>
          <w:szCs w:val="32"/>
        </w:rP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w:t>
      </w:r>
      <w:r>
        <w:rPr>
          <w:rFonts w:hint="eastAsia" w:ascii="楷体_GB2312" w:hAnsi="新宋体" w:eastAsia="楷体_GB2312"/>
          <w:sz w:val="32"/>
          <w:szCs w:val="32"/>
        </w:rPr>
        <w:t>道。</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firstLine="602" w:firstLineChars="200"/>
        <w:rPr>
          <w:rFonts w:ascii="仿宋_GB2312" w:eastAsia="仿宋_GB2312"/>
          <w:b/>
          <w:sz w:val="30"/>
          <w:szCs w:val="30"/>
        </w:rPr>
      </w:pPr>
      <w:r>
        <w:rPr>
          <w:rFonts w:hint="eastAsia" w:ascii="仿宋_GB2312" w:eastAsia="仿宋_GB2312"/>
          <w:b/>
          <w:sz w:val="30"/>
          <w:szCs w:val="30"/>
        </w:rPr>
        <w:t>一、发展楼宇经济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楼宇经济是街道城市经济发展的主抓手、主阵地，我们将通过设置楼宇信息员、楼宇企业服务中心等载体，着力引进总部企业、规上服务业、创意设计类等企业，不断优化楼宇企业业态结构，力争培育新的税收增长点，全力打造楼宇经济可持续发展新高地。</w:t>
      </w:r>
    </w:p>
    <w:p>
      <w:pPr>
        <w:ind w:firstLine="602" w:firstLineChars="200"/>
        <w:rPr>
          <w:rFonts w:ascii="仿宋_GB2312" w:eastAsia="仿宋_GB2312"/>
          <w:b/>
          <w:sz w:val="30"/>
          <w:szCs w:val="30"/>
        </w:rPr>
      </w:pPr>
      <w:r>
        <w:rPr>
          <w:rFonts w:hint="eastAsia" w:ascii="仿宋_GB2312" w:eastAsia="仿宋_GB2312"/>
          <w:b/>
          <w:sz w:val="30"/>
          <w:szCs w:val="30"/>
        </w:rPr>
        <w:t>二、常抓疫情防控</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落实冬季疫情防控工作措施，常态化排查登记中高风险地区返雅人员，做好居家医疗观察和核酸检测。强化商场、酒店、学校、农贸市场、餐馆等重点区域的日常消毒和防控措施落实。</w:t>
      </w:r>
    </w:p>
    <w:p>
      <w:pPr>
        <w:ind w:firstLine="602" w:firstLineChars="200"/>
        <w:rPr>
          <w:rFonts w:ascii="仿宋_GB2312" w:eastAsia="仿宋_GB2312"/>
          <w:b/>
          <w:sz w:val="30"/>
          <w:szCs w:val="30"/>
        </w:rPr>
      </w:pPr>
      <w:r>
        <w:rPr>
          <w:rFonts w:hint="eastAsia" w:ascii="仿宋_GB2312" w:eastAsia="仿宋_GB2312"/>
          <w:b/>
          <w:sz w:val="30"/>
          <w:szCs w:val="30"/>
        </w:rPr>
        <w:t>三、持续打好生态保卫战</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加强网格化日常巡查，守牢生态底线。对重点行业、重点企业进行定期和不定期走访，建立巡查台账，对群众反映的环保问题及时调查处理。</w:t>
      </w:r>
    </w:p>
    <w:p>
      <w:pPr>
        <w:ind w:firstLine="602" w:firstLineChars="200"/>
        <w:rPr>
          <w:rFonts w:ascii="仿宋_GB2312" w:eastAsia="仿宋_GB2312"/>
          <w:b/>
          <w:sz w:val="30"/>
          <w:szCs w:val="30"/>
        </w:rPr>
      </w:pPr>
      <w:r>
        <w:rPr>
          <w:rFonts w:hint="eastAsia" w:ascii="仿宋_GB2312" w:eastAsia="仿宋_GB2312"/>
          <w:b/>
          <w:sz w:val="30"/>
          <w:szCs w:val="30"/>
        </w:rPr>
        <w:t>四、维护社会稳定</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持续深化扫黑除恶专项斗争和人民调解，落实安全生产责任制，加强对企业、老旧小区、餐馆等重点区域消防、食品安全督查整治。加强应急救援处置能力建设,提高防灾减灾救灾能力。</w:t>
      </w:r>
    </w:p>
    <w:p>
      <w:pPr>
        <w:ind w:firstLine="602" w:firstLineChars="200"/>
        <w:rPr>
          <w:rFonts w:ascii="仿宋_GB2312" w:eastAsia="仿宋_GB2312"/>
          <w:b/>
          <w:sz w:val="30"/>
          <w:szCs w:val="30"/>
        </w:rPr>
      </w:pPr>
      <w:r>
        <w:rPr>
          <w:rFonts w:hint="eastAsia" w:ascii="仿宋_GB2312" w:eastAsia="仿宋_GB2312"/>
          <w:b/>
          <w:sz w:val="30"/>
          <w:szCs w:val="30"/>
        </w:rPr>
        <w:t>五、提升城市管理水平</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持续开展综合执法，巩固做好文明城市创建工作，重点抓违规占道经营，规范乱停乱放，加大市容环境清理力度，改善背街小巷、卫生死角脏、乱、差等顽固问题。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爱民东道街道在区委、区政府的正确领导下，紧盯目标、狠抓落实，围绕中心、尽职担当，积极应对克服新冠疫情不利影响，统筹做好疫情防控和经济社会发展各项工作，积极完成全年疫情防控、经济发展、机场征迁、民生保障、信访稳定、文明创建等重点工作任务，现将全年工作情况汇报如下：</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、全面取得抗疫胜利</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街道所有小区严格落实“十有五做到”，常态化消杀、常态化摸排、常态化宣传。严格管控，充分利用大数据、微信、电话、出入登记、派出所提供信息全面筛查。建立20个临时党支部、16个党员防控疫情宣传队、77个党员先锋岗，充分用好网格员、楼门长、党员志愿者、党员疫情防控服务队和社区巡逻队等工作力量，发挥街道、社区、网格三级网络优势，筑牢群防群控群治的铜墙铁壁。截至目前在各社区、小区悬挂条幅1100余条，发放各类通知通告10万余份，自行制作宣传手册15000册，向辖区企业发放提醒函700份，在小区出入口设置循环广播防疫公告150余处，累计摸排391380人次，外来人员数量8027人次。</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、狠抓文明城市创建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创城工作启动以来，街道党委在市、区两级党委、政府的正确领导和悉心指导下，攻坚克难，以区委创城“十百千万”工作机制为统揽，以探索党建“三评积分”为突破，整合辖区企业、物业各方资源，直面破解老旧小区基础设施薄弱问题，建立领导、目标、机制、队伍、联动五大体系，打好宣传氛围、市容整治、限时整改、全面推进、重点攻坚五大战役，发挥领导垂范、制度管理、五位一体、队伍合作、企业领办五大作用，高质量推进辖区16个社区、120个小区围点攻坚和提升改造工作取得实效。一是强化制度建设，设定工作硬指标。严格按照“创建全国文明城市测评任务清单”逐条对照，吃透精神，逐项建立台账清单，细化分解到社区、到小区、到楼栋，确保各项任务按时保质完成。建立创城提交材料清单和标准模板，确保档案完整和规范。二是创新活动载体，建立文明阵地。对各社区功能室上档升级，配齐各类设施和器材。聚焦“硬件”，整治小区环境、提升背街小巷、维修破损路面、完善四防设施；整合“软件”，配合物业为小区居民提供基本生活服务、安保服务、疫情防控服务等，以智慧化手段打造五分钟服务圈，实现小区“颜值、内涵”双提升。指导各社区通过制作公益广告、发放宣传材料、入户走访、开展活动等形式宣传创城工作。三是调动居民积极性，创建引领新方法。落实区委“三评积分”引领文明创城方法，全面铺开社区十有五坚持、楼栋十有工作。集合各方力量，调动区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、领办企业、社区工作者、楼门长、居民参与创城的积极性。辖区创城国检被查5个点位，省检被查5个点位，未出现一条扣分项，圆满完成迎检任务，为今年廊坊市获得全国文明城市荣誉称号贡献了自己的力量。</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、高质高效完成机构改革</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乡镇和街道机构改革工作要求，爱民东道街道党委高度重视，结合街道实际，精心组织，科学安排，机构改革已初见成效。一是成立组织，制定方案。3月13日，召开党政班子会，成立了由党工委书记任组长，主任任副组长，班子成员、相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负责人为成员的领导小组，确保机关稳定和改革中各项工作顺利推进。领导小组成立后，对改革的有关政策和办法及街道机关人员的实际情况认真研究，反复斟酌，按照上级规定，结合机关的实际情况，研究出机构设置、定岗方法等详细方案。二是加大投入，完备硬件。建设行政服务大厅总面积153平方米。原设有5个办事窗口和一个咨询台，配有独立办公室三个，共有工位8个。窗口开放，环境整洁，配有必备的电脑、打印机、复印件、显示屏等设备，有固定的公开栏和服务标语，有服务指南和办理流程，工位和工作人员标识醒目，有群众休息的场所、咨询台和意见簿。大厅原有工作人员6名，此次机构改革，将设置民生保障、市场准入、涉军事务、卫生健康、城乡建设等窗口。三是公开选拔，竞争上岗。4月30日，召开党政班子会，对32名参加面试人员进行综合测评，配齐街道9个内设机构22个股级岗位。通过公开选拔，一批素质高、能力强的干部脱颖而出，得到了全街工作人员的认可，产生了积极效果。四是明确分工，强化培训。对照《爱民东道方案》中9个内设机构工作职能，逐条缕清工作内容，明确班子成员分工，将所有工作人员调整到9个内设机构。参加执法培训和监督检查人员培训考试报名42人，5月7日在机关四楼会议室对报名人员进行了现场集中培训，参加集中培训37人。</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、加强社区软硬件建设</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质量推进辖区16个社区、120个小区围点攻坚和提升改造工作取得实效。76个无物业小区全部实现道闸落杆，人脸识别系统全部启用，10条背街小巷修整完毕，清理卫生死角1000余处、清理小广告上万条，粉刷楼道十余万平方米，清除违建200余处，增划车位上千个，增加微型消防站60个，悬挂张贴各类公益广告4000余处，使5万人、百万平米的居住环境从根本上实现改观；44个有物业小区全面提高了物业管理水平，提升了小区停车秩序、环境卫生、文明养犬和便民服务工作，配合物业为小区居民提供基本生活服务、安保服务、疫情防控服务等，以智慧化手段打造十五分钟服务圈，实现小区“颜值、内涵”双提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、做好安全生产工作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健全监管责任体系。所辖16个居委会，1000余家在册企业、门店，在年初结合疫情特殊情况及辖区实际，对办事处科股室、社区、企业《安全生产责任书》进行了全面修订，制定了三级责任体系，街道与居委会签订安全生产责任书，居委会与辖区企业门店签订安全生产责任书。主要领导、分管领导带队检查近12余次，各包片领导分别带队检查各12余次，安排调度安全生产工作会议12次。二是全面落实整改到位。我办事处《安全生产风险管控与隐患排查治理工作》台账中共17家企业，无风险等级为重大、较大的企业，风险等级为一般的有6家企业，风险等级为低的企业有11家。自查出隐患共32处，均已整改完毕。成立联合检查组对辖区所有涉及领域的企业进行安全生产大检查，共检查300余家，发现一般隐患20余条，并对社区排查的隐患进行再复查，现均已整改完毕。开展安全生产三年行动专项整治，进行集中排查近6次，共出动30余人次，检查企业120余家，发现隐患20处，均已责令整改完毕。三是丰富培训教育知识。制定可行的宣传手段和教育工作方法，把安全生产宣传、教育、培训落到实处，组织辖区企业进行安全生产、消防安全培训，辖区11家企业自行组织消防演练。在“安全生产月宣”传活动，发放相关材料1000余份，企业、居委会等悬挂安全生产条幅30余幅。</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、完成大气治理工作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严格管控涉气企业。针对辖区内现存涉气企业共8家其中6家印刷企业，2家汽修企业。自从自然资源和生态环境办公室六月份成立以来共出动280余次、400余人次每日针对辖区内涉气企业的VOCs设备开启情况，危废物品是否及时收纳危废间及危废台账等进行检查，发现问题现场督导整改。二是加大工地巡查。对北凤道南侧的雨污分流工程、银河领域三期等工地，每日至少巡查1次至2次，确保辖区内施工工地严格按照“6个百分百”进行施工作业，每次巡查过程中认真填写巡查日志，发现违规施工现象立即责令停工整改，整改完毕并通过验收后，才准许复工。三是加强散乱污治理。原有的散乱污企业共17家，现已取缔13家。我街道制定巡查记录表不定期对账内17家企业进行检查，查看是否存在复工复产、偷排漏排等迹象，确保无违规生产情况发生。认真检查平房区内每处角落，确保辖区内平房无散煤无劈柴，切实做到洁净取暖。四是重点管控餐饮油烟。我辖区共有餐饮企业221家。对在监控点一公里范围内餐饮企业共38家每日进行巡查，设立巡查台账，确保油烟净化器清洗记录在有效期内。对其余83家，根据网格员分管划分，每日对2公里以内涉油烟企业，如有发现油烟净化器清洗记录过期，或油烟净化器未开启，现场督导整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、做好综合执法工作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行政执法队成立以来认真贯彻执行上级关于综合行政执法工作的一系列文件精神，积极探索行政执法工作的新思路，努力创新工作机制，不断优化执法环境，拓宽行政执法领域，切实提高了行政执法的针对性和实效性。一是认真学习理论知识。6月5日，按照区司法局《关于组织乡镇和街道行政执法事项专题培训的通知》参加首次培训。9月11日，按照区司法局参加《关于召开行政执法案卷和三项制度培训会的通知》培训，会后执法队积极组织认真学习52项职能、行政执法案卷和三项制度并做好学习笔记。二是与多</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联合执法、学习实践经验。按照《廊坊市广阳区推进乡镇和街道综合行政执法改革过渡期工作方案》要求，将2020年7月27日至2020年9月30日设置为改革过渡期。主持并参与了统建楼市场整治、农兴里居民投诉、峰尚写字楼商户传销等案件，通过与多</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联合执法，实践探索，推进综合行政执法改革，提升了学习执法效率、实现执法全覆盖、树立了执法新品牌，一些经验做法非常值得总结和提炼。三是做好司法相关工作。积极开展学法、用法普法宣传活动，同时做好人民调解、社区矫正、法律援助和刑释解教工作。爱民东道司法所被评为河北省“七五”普法中期先进集体。</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、做好退役军人服务工作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实现软硬件标准化配置。街道本级以及16个社区退役军人服务站统一按照上级要求对人员配置，街道服务站配置有站长1名，工作人员3名，各社区服务站配置有站长1名（由社区书记兼任），1名工作人员（由两委兼任）。档案健全，制度完善。二是完成信息采集以及优待证发放审验工作。本辖区自统退役军人1409人，优待证发放3049人，悬挂光荣牌2720户，包联人数共计179人。完成600多位转制军人采集信息工作。从2020年10月我服务站开始为进行审验，由于我辖区内单位较多，人员较为分散，服务站工作人员积极与各辖区单位负责人联系，完成2400位退役军人以及其他优抚对象优待证审验。三是落实优抚政策。2020年12月我街道退役军人服务站为荣立三等功的退役士官送喜报一次。两次为辖区每位重点优抚对象发放慰问金500元和慰问信，并为辖区内退役军人及现役军人家属发放慰问信1500余份，为49位义务兵家属发放优待金共计1487775元，为119名退役军人建立“五包一”台账。完成认证核查重点优抚对象114人、60岁农村籍士兵13人，为136位优抚对象进行体检。并为重点优抚对象申请医疗救助共计5人次。帮助一位符合条件的低保退役军人申请关爱基金5000元。协助6位退役军人登记了公益性岗位申请。</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、强化社会综合治理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学习《中国共产党政法工作条例》。把学习《中国共产党政法工作条例》作为日常工作的一项重要组成部分，今年上半年以来我街道先后组织班子成员、街道股级干部和社区书记、全体机关人员系统学习条例内容，并通过社区搞活动把学习人员扩大到社区居民，目前取得了一定的效果。二是排查纠纷，做好稳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元旦、春节前后、“两会”、“暑期”等重点期间，组织开展了集中矛盾纠纷排查调处活动，有效化解了大量矛盾纠纷。稳控好8023涉核人员、金吉通重点人员、卓达非法集资人员、退伍兵安置人员、参加自卫反击战人员，未发生一起串联上访和群体访事件。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在“4.25、5.13、7.22”敏感节点各社区一是深入开展反邪教宣传活动，通过发放资料、悬挂标语来宣传，使辖区群众增强反邪教意识和反邪教自觉性。做好铁路安全保卫工作，在</w:t>
      </w:r>
      <w:r>
        <w:rPr>
          <w:rFonts w:hint="eastAsia" w:ascii="Times New Roman" w:hAnsi="Times New Roman" w:eastAsia="仿宋_GB2312" w:cs="Times New Roman"/>
          <w:sz w:val="32"/>
          <w:szCs w:val="32"/>
          <w:lang w:eastAsia="zh-CN"/>
        </w:rPr>
        <w:t>全国两会</w:t>
      </w:r>
      <w:r>
        <w:rPr>
          <w:rFonts w:ascii="Times New Roman" w:hAnsi="Times New Roman" w:eastAsia="仿宋_GB2312" w:cs="Times New Roman"/>
          <w:sz w:val="32"/>
          <w:szCs w:val="32"/>
        </w:rPr>
        <w:t>我街道派专人在京沪铁路71.4-72公里处进行24小时巡护，确保了会议的顺利召开。三是用好“群众说事、干部解题”平台。街道全力推进“群众说事、干部解题”工作机制，成立了领导小组和相关的制度、职责，此工作平台分为线上，线下两个渠道同时运行，群众随时反应遇到的大小问题，平台交办督办，</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协同联动，解决群众的各类问题。线下做好台账管理，各社区成立了“说事室”（16个），并在辖区内设立了“说事厅”（16个）“说事箱”（16个）；线上利用“群众说事、干部解题”平台网格员随时处理各类纠纷问题，截至目前线上共处理58件、线下共处理 55 件。</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numPr>
          <w:ilvl w:val="0"/>
          <w:numId w:val="1"/>
        </w:numPr>
        <w:overflowPunct w:val="0"/>
        <w:adjustRightInd w:val="0"/>
        <w:snapToGrid w:val="0"/>
        <w:spacing w:afterLines="50" w:line="580" w:lineRule="exact"/>
        <w:jc w:val="left"/>
        <w:rPr>
          <w:rFonts w:hint="eastAsia" w:ascii="楷体_GB2312" w:eastAsia="楷体_GB2312" w:cs="Times New Roman"/>
          <w:b/>
          <w:sz w:val="32"/>
          <w:szCs w:val="32"/>
        </w:rPr>
      </w:pP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46"/>
        <w:gridCol w:w="1134"/>
        <w:gridCol w:w="1418"/>
        <w:gridCol w:w="1842"/>
        <w:gridCol w:w="2201"/>
        <w:gridCol w:w="776"/>
        <w:gridCol w:w="567"/>
        <w:gridCol w:w="992"/>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4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41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84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20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335"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68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46" w:type="dxa"/>
            <w:vMerge w:val="continue"/>
            <w:tcBorders>
              <w:tl2br w:val="nil"/>
              <w:tr2bl w:val="nil"/>
            </w:tcBorders>
            <w:vAlign w:val="center"/>
          </w:tcPr>
          <w:p/>
        </w:tc>
        <w:tc>
          <w:tcPr>
            <w:tcW w:w="1134" w:type="dxa"/>
            <w:vMerge w:val="continue"/>
            <w:tcBorders>
              <w:tl2br w:val="nil"/>
              <w:tr2bl w:val="nil"/>
            </w:tcBorders>
            <w:vAlign w:val="center"/>
          </w:tcPr>
          <w:p/>
        </w:tc>
        <w:tc>
          <w:tcPr>
            <w:tcW w:w="1418" w:type="dxa"/>
            <w:vMerge w:val="continue"/>
            <w:tcBorders>
              <w:tl2br w:val="nil"/>
              <w:tr2bl w:val="nil"/>
            </w:tcBorders>
            <w:vAlign w:val="center"/>
          </w:tcPr>
          <w:p/>
        </w:tc>
        <w:tc>
          <w:tcPr>
            <w:tcW w:w="1842" w:type="dxa"/>
            <w:vMerge w:val="continue"/>
            <w:tcBorders>
              <w:tl2br w:val="nil"/>
              <w:tr2bl w:val="nil"/>
            </w:tcBorders>
            <w:vAlign w:val="center"/>
          </w:tcPr>
          <w:p/>
        </w:tc>
        <w:tc>
          <w:tcPr>
            <w:tcW w:w="2201" w:type="dxa"/>
            <w:vMerge w:val="continue"/>
            <w:tcBorders>
              <w:tl2br w:val="nil"/>
              <w:tr2bl w:val="nil"/>
            </w:tcBorders>
            <w:vAlign w:val="center"/>
          </w:tcPr>
          <w:p/>
        </w:tc>
        <w:tc>
          <w:tcPr>
            <w:tcW w:w="77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99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68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46" w:type="dxa"/>
            <w:vMerge w:val="restart"/>
            <w:tcBorders>
              <w:tl2br w:val="nil"/>
              <w:tr2bl w:val="nil"/>
            </w:tcBorders>
            <w:vAlign w:val="center"/>
          </w:tcPr>
          <w:p>
            <w:pPr>
              <w:rPr>
                <w:rFonts w:cs="Calibri"/>
                <w:color w:val="000000"/>
                <w:sz w:val="22"/>
              </w:rPr>
            </w:pPr>
            <w:r>
              <w:rPr>
                <w:rFonts w:hint="eastAsia" w:cs="Calibri"/>
                <w:color w:val="000000"/>
                <w:sz w:val="22"/>
                <w:lang w:eastAsia="zh-CN"/>
              </w:rPr>
              <w:t>单位</w:t>
            </w:r>
            <w:r>
              <w:rPr>
                <w:rFonts w:cs="Calibri"/>
                <w:color w:val="000000"/>
                <w:sz w:val="22"/>
              </w:rPr>
              <w:t>产出</w:t>
            </w:r>
          </w:p>
        </w:tc>
        <w:tc>
          <w:tcPr>
            <w:tcW w:w="1134" w:type="dxa"/>
            <w:tcBorders>
              <w:tl2br w:val="nil"/>
              <w:tr2bl w:val="nil"/>
            </w:tcBorders>
            <w:vAlign w:val="center"/>
          </w:tcPr>
          <w:p>
            <w:pPr>
              <w:rPr>
                <w:rFonts w:cs="Calibri"/>
                <w:color w:val="000000"/>
                <w:sz w:val="22"/>
              </w:rPr>
            </w:pPr>
            <w:r>
              <w:rPr>
                <w:rFonts w:cs="Calibri"/>
                <w:color w:val="000000"/>
                <w:sz w:val="22"/>
              </w:rPr>
              <w:t>数量</w:t>
            </w:r>
          </w:p>
        </w:tc>
        <w:tc>
          <w:tcPr>
            <w:tcW w:w="1418"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考核人数</w:t>
            </w:r>
          </w:p>
          <w:p>
            <w:pPr>
              <w:rPr>
                <w:rFonts w:hint="eastAsia" w:ascii="仿宋_GB2312" w:hAnsi="仿宋_GB2312" w:eastAsia="仿宋_GB2312" w:cs="仿宋_GB2312"/>
                <w:color w:val="000000"/>
                <w:sz w:val="21"/>
                <w:szCs w:val="21"/>
              </w:rPr>
            </w:pPr>
          </w:p>
        </w:tc>
        <w:tc>
          <w:tcPr>
            <w:tcW w:w="184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此项20分，每少1人扣1分</w:t>
            </w:r>
          </w:p>
        </w:tc>
        <w:tc>
          <w:tcPr>
            <w:tcW w:w="2201"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按计划应参加年终考核人数</w:t>
            </w:r>
          </w:p>
        </w:tc>
        <w:tc>
          <w:tcPr>
            <w:tcW w:w="776"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567"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111</w:t>
            </w:r>
          </w:p>
        </w:tc>
        <w:tc>
          <w:tcPr>
            <w:tcW w:w="992"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w:t>
            </w: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考核合格率</w:t>
            </w:r>
          </w:p>
          <w:p>
            <w:pPr>
              <w:widowControl/>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cs="Calibri"/>
                <w:color w:val="000000"/>
                <w:sz w:val="22"/>
              </w:rPr>
            </w:pPr>
          </w:p>
        </w:tc>
        <w:tc>
          <w:tcPr>
            <w:tcW w:w="1134" w:type="dxa"/>
            <w:tcBorders>
              <w:tl2br w:val="nil"/>
              <w:tr2bl w:val="nil"/>
            </w:tcBorders>
            <w:vAlign w:val="center"/>
          </w:tcPr>
          <w:p>
            <w:pPr>
              <w:rPr>
                <w:rFonts w:cs="Calibri"/>
                <w:color w:val="000000"/>
                <w:sz w:val="22"/>
              </w:rPr>
            </w:pPr>
            <w:r>
              <w:rPr>
                <w:rFonts w:cs="Calibri"/>
                <w:color w:val="000000"/>
                <w:sz w:val="22"/>
              </w:rPr>
              <w:t>质量</w:t>
            </w:r>
          </w:p>
        </w:tc>
        <w:tc>
          <w:tcPr>
            <w:tcW w:w="1418"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到位率</w:t>
            </w:r>
          </w:p>
          <w:p>
            <w:pPr>
              <w:rPr>
                <w:rFonts w:hint="eastAsia" w:ascii="仿宋_GB2312" w:hAnsi="仿宋_GB2312" w:eastAsia="仿宋_GB2312" w:cs="仿宋_GB2312"/>
                <w:color w:val="000000"/>
                <w:sz w:val="21"/>
                <w:szCs w:val="21"/>
              </w:rPr>
            </w:pPr>
          </w:p>
        </w:tc>
        <w:tc>
          <w:tcPr>
            <w:tcW w:w="184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此项20分，每少1%扣0.20</w:t>
            </w:r>
          </w:p>
        </w:tc>
        <w:tc>
          <w:tcPr>
            <w:tcW w:w="2201"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社会保险补贴资金实际发放资金/应发放资金总额</w:t>
            </w:r>
          </w:p>
        </w:tc>
        <w:tc>
          <w:tcPr>
            <w:tcW w:w="776"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567"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992"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资产发放情况</w:t>
            </w:r>
          </w:p>
          <w:p>
            <w:pPr>
              <w:widowControl/>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46" w:type="dxa"/>
            <w:vMerge w:val="continue"/>
            <w:tcBorders>
              <w:tl2br w:val="nil"/>
              <w:tr2bl w:val="nil"/>
            </w:tcBorders>
            <w:vAlign w:val="center"/>
          </w:tcPr>
          <w:p>
            <w:pPr>
              <w:rPr>
                <w:rFonts w:cs="Calibri"/>
                <w:color w:val="000000"/>
                <w:sz w:val="22"/>
              </w:rPr>
            </w:pPr>
          </w:p>
        </w:tc>
        <w:tc>
          <w:tcPr>
            <w:tcW w:w="1134" w:type="dxa"/>
            <w:tcBorders>
              <w:tl2br w:val="nil"/>
              <w:tr2bl w:val="nil"/>
            </w:tcBorders>
            <w:vAlign w:val="center"/>
          </w:tcPr>
          <w:p>
            <w:pPr>
              <w:rPr>
                <w:rFonts w:cs="Calibri"/>
                <w:color w:val="000000"/>
                <w:sz w:val="22"/>
              </w:rPr>
            </w:pPr>
            <w:r>
              <w:rPr>
                <w:rFonts w:cs="Calibri"/>
                <w:color w:val="000000"/>
                <w:sz w:val="22"/>
              </w:rPr>
              <w:t>时效</w:t>
            </w:r>
          </w:p>
        </w:tc>
        <w:tc>
          <w:tcPr>
            <w:tcW w:w="1418"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经费保障率</w:t>
            </w:r>
          </w:p>
          <w:p>
            <w:pPr>
              <w:rPr>
                <w:rFonts w:hint="eastAsia" w:ascii="仿宋_GB2312" w:hAnsi="仿宋_GB2312" w:eastAsia="仿宋_GB2312" w:cs="仿宋_GB2312"/>
                <w:color w:val="000000"/>
                <w:sz w:val="21"/>
                <w:szCs w:val="21"/>
              </w:rPr>
            </w:pPr>
          </w:p>
        </w:tc>
        <w:tc>
          <w:tcPr>
            <w:tcW w:w="184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此项20分，没延时一次扣1分</w:t>
            </w:r>
          </w:p>
        </w:tc>
        <w:tc>
          <w:tcPr>
            <w:tcW w:w="2201"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社会保险补贴资金按要求实施进度支付</w:t>
            </w:r>
          </w:p>
        </w:tc>
        <w:tc>
          <w:tcPr>
            <w:tcW w:w="776"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w:t>
            </w:r>
          </w:p>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描述</w:t>
            </w:r>
          </w:p>
        </w:tc>
        <w:tc>
          <w:tcPr>
            <w:tcW w:w="567"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p>
        </w:tc>
        <w:tc>
          <w:tcPr>
            <w:tcW w:w="992"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按时发放</w:t>
            </w: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补贴按时发放</w:t>
            </w:r>
          </w:p>
          <w:p>
            <w:pPr>
              <w:widowControl/>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continue"/>
            <w:tcBorders>
              <w:tl2br w:val="nil"/>
              <w:tr2bl w:val="nil"/>
            </w:tcBorders>
            <w:vAlign w:val="center"/>
          </w:tcPr>
          <w:p>
            <w:pPr>
              <w:rPr>
                <w:rFonts w:cs="Calibri"/>
                <w:color w:val="000000"/>
                <w:sz w:val="22"/>
              </w:rPr>
            </w:pPr>
          </w:p>
        </w:tc>
        <w:tc>
          <w:tcPr>
            <w:tcW w:w="1134" w:type="dxa"/>
            <w:tcBorders>
              <w:tl2br w:val="nil"/>
              <w:tr2bl w:val="nil"/>
            </w:tcBorders>
            <w:vAlign w:val="center"/>
          </w:tcPr>
          <w:p>
            <w:pPr>
              <w:rPr>
                <w:rFonts w:cs="Calibri"/>
                <w:color w:val="000000"/>
                <w:sz w:val="22"/>
              </w:rPr>
            </w:pPr>
            <w:r>
              <w:rPr>
                <w:rFonts w:cs="Calibri"/>
                <w:color w:val="000000"/>
                <w:sz w:val="22"/>
              </w:rPr>
              <w:t>成本</w:t>
            </w:r>
          </w:p>
        </w:tc>
        <w:tc>
          <w:tcPr>
            <w:tcW w:w="1418"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资金成本</w:t>
            </w:r>
          </w:p>
          <w:p>
            <w:pPr>
              <w:rPr>
                <w:rFonts w:hint="eastAsia" w:ascii="仿宋_GB2312" w:hAnsi="仿宋_GB2312" w:eastAsia="仿宋_GB2312" w:cs="仿宋_GB2312"/>
                <w:color w:val="000000"/>
                <w:sz w:val="21"/>
                <w:szCs w:val="21"/>
              </w:rPr>
            </w:pPr>
          </w:p>
        </w:tc>
        <w:tc>
          <w:tcPr>
            <w:tcW w:w="184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此项20分，每超出预算额的1%扣1分</w:t>
            </w:r>
          </w:p>
          <w:p>
            <w:pPr>
              <w:rPr>
                <w:rFonts w:hint="eastAsia" w:ascii="仿宋_GB2312" w:hAnsi="仿宋_GB2312" w:eastAsia="仿宋_GB2312" w:cs="仿宋_GB2312"/>
                <w:color w:val="000000"/>
                <w:sz w:val="21"/>
                <w:szCs w:val="21"/>
              </w:rPr>
            </w:pPr>
          </w:p>
        </w:tc>
        <w:tc>
          <w:tcPr>
            <w:tcW w:w="2201"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各个专项支出额度小于等于预算额度</w:t>
            </w:r>
          </w:p>
        </w:tc>
        <w:tc>
          <w:tcPr>
            <w:tcW w:w="776" w:type="dxa"/>
            <w:tcBorders>
              <w:tl2br w:val="nil"/>
              <w:tr2bl w:val="nil"/>
            </w:tcBorders>
            <w:vAlign w:val="center"/>
          </w:tcPr>
          <w:p>
            <w:pPr>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adjustRightInd w:val="0"/>
              <w:snapToGrid w:val="0"/>
              <w:jc w:val="center"/>
              <w:rPr>
                <w:rFonts w:hint="eastAsia" w:ascii="仿宋_GB2312" w:hAnsi="仿宋_GB2312" w:eastAsia="仿宋_GB2312" w:cs="仿宋_GB2312"/>
                <w:sz w:val="21"/>
                <w:szCs w:val="21"/>
              </w:rPr>
            </w:pPr>
          </w:p>
        </w:tc>
        <w:tc>
          <w:tcPr>
            <w:tcW w:w="567"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992"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预算额度</w:t>
            </w:r>
          </w:p>
          <w:p>
            <w:pPr>
              <w:widowControl/>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46" w:type="dxa"/>
            <w:vMerge w:val="restart"/>
            <w:tcBorders>
              <w:tl2br w:val="nil"/>
              <w:tr2bl w:val="nil"/>
            </w:tcBorders>
            <w:vAlign w:val="center"/>
          </w:tcPr>
          <w:p>
            <w:pPr>
              <w:rPr>
                <w:rFonts w:cs="Calibri"/>
                <w:color w:val="000000"/>
                <w:sz w:val="22"/>
              </w:rPr>
            </w:pPr>
            <w:r>
              <w:rPr>
                <w:rFonts w:hint="eastAsia" w:cs="Calibri"/>
                <w:color w:val="000000"/>
                <w:sz w:val="22"/>
                <w:lang w:eastAsia="zh-CN"/>
              </w:rPr>
              <w:t>单位</w:t>
            </w:r>
            <w:r>
              <w:rPr>
                <w:rFonts w:hint="eastAsia" w:cs="Calibri"/>
                <w:color w:val="000000"/>
                <w:sz w:val="22"/>
              </w:rPr>
              <w:t>效果</w:t>
            </w:r>
          </w:p>
        </w:tc>
        <w:tc>
          <w:tcPr>
            <w:tcW w:w="1134" w:type="dxa"/>
            <w:tcBorders>
              <w:tl2br w:val="nil"/>
              <w:tr2bl w:val="nil"/>
            </w:tcBorders>
            <w:vAlign w:val="center"/>
          </w:tcPr>
          <w:p>
            <w:pPr>
              <w:rPr>
                <w:rFonts w:cs="Calibri"/>
                <w:color w:val="000000"/>
                <w:sz w:val="22"/>
              </w:rPr>
            </w:pPr>
            <w:r>
              <w:rPr>
                <w:rFonts w:cs="Calibri"/>
                <w:color w:val="000000"/>
                <w:sz w:val="22"/>
              </w:rPr>
              <w:t>社会</w:t>
            </w:r>
          </w:p>
          <w:p>
            <w:pPr>
              <w:rPr>
                <w:rFonts w:cs="Calibri"/>
                <w:color w:val="000000"/>
                <w:sz w:val="22"/>
              </w:rPr>
            </w:pPr>
            <w:r>
              <w:rPr>
                <w:rFonts w:cs="Calibri"/>
                <w:color w:val="000000"/>
                <w:sz w:val="22"/>
              </w:rPr>
              <w:t>效益</w:t>
            </w:r>
          </w:p>
        </w:tc>
        <w:tc>
          <w:tcPr>
            <w:tcW w:w="1418"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思想政治工作稳步提高</w:t>
            </w:r>
          </w:p>
          <w:p>
            <w:pPr>
              <w:rPr>
                <w:rFonts w:hint="eastAsia" w:ascii="仿宋_GB2312" w:hAnsi="仿宋_GB2312" w:eastAsia="仿宋_GB2312" w:cs="仿宋_GB2312"/>
                <w:color w:val="000000"/>
                <w:sz w:val="21"/>
                <w:szCs w:val="21"/>
              </w:rPr>
            </w:pPr>
          </w:p>
        </w:tc>
        <w:tc>
          <w:tcPr>
            <w:tcW w:w="184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此项10分 基本实现目标80%-100%，部分实现目标60%-80%，实现目标较低不得分</w:t>
            </w:r>
          </w:p>
        </w:tc>
        <w:tc>
          <w:tcPr>
            <w:tcW w:w="2201"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抓工作实效，创新突破</w:t>
            </w:r>
          </w:p>
          <w:p>
            <w:pPr>
              <w:widowControl/>
              <w:adjustRightInd w:val="0"/>
              <w:snapToGrid w:val="0"/>
              <w:rPr>
                <w:rFonts w:hint="eastAsia" w:ascii="仿宋_GB2312" w:hAnsi="仿宋_GB2312" w:eastAsia="仿宋_GB2312" w:cs="仿宋_GB2312"/>
                <w:sz w:val="21"/>
                <w:szCs w:val="21"/>
              </w:rPr>
            </w:pPr>
          </w:p>
        </w:tc>
        <w:tc>
          <w:tcPr>
            <w:tcW w:w="776"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文字</w:t>
            </w:r>
          </w:p>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描述</w:t>
            </w:r>
          </w:p>
        </w:tc>
        <w:tc>
          <w:tcPr>
            <w:tcW w:w="567"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p>
        </w:tc>
        <w:tc>
          <w:tcPr>
            <w:tcW w:w="992"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稳步提高</w:t>
            </w: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街区干部思想政治稳步提升</w:t>
            </w:r>
          </w:p>
          <w:p>
            <w:pPr>
              <w:widowControl/>
              <w:adjustRightInd w:val="0"/>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46" w:type="dxa"/>
            <w:vMerge w:val="continue"/>
            <w:tcBorders>
              <w:tl2br w:val="nil"/>
              <w:tr2bl w:val="nil"/>
            </w:tcBorders>
            <w:vAlign w:val="center"/>
          </w:tcPr>
          <w:p>
            <w:pPr>
              <w:rPr>
                <w:rFonts w:cs="Calibri"/>
                <w:color w:val="000000"/>
                <w:sz w:val="22"/>
              </w:rPr>
            </w:pPr>
          </w:p>
        </w:tc>
        <w:tc>
          <w:tcPr>
            <w:tcW w:w="1134" w:type="dxa"/>
            <w:tcBorders>
              <w:tl2br w:val="nil"/>
              <w:tr2bl w:val="nil"/>
            </w:tcBorders>
            <w:vAlign w:val="center"/>
          </w:tcPr>
          <w:p>
            <w:pPr>
              <w:rPr>
                <w:rFonts w:cs="Calibri"/>
                <w:color w:val="000000"/>
                <w:sz w:val="22"/>
              </w:rPr>
            </w:pPr>
            <w:r>
              <w:rPr>
                <w:rFonts w:hint="eastAsia" w:cs="Calibri"/>
                <w:color w:val="000000"/>
                <w:sz w:val="22"/>
              </w:rPr>
              <w:t>满意度</w:t>
            </w:r>
          </w:p>
        </w:tc>
        <w:tc>
          <w:tcPr>
            <w:tcW w:w="1418" w:type="dxa"/>
            <w:tcBorders>
              <w:tl2br w:val="nil"/>
              <w:tr2bl w:val="nil"/>
            </w:tcBorders>
            <w:noWrap/>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职工满意度</w:t>
            </w:r>
          </w:p>
          <w:p>
            <w:pPr>
              <w:rPr>
                <w:rFonts w:hint="eastAsia" w:ascii="仿宋_GB2312" w:hAnsi="仿宋_GB2312" w:eastAsia="仿宋_GB2312" w:cs="仿宋_GB2312"/>
                <w:color w:val="000000"/>
                <w:sz w:val="21"/>
                <w:szCs w:val="21"/>
              </w:rPr>
            </w:pPr>
          </w:p>
        </w:tc>
        <w:tc>
          <w:tcPr>
            <w:tcW w:w="1842" w:type="dxa"/>
            <w:tcBorders>
              <w:tl2br w:val="nil"/>
              <w:tr2bl w:val="nil"/>
            </w:tcBorders>
            <w:noWrap/>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此项10分，每少1%扣0.2分</w:t>
            </w:r>
          </w:p>
        </w:tc>
        <w:tc>
          <w:tcPr>
            <w:tcW w:w="2201" w:type="dxa"/>
            <w:tcBorders>
              <w:tl2br w:val="nil"/>
              <w:tr2bl w:val="nil"/>
            </w:tcBorders>
            <w:noWrap/>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机关工作人员对办公条件满意度</w:t>
            </w:r>
          </w:p>
        </w:tc>
        <w:tc>
          <w:tcPr>
            <w:tcW w:w="776" w:type="dxa"/>
            <w:tcBorders>
              <w:tl2br w:val="nil"/>
              <w:tr2bl w:val="nil"/>
            </w:tcBorders>
            <w:vAlign w:val="center"/>
          </w:tcPr>
          <w:tbl>
            <w:tblPr>
              <w:tblStyle w:val="8"/>
              <w:tblW w:w="6880" w:type="dxa"/>
              <w:tblInd w:w="0" w:type="dxa"/>
              <w:tblLayout w:type="fixed"/>
              <w:tblCellMar>
                <w:top w:w="0" w:type="dxa"/>
                <w:left w:w="108" w:type="dxa"/>
                <w:bottom w:w="0" w:type="dxa"/>
                <w:right w:w="108" w:type="dxa"/>
              </w:tblCellMar>
            </w:tblPr>
            <w:tblGrid>
              <w:gridCol w:w="1720"/>
              <w:gridCol w:w="1040"/>
              <w:gridCol w:w="2060"/>
              <w:gridCol w:w="2060"/>
            </w:tblGrid>
            <w:tr>
              <w:tblPrEx>
                <w:tblCellMar>
                  <w:top w:w="0" w:type="dxa"/>
                  <w:left w:w="108" w:type="dxa"/>
                  <w:bottom w:w="0" w:type="dxa"/>
                  <w:right w:w="108" w:type="dxa"/>
                </w:tblCellMar>
              </w:tblPrEx>
              <w:trPr>
                <w:trHeight w:val="330" w:hRule="atLeast"/>
              </w:trPr>
              <w:tc>
                <w:tcPr>
                  <w:tcW w:w="1720" w:type="dxa"/>
                  <w:tcBorders>
                    <w:top w:val="nil"/>
                    <w:left w:val="nil"/>
                    <w:bottom w:val="nil"/>
                    <w:right w:val="nil"/>
                  </w:tcBorders>
                  <w:shd w:val="clear" w:color="auto" w:fill="auto"/>
                  <w:noWra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1040" w:type="dxa"/>
                  <w:tcBorders>
                    <w:top w:val="nil"/>
                    <w:left w:val="nil"/>
                    <w:bottom w:val="nil"/>
                    <w:right w:val="nil"/>
                  </w:tcBorders>
                  <w:shd w:val="clear" w:color="auto" w:fill="auto"/>
                  <w:noWra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90</w:t>
                  </w:r>
                </w:p>
              </w:tc>
              <w:tc>
                <w:tcPr>
                  <w:tcW w:w="2060" w:type="dxa"/>
                  <w:tcBorders>
                    <w:top w:val="nil"/>
                    <w:left w:val="nil"/>
                    <w:bottom w:val="nil"/>
                    <w:right w:val="nil"/>
                  </w:tcBorders>
                  <w:shd w:val="clear" w:color="auto" w:fill="auto"/>
                  <w:noWra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2060" w:type="dxa"/>
                  <w:tcBorders>
                    <w:top w:val="nil"/>
                    <w:left w:val="nil"/>
                    <w:bottom w:val="nil"/>
                    <w:right w:val="nil"/>
                  </w:tcBorders>
                  <w:shd w:val="clear" w:color="auto" w:fill="auto"/>
                  <w:noWra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机关工作人员满意</w:t>
                  </w:r>
                </w:p>
              </w:tc>
            </w:tr>
          </w:tbl>
          <w:p>
            <w:pPr>
              <w:widowControl/>
              <w:adjustRightInd w:val="0"/>
              <w:snapToGrid w:val="0"/>
              <w:rPr>
                <w:rFonts w:hint="eastAsia" w:ascii="仿宋_GB2312" w:hAnsi="仿宋_GB2312" w:eastAsia="仿宋_GB2312" w:cs="仿宋_GB2312"/>
                <w:sz w:val="21"/>
                <w:szCs w:val="21"/>
              </w:rPr>
            </w:pPr>
          </w:p>
        </w:tc>
        <w:tc>
          <w:tcPr>
            <w:tcW w:w="56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90</w:t>
            </w:r>
          </w:p>
          <w:p>
            <w:pPr>
              <w:widowControl/>
              <w:adjustRightInd w:val="0"/>
              <w:snapToGrid w:val="0"/>
              <w:rPr>
                <w:rFonts w:hint="eastAsia" w:ascii="仿宋_GB2312" w:hAnsi="仿宋_GB2312" w:eastAsia="仿宋_GB2312" w:cs="仿宋_GB2312"/>
                <w:sz w:val="21"/>
                <w:szCs w:val="21"/>
              </w:rPr>
            </w:pPr>
          </w:p>
        </w:tc>
        <w:tc>
          <w:tcPr>
            <w:tcW w:w="99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p>
            <w:pPr>
              <w:widowControl/>
              <w:adjustRightInd w:val="0"/>
              <w:snapToGrid w:val="0"/>
              <w:rPr>
                <w:rFonts w:hint="eastAsia" w:ascii="仿宋_GB2312" w:hAnsi="仿宋_GB2312" w:eastAsia="仿宋_GB2312" w:cs="仿宋_GB2312"/>
                <w:sz w:val="21"/>
                <w:szCs w:val="21"/>
              </w:rPr>
            </w:pPr>
          </w:p>
        </w:tc>
        <w:tc>
          <w:tcPr>
            <w:tcW w:w="2687"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机关工作人员满意</w:t>
            </w:r>
          </w:p>
          <w:p>
            <w:pPr>
              <w:widowControl/>
              <w:adjustRightInd w:val="0"/>
              <w:snapToGrid w:val="0"/>
              <w:rPr>
                <w:rFonts w:hint="eastAsia" w:ascii="仿宋_GB2312" w:hAnsi="仿宋_GB2312" w:eastAsia="仿宋_GB2312" w:cs="仿宋_GB2312"/>
                <w:sz w:val="21"/>
                <w:szCs w:val="21"/>
              </w:rPr>
            </w:pP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1.机关事务管理经费绩效目标表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1.""保证街道的日常工作的正常运转，取暖、慰问的办公经费。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保障办公人数</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保障办公人数</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≥112人</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反映保障办公人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4"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运转保障率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运转保障率</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反映各项日常工作保障率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经费保障及时性</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经费保障及时性</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反映及时保障各项日常办公需要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日常公用支出</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日常公用支出</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≤60万</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反映办公费及其他公用经费的开支标准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保障日常办公需要，维持单位正常运转</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保障单位正常运转</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维持单位正常运转</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反映保障日常办公需要，维持单位正常运转。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日常办公保障满意度</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机关工作人员对日常办公保障满意度</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问询</w:t>
            </w:r>
          </w:p>
        </w:tc>
      </w:tr>
    </w:tbl>
    <w:p>
      <w:pPr>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 xml:space="preserve"> 社区党组织服务群众专项经费[区级]</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400" w:lineRule="exact"/>
              <w:rPr>
                <w:rFonts w:hint="eastAsia" w:ascii="仿宋_GB2312" w:hAnsi="仿宋_GB2312" w:eastAsia="仿宋_GB2312" w:cs="仿宋_GB2312"/>
                <w:b/>
              </w:rPr>
            </w:pPr>
            <w:r>
              <w:rPr>
                <w:rFonts w:hint="eastAsia" w:ascii="仿宋_GB2312" w:hAnsi="仿宋_GB2312" w:eastAsia="仿宋_GB2312" w:cs="仿宋_GB2312"/>
              </w:rPr>
              <w:t>1."提社区级组织服务群众能力，加强社区综合服务站日常运转，加强公共设施维护。"</w:t>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社区数量</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需要经费予以保障的村街数</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16社区</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运转保障率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反映各项服务群众工作保障情况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经费保障及时率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反映及时保障各项服务群众办公需要情况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资金成本</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反映社区组织服务群众经费单位成本</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15万元/年/社区</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社区正常运转</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反映社区正常运转情况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进一步提高</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辖区社区居民满意度</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调查中对社区服务群众活动满意和较满意社区数占调查总人数的比率</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w:t>
      </w:r>
      <w:r>
        <w:rPr>
          <w:rFonts w:hint="eastAsia" w:ascii="仿宋_GB2312" w:hAnsi="仿宋_GB2312" w:eastAsia="仿宋_GB2312" w:cs="仿宋_GB2312"/>
          <w:color w:val="000000"/>
          <w:sz w:val="28"/>
        </w:rPr>
        <w:t xml:space="preserve"> 社区工作经费[区级]</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1."维持社区组织正常运转，提升社区组织服务群众能力，提高社区组织办事效率。"</w:t>
            </w:r>
          </w:p>
          <w:p>
            <w:pPr>
              <w:spacing w:line="400" w:lineRule="exact"/>
              <w:rPr>
                <w:rFonts w:hint="eastAsia" w:ascii="仿宋_GB2312" w:hAnsi="仿宋_GB2312" w:eastAsia="仿宋_GB2312" w:cs="仿宋_GB2312"/>
                <w:b/>
              </w:rPr>
            </w:pPr>
            <w:r>
              <w:rPr>
                <w:rFonts w:hint="eastAsia" w:ascii="仿宋_GB2312" w:hAnsi="仿宋_GB2312" w:eastAsia="仿宋_GB2312" w:cs="仿宋_GB2312"/>
              </w:rPr>
              <w:t>2.保障社区组织办公正常运转，按时按季度发放社区组织办公经费。</w:t>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社区数量</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需要经费予以保障的社区数</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16社区</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运转保障率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反映各项日常工作保障情况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经费保障及时率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反映及时保障各项日常办公需要情况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单位成本</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反映村级组织办公经费单位成本</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10万元/年/社区</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社区服务水平提高</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反映社区正常运转情况</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进一步提高</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辖区社区居民满意度</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调查中对社区办公活动满意和较满意社区数占调查总人数的比率</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w:t>
      </w:r>
      <w:r>
        <w:rPr>
          <w:rFonts w:hint="eastAsia" w:ascii="仿宋_GB2312" w:hAnsi="仿宋_GB2312" w:eastAsia="仿宋_GB2312" w:cs="仿宋_GB2312"/>
          <w:color w:val="000000"/>
          <w:sz w:val="28"/>
        </w:rPr>
        <w:t>社区楼门长工作经费</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612"/>
        <w:gridCol w:w="2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380" w:lineRule="exact"/>
              <w:rPr>
                <w:rFonts w:hint="eastAsia" w:ascii="仿宋_GB2312" w:hAnsi="仿宋_GB2312" w:eastAsia="仿宋_GB2312" w:cs="仿宋_GB2312"/>
              </w:rPr>
            </w:pPr>
            <w:r>
              <w:rPr>
                <w:rFonts w:hint="eastAsia" w:ascii="仿宋_GB2312" w:hAnsi="仿宋_GB2312" w:eastAsia="仿宋_GB2312" w:cs="仿宋_GB2312"/>
              </w:rPr>
              <w:t>1."通过发放楼门长补贴，实现群众参与社区管理，提高社会管理服务效能，进一步完善社区治理体系，提升基层党组织建设和管理服务水平。"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spacing w:line="380" w:lineRule="exact"/>
              <w:rPr>
                <w:rFonts w:hint="eastAsia" w:ascii="仿宋_GB2312" w:hAnsi="仿宋_GB2312" w:eastAsia="仿宋_GB2312" w:cs="仿宋_GB2312"/>
                <w:lang w:eastAsia="zh-CN"/>
              </w:rPr>
            </w:pPr>
            <w:r>
              <w:rPr>
                <w:rFonts w:hint="eastAsia" w:ascii="仿宋_GB2312" w:hAnsi="仿宋_GB2312" w:eastAsia="仿宋_GB2312" w:cs="仿宋_GB2312"/>
              </w:rPr>
              <w:t>2.通过发放楼门长补贴，达到积极引导广大居民群众主动参与基层社会治理，切实发挥居民小区楼门长作用。</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12"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386"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4" w:hRule="atLeast"/>
          <w:jc w:val="center"/>
        </w:trPr>
        <w:tc>
          <w:tcPr>
            <w:tcW w:w="2409"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补贴保障人数</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享受此项待遇人员数</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＝760人</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发放覆盖率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反映资金发放覆盖情况</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补贴发放及时率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反应补贴发放及时情况</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有物业小区楼门长补贴标准</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有物业小区单元长补贴标准</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50元/月/人</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无物业小区楼门长补贴标准</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无物业小区楼门长补贴标准</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200元/月/人</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无物业小区单元长、有物业小区楼门长补贴标准</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无物业小区单元长、有物业小区楼门长补贴标准</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100元/月/人</w:t>
            </w:r>
          </w:p>
        </w:tc>
        <w:tc>
          <w:tcPr>
            <w:tcW w:w="2386" w:type="dxa"/>
            <w:shd w:val="clear" w:color="auto" w:fill="auto"/>
            <w:vAlign w:val="center"/>
          </w:tcPr>
          <w:p>
            <w:pPr>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提高楼门长工作积极性</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反应提高楼门长工作积极性程度</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进一步提高</w:t>
            </w:r>
          </w:p>
        </w:tc>
        <w:tc>
          <w:tcPr>
            <w:tcW w:w="2386"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受补贴人员满意度</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满意人员与总人数的比率</w:t>
            </w:r>
          </w:p>
        </w:tc>
        <w:tc>
          <w:tcPr>
            <w:tcW w:w="161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386"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ind w:firstLine="560" w:firstLineChars="200"/>
        <w:jc w:val="left"/>
        <w:outlineLvl w:val="1"/>
        <w:rPr>
          <w:rFonts w:hint="eastAsia" w:ascii="仿宋_GB2312" w:hAnsi="仿宋_GB2312" w:eastAsia="仿宋_GB2312" w:cs="仿宋_GB2312"/>
          <w:color w:val="000000"/>
          <w:sz w:val="28"/>
        </w:rPr>
      </w:pPr>
    </w:p>
    <w:p>
      <w:pPr>
        <w:ind w:firstLine="560" w:firstLineChars="200"/>
        <w:jc w:val="left"/>
        <w:outlineLvl w:val="1"/>
        <w:rPr>
          <w:rFonts w:hint="eastAsia" w:ascii="仿宋_GB2312" w:hAnsi="仿宋_GB2312" w:eastAsia="仿宋_GB2312" w:cs="仿宋_GB2312"/>
          <w:color w:val="000000"/>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color w:val="000000"/>
          <w:sz w:val="28"/>
        </w:rPr>
        <w:t>5.社区招聘人员经费[区级]</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2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753"/>
        <w:gridCol w:w="2892"/>
        <w:gridCol w:w="2855"/>
        <w:gridCol w:w="2187"/>
        <w:gridCol w:w="3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52"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1."维持社区组织正常运转，提升社区组织服务群众能力，提高社区组织办事效率。"</w:t>
            </w:r>
          </w:p>
          <w:p>
            <w:pPr>
              <w:pStyle w:val="14"/>
              <w:spacing w:line="380" w:lineRule="exact"/>
              <w:rPr>
                <w:rFonts w:hint="eastAsia" w:ascii="仿宋_GB2312" w:hAnsi="仿宋_GB2312" w:eastAsia="仿宋_GB2312" w:cs="仿宋_GB2312"/>
                <w:lang w:eastAsia="zh-CN"/>
              </w:rPr>
            </w:pPr>
            <w:r>
              <w:rPr>
                <w:rFonts w:hint="eastAsia" w:ascii="仿宋_GB2312" w:hAnsi="仿宋_GB2312" w:eastAsia="仿宋_GB2312" w:cs="仿宋_GB2312"/>
              </w:rPr>
              <w:t>2.按时按标准发放工资福利等，进一步增强干部职工得归属感，保持干部队伍相对稳定，保障办公正常运转，及时缴纳社会保险，确保人员稳定。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53"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892"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85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187"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165" w:type="dxa"/>
            <w:shd w:val="clear" w:color="auto" w:fill="auto"/>
            <w:vAlign w:val="center"/>
          </w:tcPr>
          <w:p>
            <w:pPr>
              <w:spacing w:line="38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1" w:hRule="atLeast"/>
          <w:jc w:val="center"/>
        </w:trPr>
        <w:tc>
          <w:tcPr>
            <w:tcW w:w="1375"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保障人数</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保障人数</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112人</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vMerge w:val="continue"/>
            <w:shd w:val="clear" w:color="auto" w:fill="auto"/>
            <w:vAlign w:val="center"/>
          </w:tcPr>
          <w:p>
            <w:pPr>
              <w:rPr>
                <w:rFonts w:hint="eastAsia" w:ascii="仿宋_GB2312" w:hAnsi="仿宋_GB2312" w:eastAsia="仿宋_GB2312" w:cs="仿宋_GB2312"/>
                <w:color w:val="000000"/>
                <w:sz w:val="22"/>
              </w:rPr>
            </w:pP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工资的足额发放率</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足额发放人数与总人数比率</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vMerge w:val="continue"/>
            <w:shd w:val="clear" w:color="auto" w:fill="auto"/>
            <w:vAlign w:val="center"/>
          </w:tcPr>
          <w:p>
            <w:pPr>
              <w:rPr>
                <w:rFonts w:hint="eastAsia" w:ascii="仿宋_GB2312" w:hAnsi="仿宋_GB2312" w:eastAsia="仿宋_GB2312" w:cs="仿宋_GB2312"/>
                <w:color w:val="000000"/>
                <w:sz w:val="22"/>
              </w:rPr>
            </w:pP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社会保险的申报率</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保险申报人数与总人数比率</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vMerge w:val="continue"/>
            <w:shd w:val="clear" w:color="auto" w:fill="auto"/>
            <w:vAlign w:val="center"/>
          </w:tcPr>
          <w:p>
            <w:pPr>
              <w:rPr>
                <w:rFonts w:hint="eastAsia" w:ascii="仿宋_GB2312" w:hAnsi="仿宋_GB2312" w:eastAsia="仿宋_GB2312" w:cs="仿宋_GB2312"/>
                <w:color w:val="000000"/>
                <w:sz w:val="22"/>
              </w:rPr>
            </w:pP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工资及时发放率</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工资发放的时效情况</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vMerge w:val="continue"/>
            <w:shd w:val="clear" w:color="auto" w:fill="auto"/>
            <w:vAlign w:val="center"/>
          </w:tcPr>
          <w:p>
            <w:pPr>
              <w:rPr>
                <w:rFonts w:hint="eastAsia" w:ascii="仿宋_GB2312" w:hAnsi="仿宋_GB2312" w:eastAsia="仿宋_GB2312" w:cs="仿宋_GB2312"/>
                <w:color w:val="000000"/>
                <w:sz w:val="22"/>
              </w:rPr>
            </w:pP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社会保险及时缴纳率</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社会保险缴纳的时效情况</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vMerge w:val="continue"/>
            <w:shd w:val="clear" w:color="auto" w:fill="auto"/>
            <w:vAlign w:val="center"/>
          </w:tcPr>
          <w:p>
            <w:pPr>
              <w:rPr>
                <w:rFonts w:hint="eastAsia" w:ascii="仿宋_GB2312" w:hAnsi="仿宋_GB2312" w:eastAsia="仿宋_GB2312" w:cs="仿宋_GB2312"/>
                <w:color w:val="000000"/>
                <w:sz w:val="22"/>
              </w:rPr>
            </w:pP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人均工资及保险成本</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每人每年工资及保险平均数</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≤8.16万元/年/人</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社区工作水平有所提高</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通过按时按标准发放工资福利等，进一步增强干部职工得归属感，保持干部队伍相对稳定，保障办公正常运转，社区工作水平有所提高</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进一步提高</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175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289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社区聘用人员满意度</w:t>
            </w:r>
          </w:p>
        </w:tc>
        <w:tc>
          <w:tcPr>
            <w:tcW w:w="28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满意人员与总人数的比率</w:t>
            </w:r>
          </w:p>
        </w:tc>
        <w:tc>
          <w:tcPr>
            <w:tcW w:w="2187"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316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color w:val="000000"/>
          <w:sz w:val="28"/>
        </w:rPr>
        <w:t>6.疫情防控无物业小区卡口人员经费</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1.有效防止疫情输入，实现0病例，守护辖区居民的生命安全。</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spacing w:line="400" w:lineRule="exact"/>
              <w:rPr>
                <w:rFonts w:hint="eastAsia" w:ascii="仿宋_GB2312" w:hAnsi="仿宋_GB2312" w:eastAsia="仿宋_GB2312" w:cs="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产出指标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数量指标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卡口数量</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卡口数量</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62个</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无物业小区名册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疫情卡口覆盖率</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覆盖率</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值守记录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时效指标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补贴按时发放</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按时发放</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按时</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color w:val="000000"/>
                <w:sz w:val="22"/>
              </w:rPr>
            </w:pP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成本指标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补贴标准</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补贴标准</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每人每天400元（24小时）</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廊广爱政字【2021】40号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效果指标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社会效益指标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做好疫情防控工作，维护社会平安稳定</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平安稳定，实现0病例</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平安稳定</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本辖区疫情情况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满意度指标</w:t>
            </w:r>
          </w:p>
        </w:tc>
        <w:tc>
          <w:tcPr>
            <w:tcW w:w="2268"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服务对象满意度指标</w:t>
            </w:r>
          </w:p>
        </w:tc>
        <w:tc>
          <w:tcPr>
            <w:tcW w:w="198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辖区居民满意度</w:t>
            </w:r>
          </w:p>
        </w:tc>
        <w:tc>
          <w:tcPr>
            <w:tcW w:w="3402"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居民满意度</w:t>
            </w:r>
          </w:p>
        </w:tc>
        <w:tc>
          <w:tcPr>
            <w:tcW w:w="1843"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2155" w:type="dxa"/>
            <w:shd w:val="clear" w:color="auto" w:fill="auto"/>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***廊坊市</w:t>
      </w:r>
      <w:r>
        <w:rPr>
          <w:rFonts w:hint="eastAsia"/>
        </w:rPr>
        <w:t>广阳区*</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1613.24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w:t>
            </w:r>
            <w:r>
              <w:rPr>
                <w:rFonts w:hint="eastAsia" w:ascii="Times New Roman" w:hAnsi="Times New Roman" w:eastAsia="仿宋_GB2312" w:cs="Times New Roman"/>
                <w:kern w:val="0"/>
                <w:sz w:val="22"/>
                <w:lang w:val="en-US" w:eastAsia="zh-CN"/>
              </w:rPr>
              <w:t>爱民东道街道办事处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1613.24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4546.33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1202.33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4546.33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1202.33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39.78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127.56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299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243.57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29</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DE34E"/>
    <w:multiLevelType w:val="singleLevel"/>
    <w:tmpl w:val="26ADE3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6520B"/>
    <w:rsid w:val="000F6018"/>
    <w:rsid w:val="00237305"/>
    <w:rsid w:val="002452DA"/>
    <w:rsid w:val="0025632D"/>
    <w:rsid w:val="002F0956"/>
    <w:rsid w:val="003059E0"/>
    <w:rsid w:val="003B1851"/>
    <w:rsid w:val="003B1D20"/>
    <w:rsid w:val="003F14D3"/>
    <w:rsid w:val="004A54AA"/>
    <w:rsid w:val="00512A8C"/>
    <w:rsid w:val="005C16CB"/>
    <w:rsid w:val="006701E0"/>
    <w:rsid w:val="007079A7"/>
    <w:rsid w:val="007F0384"/>
    <w:rsid w:val="00902488"/>
    <w:rsid w:val="00944233"/>
    <w:rsid w:val="009B179B"/>
    <w:rsid w:val="00B40732"/>
    <w:rsid w:val="00B80935"/>
    <w:rsid w:val="00C75935"/>
    <w:rsid w:val="00C85C76"/>
    <w:rsid w:val="00D347CC"/>
    <w:rsid w:val="00D3507B"/>
    <w:rsid w:val="00DB20AE"/>
    <w:rsid w:val="00DC72B4"/>
    <w:rsid w:val="00ED1ECE"/>
    <w:rsid w:val="071D227B"/>
    <w:rsid w:val="0CEC1180"/>
    <w:rsid w:val="0DC44B39"/>
    <w:rsid w:val="16181CAA"/>
    <w:rsid w:val="17C00CB3"/>
    <w:rsid w:val="23266DCC"/>
    <w:rsid w:val="23A32E03"/>
    <w:rsid w:val="34E07BF6"/>
    <w:rsid w:val="44E529A6"/>
    <w:rsid w:val="6B29789A"/>
    <w:rsid w:val="73693C55"/>
    <w:rsid w:val="7AA816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2172</Words>
  <Characters>12383</Characters>
  <Lines>103</Lines>
  <Paragraphs>29</Paragraphs>
  <TotalTime>9009</TotalTime>
  <ScaleCrop>false</ScaleCrop>
  <LinksUpToDate>false</LinksUpToDate>
  <CharactersWithSpaces>14526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2024-05-16T06:31:40Z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EBD381EE7DC948BFA2B2B07A0FC38519</vt:lpwstr>
  </property>
</Properties>
</file>