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sz w:val="44"/>
          <w:szCs w:val="44"/>
        </w:rPr>
      </w:pPr>
      <w:bookmarkStart w:id="1" w:name="_GoBack"/>
      <w:bookmarkEnd w:id="1"/>
      <w:r>
        <w:rPr>
          <w:rFonts w:hint="eastAsia" w:ascii="方正小标宋简体" w:eastAsia="方正小标宋简体" w:cs="宋体"/>
          <w:b/>
          <w:bCs/>
          <w:color w:val="000000"/>
          <w:sz w:val="44"/>
          <w:szCs w:val="44"/>
        </w:rPr>
        <w:t>中国共产党廊坊市广阳区委员会老干部局</w:t>
      </w:r>
      <w:r>
        <w:rPr>
          <w:rFonts w:ascii="方正小标宋简体" w:eastAsia="方正小标宋简体" w:cs="宋体"/>
          <w:b/>
          <w:bCs/>
          <w:color w:val="000000"/>
          <w:sz w:val="44"/>
          <w:szCs w:val="44"/>
        </w:rPr>
        <w:t>2018</w:t>
      </w:r>
      <w:r>
        <w:rPr>
          <w:rFonts w:hint="eastAsia" w:ascii="方正小标宋简体" w:eastAsia="方正小标宋简体" w:cs="宋体"/>
          <w:b/>
          <w:bCs/>
          <w:color w:val="000000"/>
          <w:sz w:val="44"/>
          <w:szCs w:val="44"/>
        </w:rPr>
        <w:t>年部门预算信息公开</w:t>
      </w:r>
    </w:p>
    <w:p>
      <w:pPr>
        <w:spacing w:line="570" w:lineRule="exact"/>
        <w:ind w:firstLine="64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按照《预算法》、《地方预决算公开操作规程》和《河北省省级预算公开办法》规定，现将中国共产党廊坊市广阳区委员会</w:t>
      </w:r>
      <w:r>
        <w:rPr>
          <w:rFonts w:hint="eastAsia" w:ascii="仿宋_GB2312" w:eastAsia="仿宋_GB2312" w:cs="宋体"/>
          <w:color w:val="000000"/>
          <w:sz w:val="32"/>
          <w:szCs w:val="32"/>
        </w:rPr>
        <w:t>老干部局</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sz w:val="32"/>
          <w:szCs w:val="32"/>
        </w:rPr>
      </w:pPr>
      <w:r>
        <w:rPr>
          <w:rFonts w:hint="eastAsia" w:ascii="黑体" w:eastAsia="黑体" w:cs="宋体"/>
          <w:b/>
          <w:bCs/>
          <w:color w:val="000000"/>
          <w:sz w:val="32"/>
          <w:szCs w:val="32"/>
        </w:rPr>
        <w:t>部门职责及机构设置情况</w:t>
      </w:r>
      <w:r>
        <w:rPr>
          <w:rFonts w:ascii="黑体" w:eastAsia="黑体" w:cs="宋体"/>
          <w:b/>
          <w:bCs/>
          <w:color w:val="000000"/>
          <w:sz w:val="32"/>
          <w:szCs w:val="32"/>
        </w:rPr>
        <w:t xml:space="preserve">   </w:t>
      </w:r>
      <w:r>
        <w:rPr>
          <w:rFonts w:ascii="黑体" w:eastAsia="黑体" w:cs="宋体"/>
          <w:color w:val="000000"/>
          <w:sz w:val="32"/>
          <w:szCs w:val="32"/>
        </w:rPr>
        <w:br w:type="textWrapping"/>
      </w:r>
      <w:r>
        <w:rPr>
          <w:rFonts w:hint="eastAsia" w:ascii="仿宋_GB2312" w:eastAsia="仿宋_GB2312" w:cs="宋体"/>
          <w:b/>
          <w:bCs/>
          <w:color w:val="000000"/>
          <w:sz w:val="32"/>
          <w:szCs w:val="32"/>
        </w:rPr>
        <w:t>部门职责：</w:t>
      </w:r>
    </w:p>
    <w:p>
      <w:pPr>
        <w:spacing w:line="570" w:lineRule="exact"/>
        <w:ind w:firstLine="640"/>
        <w:rPr>
          <w:rFonts w:ascii="仿宋_GB2312" w:eastAsia="仿宋_GB2312"/>
          <w:sz w:val="32"/>
          <w:szCs w:val="32"/>
        </w:rPr>
      </w:pPr>
      <w:r>
        <w:rPr>
          <w:rFonts w:hint="eastAsia" w:ascii="仿宋_GB2312" w:eastAsia="仿宋_GB2312"/>
          <w:sz w:val="32"/>
          <w:szCs w:val="32"/>
        </w:rPr>
        <w:t>广阳区老干部局为区委组织部管理的主管全区老干部工作的行政机构。主要职能：负责贯彻落实党中央、国务院和省、市、区委关于离退休干部工作的方针、政策，拟定或参与拟定全区离退休干部工作有关的具体规定和办法；指导、督促、检查各单位各部门老干部工作；组织协调有关部门共同做好老干部工作；按照有关规定，做好离退休干部的安置工作，审核和办理离休干部荣誉证；督促检查各单位各部门落实离退休干部政治和生活待遇，抓好离休干部“两费”</w:t>
      </w:r>
      <w:r>
        <w:rPr>
          <w:rFonts w:ascii="仿宋_GB2312" w:eastAsia="仿宋_GB2312"/>
          <w:sz w:val="32"/>
          <w:szCs w:val="32"/>
        </w:rPr>
        <w:t>(</w:t>
      </w:r>
      <w:r>
        <w:rPr>
          <w:rFonts w:hint="eastAsia" w:ascii="仿宋_GB2312" w:eastAsia="仿宋_GB2312"/>
          <w:sz w:val="32"/>
          <w:szCs w:val="32"/>
        </w:rPr>
        <w:t>离休费、医药费</w:t>
      </w:r>
      <w:r>
        <w:rPr>
          <w:rFonts w:ascii="仿宋_GB2312" w:eastAsia="仿宋_GB2312"/>
          <w:sz w:val="32"/>
          <w:szCs w:val="32"/>
        </w:rPr>
        <w:t>)</w:t>
      </w:r>
      <w:r>
        <w:rPr>
          <w:rFonts w:hint="eastAsia" w:ascii="仿宋_GB2312" w:eastAsia="仿宋_GB2312"/>
          <w:sz w:val="32"/>
          <w:szCs w:val="32"/>
        </w:rPr>
        <w:t>的落实。调查研究离退休干部政治和生活待遇中存在的问题，协调有关部门提出解决办法；协调组织部门抓好离退休干部党支部建设，加强和改进新形势下离退休干部的思想政治工作；指导各单位各部门老干部活动中心</w:t>
      </w:r>
      <w:r>
        <w:rPr>
          <w:rFonts w:ascii="仿宋_GB2312" w:eastAsia="仿宋_GB2312"/>
          <w:sz w:val="32"/>
          <w:szCs w:val="32"/>
        </w:rPr>
        <w:t>(</w:t>
      </w:r>
      <w:r>
        <w:rPr>
          <w:rFonts w:hint="eastAsia" w:ascii="仿宋_GB2312" w:eastAsia="仿宋_GB2312"/>
          <w:sz w:val="32"/>
          <w:szCs w:val="32"/>
        </w:rPr>
        <w:t>室、站</w:t>
      </w:r>
      <w:r>
        <w:rPr>
          <w:rFonts w:ascii="仿宋_GB2312" w:eastAsia="仿宋_GB2312"/>
          <w:sz w:val="32"/>
          <w:szCs w:val="32"/>
        </w:rPr>
        <w:t>)</w:t>
      </w:r>
      <w:r>
        <w:rPr>
          <w:rFonts w:hint="eastAsia" w:ascii="仿宋_GB2312" w:eastAsia="仿宋_GB2312"/>
          <w:sz w:val="32"/>
          <w:szCs w:val="32"/>
        </w:rPr>
        <w:t>的建设与管理，丰富全区老干部晚年生活，加强老干部门诊部建设，了解老干部对医疗保健方面的意见和要求，组织和指导离退休干部开展健康科学的文化健身、保健讲座、健康疗养、参观学习等活动；指导各单位各部门组织离退休干部继续在政治、经济领域发挥作用；指导全区老年体协、关心下一代及老年教育工作，负责管理区老干部活动中心；负责指导逝世老干部的善后工作，协助承办区委交办的丧葬事宜，会同有关部门制定治丧办法；承担区委老干部工作领导小组的日常工作；承办区委、区政府、区委组织部交办的其他事宜。</w:t>
      </w:r>
    </w:p>
    <w:p>
      <w:pPr>
        <w:widowControl/>
        <w:spacing w:line="570" w:lineRule="exact"/>
        <w:ind w:left="639" w:hanging="160"/>
        <w:jc w:val="left"/>
        <w:rPr>
          <w:rFonts w:ascii="仿宋_GB2312" w:eastAsia="仿宋_GB2312" w:cs="宋体"/>
          <w:color w:val="000000"/>
          <w:sz w:val="32"/>
          <w:szCs w:val="32"/>
        </w:rPr>
      </w:pPr>
      <w:r>
        <w:rPr>
          <w:rFonts w:hint="eastAsia" w:ascii="仿宋_GB2312" w:eastAsia="仿宋_GB2312" w:cs="宋体"/>
          <w:b/>
          <w:bCs/>
          <w:color w:val="000000"/>
          <w:sz w:val="32"/>
          <w:szCs w:val="32"/>
        </w:rPr>
        <w:t>机构设置：</w:t>
      </w:r>
    </w:p>
    <w:p>
      <w:pPr>
        <w:widowControl/>
        <w:spacing w:line="570" w:lineRule="exact"/>
        <w:jc w:val="center"/>
        <w:rPr>
          <w:rFonts w:ascii="仿宋_GB2312" w:eastAsia="仿宋_GB2312" w:cs="宋体"/>
          <w:color w:val="000000"/>
          <w:sz w:val="32"/>
          <w:szCs w:val="32"/>
        </w:rPr>
      </w:pPr>
      <w:r>
        <w:rPr>
          <w:rFonts w:hint="eastAsia" w:ascii="仿宋_GB2312" w:eastAsia="仿宋_GB2312" w:cs="宋体"/>
          <w:color w:val="000000"/>
          <w:sz w:val="32"/>
          <w:szCs w:val="32"/>
        </w:rPr>
        <w:t>部门机构设置情况</w:t>
      </w:r>
    </w:p>
    <w:tbl>
      <w:tblPr>
        <w:tblStyle w:val="7"/>
        <w:tblW w:w="12333" w:type="dxa"/>
        <w:tblInd w:w="442" w:type="dxa"/>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CellMar>
            <w:top w:w="0" w:type="dxa"/>
            <w:left w:w="0" w:type="dxa"/>
            <w:bottom w:w="0" w:type="dxa"/>
            <w:right w:w="0" w:type="dxa"/>
          </w:tblCellMar>
        </w:tblPrEx>
        <w:trPr>
          <w:trHeight w:val="1283" w:hRule="atLeast"/>
          <w:tblHeader/>
        </w:trPr>
        <w:tc>
          <w:tcPr>
            <w:tcW w:w="4206" w:type="dxa"/>
            <w:vAlign w:val="center"/>
          </w:tcPr>
          <w:p>
            <w:pPr>
              <w:widowControl/>
              <w:spacing w:line="570" w:lineRule="exact"/>
              <w:jc w:val="center"/>
              <w:rPr>
                <w:rFonts w:ascii="仿宋_GB2312" w:eastAsia="仿宋_GB2312" w:cs="宋体"/>
                <w:b/>
                <w:bCs/>
                <w:sz w:val="32"/>
                <w:szCs w:val="32"/>
              </w:rPr>
            </w:pPr>
            <w:r>
              <w:rPr>
                <w:rFonts w:hint="eastAsia" w:ascii="仿宋_GB2312" w:eastAsia="仿宋_GB2312" w:cs="宋体"/>
                <w:b/>
                <w:bCs/>
                <w:sz w:val="32"/>
                <w:szCs w:val="32"/>
              </w:rPr>
              <w:t>单位名称</w:t>
            </w:r>
          </w:p>
        </w:tc>
        <w:tc>
          <w:tcPr>
            <w:tcW w:w="2073" w:type="dxa"/>
            <w:vAlign w:val="center"/>
          </w:tcPr>
          <w:p>
            <w:pPr>
              <w:widowControl/>
              <w:spacing w:line="570" w:lineRule="exact"/>
              <w:jc w:val="center"/>
              <w:rPr>
                <w:rFonts w:ascii="仿宋_GB2312" w:eastAsia="仿宋_GB2312" w:cs="宋体"/>
                <w:b/>
                <w:bCs/>
                <w:sz w:val="32"/>
                <w:szCs w:val="32"/>
              </w:rPr>
            </w:pPr>
            <w:r>
              <w:rPr>
                <w:rFonts w:hint="eastAsia" w:ascii="仿宋_GB2312" w:eastAsia="仿宋_GB2312" w:cs="宋体"/>
                <w:b/>
                <w:bCs/>
                <w:sz w:val="32"/>
                <w:szCs w:val="32"/>
              </w:rPr>
              <w:t>单位性质</w:t>
            </w:r>
          </w:p>
        </w:tc>
        <w:tc>
          <w:tcPr>
            <w:tcW w:w="1786" w:type="dxa"/>
            <w:vAlign w:val="center"/>
          </w:tcPr>
          <w:p>
            <w:pPr>
              <w:widowControl/>
              <w:spacing w:line="570" w:lineRule="exact"/>
              <w:jc w:val="center"/>
              <w:rPr>
                <w:rFonts w:ascii="仿宋_GB2312" w:eastAsia="仿宋_GB2312" w:cs="宋体"/>
                <w:b/>
                <w:bCs/>
                <w:sz w:val="32"/>
                <w:szCs w:val="32"/>
              </w:rPr>
            </w:pPr>
            <w:r>
              <w:rPr>
                <w:rFonts w:hint="eastAsia" w:ascii="仿宋_GB2312" w:eastAsia="仿宋_GB2312" w:cs="宋体"/>
                <w:b/>
                <w:bCs/>
                <w:sz w:val="32"/>
                <w:szCs w:val="32"/>
              </w:rPr>
              <w:t>单位规格</w:t>
            </w:r>
          </w:p>
        </w:tc>
        <w:tc>
          <w:tcPr>
            <w:tcW w:w="4268" w:type="dxa"/>
            <w:vAlign w:val="center"/>
          </w:tcPr>
          <w:p>
            <w:pPr>
              <w:widowControl/>
              <w:spacing w:line="570" w:lineRule="exact"/>
              <w:jc w:val="center"/>
              <w:rPr>
                <w:rFonts w:ascii="仿宋_GB2312" w:eastAsia="仿宋_GB2312" w:cs="宋体"/>
                <w:b/>
                <w:bCs/>
                <w:sz w:val="32"/>
                <w:szCs w:val="32"/>
              </w:rPr>
            </w:pPr>
            <w:r>
              <w:rPr>
                <w:rFonts w:hint="eastAsia" w:ascii="仿宋_GB2312" w:eastAsia="仿宋_GB2312" w:cs="宋体"/>
                <w:b/>
                <w:bCs/>
                <w:sz w:val="32"/>
                <w:szCs w:val="32"/>
              </w:rPr>
              <w:t>经费保障形式</w:t>
            </w:r>
          </w:p>
        </w:tc>
      </w:tr>
      <w:tr>
        <w:tblPrEx>
          <w:tblBorders>
            <w:top w:val="outset" w:color="00000A" w:sz="6" w:space="0"/>
            <w:left w:val="outset" w:color="00000A" w:sz="6" w:space="0"/>
            <w:bottom w:val="outset" w:color="00000A" w:sz="6" w:space="0"/>
            <w:right w:val="outset" w:color="00000A" w:sz="6" w:space="0"/>
            <w:insideH w:val="outset" w:color="00000A" w:sz="6" w:space="0"/>
            <w:insideV w:val="outset" w:color="00000A" w:sz="6" w:space="0"/>
          </w:tblBorders>
          <w:tblCellMar>
            <w:top w:w="0" w:type="dxa"/>
            <w:left w:w="0" w:type="dxa"/>
            <w:bottom w:w="0" w:type="dxa"/>
            <w:right w:w="0" w:type="dxa"/>
          </w:tblCellMar>
        </w:tblPrEx>
        <w:trPr>
          <w:trHeight w:val="225" w:hRule="atLeast"/>
        </w:trPr>
        <w:tc>
          <w:tcPr>
            <w:tcW w:w="4206" w:type="dxa"/>
            <w:vAlign w:val="center"/>
          </w:tcPr>
          <w:p>
            <w:pPr>
              <w:widowControl/>
              <w:spacing w:line="570" w:lineRule="exact"/>
              <w:jc w:val="center"/>
              <w:rPr>
                <w:rFonts w:ascii="仿宋_GB2312" w:eastAsia="仿宋_GB2312" w:cs="宋体"/>
                <w:sz w:val="32"/>
                <w:szCs w:val="32"/>
              </w:rPr>
            </w:pPr>
            <w:r>
              <w:rPr>
                <w:rFonts w:hint="eastAsia" w:ascii="仿宋_GB2312" w:eastAsia="仿宋_GB2312" w:cs="宋体"/>
                <w:sz w:val="32"/>
                <w:szCs w:val="32"/>
              </w:rPr>
              <w:t>中国共产党廊坊市广阳区委员会老干部局</w:t>
            </w:r>
          </w:p>
        </w:tc>
        <w:tc>
          <w:tcPr>
            <w:tcW w:w="2073" w:type="dxa"/>
            <w:vAlign w:val="center"/>
          </w:tcPr>
          <w:p>
            <w:pPr>
              <w:widowControl/>
              <w:spacing w:line="570" w:lineRule="exact"/>
              <w:jc w:val="center"/>
              <w:rPr>
                <w:rFonts w:ascii="仿宋_GB2312" w:eastAsia="仿宋_GB2312" w:cs="宋体"/>
                <w:sz w:val="32"/>
                <w:szCs w:val="32"/>
              </w:rPr>
            </w:pPr>
            <w:r>
              <w:rPr>
                <w:rFonts w:hint="eastAsia" w:ascii="仿宋_GB2312" w:eastAsia="仿宋_GB2312" w:cs="宋体"/>
                <w:sz w:val="32"/>
                <w:szCs w:val="32"/>
              </w:rPr>
              <w:t>行政单位</w:t>
            </w:r>
          </w:p>
        </w:tc>
        <w:tc>
          <w:tcPr>
            <w:tcW w:w="1786" w:type="dxa"/>
            <w:vAlign w:val="center"/>
          </w:tcPr>
          <w:p>
            <w:pPr>
              <w:widowControl/>
              <w:spacing w:line="570" w:lineRule="exact"/>
              <w:jc w:val="center"/>
              <w:rPr>
                <w:rFonts w:ascii="仿宋_GB2312" w:eastAsia="仿宋_GB2312" w:cs="宋体"/>
                <w:sz w:val="32"/>
                <w:szCs w:val="32"/>
              </w:rPr>
            </w:pPr>
            <w:r>
              <w:rPr>
                <w:rFonts w:hint="eastAsia" w:ascii="仿宋_GB2312" w:eastAsia="仿宋_GB2312" w:cs="宋体"/>
                <w:sz w:val="32"/>
                <w:szCs w:val="32"/>
              </w:rPr>
              <w:t>正科级</w:t>
            </w:r>
          </w:p>
        </w:tc>
        <w:tc>
          <w:tcPr>
            <w:tcW w:w="4268" w:type="dxa"/>
            <w:vAlign w:val="center"/>
          </w:tcPr>
          <w:p>
            <w:pPr>
              <w:widowControl/>
              <w:spacing w:line="570" w:lineRule="exact"/>
              <w:jc w:val="center"/>
              <w:rPr>
                <w:rFonts w:ascii="仿宋_GB2312" w:eastAsia="仿宋_GB2312" w:cs="宋体"/>
                <w:sz w:val="32"/>
                <w:szCs w:val="32"/>
              </w:rPr>
            </w:pPr>
            <w:r>
              <w:rPr>
                <w:rFonts w:hint="eastAsia" w:ascii="仿宋_GB2312" w:eastAsia="仿宋_GB2312" w:cs="宋体"/>
                <w:sz w:val="32"/>
                <w:szCs w:val="32"/>
              </w:rPr>
              <w:t>财政拨款</w:t>
            </w:r>
          </w:p>
        </w:tc>
      </w:tr>
    </w:tbl>
    <w:p>
      <w:pPr>
        <w:widowControl/>
        <w:spacing w:line="570" w:lineRule="exact"/>
        <w:jc w:val="left"/>
        <w:rPr>
          <w:rFonts w:ascii="仿宋_GB2312" w:eastAsia="仿宋_GB2312" w:cs="宋体"/>
          <w:color w:val="000000"/>
          <w:sz w:val="32"/>
          <w:szCs w:val="32"/>
        </w:rPr>
      </w:pPr>
      <w:r>
        <w:rPr>
          <w:rFonts w:ascii="宋体" w:hAnsi="宋体" w:eastAsia="黑体" w:cs="宋体"/>
          <w:color w:val="000000"/>
          <w:sz w:val="32"/>
          <w:szCs w:val="32"/>
        </w:rPr>
        <w:t> </w:t>
      </w:r>
      <w:r>
        <w:rPr>
          <w:rFonts w:hint="eastAsia" w:ascii="黑体" w:eastAsia="黑体" w:cs="宋体"/>
          <w:b/>
          <w:bCs/>
          <w:color w:val="000000"/>
          <w:sz w:val="32"/>
          <w:szCs w:val="32"/>
        </w:rPr>
        <w:t>二、部门预算安排的总体情况</w:t>
      </w:r>
      <w:r>
        <w:rPr>
          <w:rFonts w:ascii="黑体" w:eastAsia="黑体" w:cs="宋体"/>
          <w:color w:val="000000"/>
          <w:sz w:val="32"/>
          <w:szCs w:val="32"/>
        </w:rPr>
        <w:br w:type="textWrapping"/>
      </w:r>
      <w:r>
        <w:rPr>
          <w:rFonts w:ascii="宋体" w:hAnsi="宋体" w:eastAsia="仿宋_GB2312" w:cs="宋体"/>
          <w:color w:val="000000"/>
          <w:sz w:val="32"/>
          <w:szCs w:val="32"/>
        </w:rPr>
        <w:t xml:space="preserve">    </w:t>
      </w:r>
      <w:r>
        <w:rPr>
          <w:rFonts w:hint="eastAsia" w:ascii="仿宋_GB2312" w:eastAsia="仿宋_GB2312" w:cs="宋体"/>
          <w:color w:val="000000"/>
          <w:sz w:val="32"/>
          <w:szCs w:val="32"/>
        </w:rPr>
        <w:t>按照预算管理有关规定，目前我区部门预算的编制实行综合预算制度，即全部收入和支出都反映在预算中。</w:t>
      </w:r>
      <w:r>
        <w:rPr>
          <w:rFonts w:hint="eastAsia" w:ascii="仿宋_GB2312" w:eastAsia="仿宋_GB2312" w:cs="宋体"/>
          <w:color w:val="000000"/>
          <w:sz w:val="32"/>
          <w:szCs w:val="32"/>
          <w:lang w:eastAsia="zh-CN"/>
        </w:rPr>
        <w:t>中国共产党</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委员会老干部局</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0"/>
        <w:jc w:val="left"/>
        <w:rPr>
          <w:rFonts w:ascii="仿宋_GB2312" w:eastAsia="仿宋_GB2312" w:cs="宋体"/>
          <w:color w:val="000000"/>
          <w:sz w:val="32"/>
          <w:szCs w:val="32"/>
        </w:rPr>
      </w:pPr>
      <w:r>
        <w:rPr>
          <w:rFonts w:ascii="楷体_GB2312" w:eastAsia="楷体_GB2312" w:cs="宋体"/>
          <w:b/>
          <w:bCs/>
          <w:color w:val="000000"/>
          <w:sz w:val="32"/>
          <w:szCs w:val="32"/>
        </w:rPr>
        <w:t>1</w:t>
      </w:r>
      <w:r>
        <w:rPr>
          <w:rFonts w:hint="eastAsia" w:ascii="楷体_GB2312" w:eastAsia="楷体_GB2312" w:cs="宋体"/>
          <w:b/>
          <w:bCs/>
          <w:color w:val="000000"/>
          <w:sz w:val="32"/>
          <w:szCs w:val="32"/>
        </w:rPr>
        <w:t>、收入说明</w:t>
      </w:r>
    </w:p>
    <w:p>
      <w:pPr>
        <w:widowControl/>
        <w:spacing w:line="570" w:lineRule="exact"/>
        <w:ind w:firstLine="640"/>
        <w:jc w:val="left"/>
        <w:rPr>
          <w:rFonts w:ascii="仿宋_GB2312" w:eastAsia="仿宋_GB2312" w:cs="宋体"/>
          <w:bCs/>
          <w:color w:val="000000"/>
          <w:sz w:val="32"/>
          <w:szCs w:val="32"/>
        </w:rPr>
      </w:pPr>
      <w:r>
        <w:rPr>
          <w:rFonts w:ascii="仿宋_GB2312" w:eastAsia="仿宋_GB2312" w:cs="宋体"/>
          <w:color w:val="000000"/>
          <w:sz w:val="32"/>
          <w:szCs w:val="32"/>
        </w:rPr>
        <w:t>2018</w:t>
      </w:r>
      <w:r>
        <w:rPr>
          <w:rFonts w:hint="eastAsia" w:ascii="仿宋_GB2312" w:eastAsia="仿宋_GB2312" w:cs="宋体"/>
          <w:color w:val="000000"/>
          <w:sz w:val="32"/>
          <w:szCs w:val="32"/>
        </w:rPr>
        <w:t>年预算收入</w:t>
      </w:r>
      <w:r>
        <w:rPr>
          <w:rFonts w:ascii="仿宋_GB2312" w:eastAsia="仿宋_GB2312" w:cs="宋体"/>
          <w:color w:val="000000"/>
          <w:sz w:val="32"/>
          <w:szCs w:val="32"/>
        </w:rPr>
        <w:t>686.36</w:t>
      </w:r>
      <w:r>
        <w:rPr>
          <w:rFonts w:hint="eastAsia" w:ascii="仿宋_GB2312" w:eastAsia="仿宋_GB2312" w:cs="宋体"/>
          <w:color w:val="000000"/>
          <w:sz w:val="32"/>
          <w:szCs w:val="32"/>
        </w:rPr>
        <w:t>万元，其中：一般公共预算收入</w:t>
      </w:r>
      <w:r>
        <w:rPr>
          <w:rFonts w:ascii="仿宋_GB2312" w:eastAsia="仿宋_GB2312" w:cs="宋体"/>
          <w:color w:val="000000"/>
          <w:sz w:val="32"/>
          <w:szCs w:val="32"/>
        </w:rPr>
        <w:t>686.36</w:t>
      </w:r>
      <w:r>
        <w:rPr>
          <w:rFonts w:hint="eastAsia" w:ascii="仿宋_GB2312" w:eastAsia="仿宋_GB2312" w:cs="宋体"/>
          <w:color w:val="000000"/>
          <w:sz w:val="32"/>
          <w:szCs w:val="32"/>
        </w:rPr>
        <w:t>万元，政府性基金收入</w:t>
      </w:r>
      <w:r>
        <w:rPr>
          <w:rFonts w:ascii="仿宋_GB2312" w:eastAsia="仿宋_GB2312" w:cs="宋体"/>
          <w:color w:val="000000"/>
          <w:sz w:val="32"/>
          <w:szCs w:val="32"/>
        </w:rPr>
        <w:t>0</w:t>
      </w:r>
      <w:r>
        <w:rPr>
          <w:rFonts w:hint="eastAsia" w:ascii="仿宋_GB2312" w:eastAsia="仿宋_GB2312" w:cs="宋体"/>
          <w:color w:val="000000"/>
          <w:sz w:val="32"/>
          <w:szCs w:val="32"/>
        </w:rPr>
        <w:t>万元，事业收入</w:t>
      </w:r>
      <w:r>
        <w:rPr>
          <w:rFonts w:ascii="仿宋_GB2312" w:eastAsia="仿宋_GB2312" w:cs="宋体"/>
          <w:color w:val="000000"/>
          <w:sz w:val="32"/>
          <w:szCs w:val="32"/>
        </w:rPr>
        <w:t>0</w:t>
      </w:r>
      <w:r>
        <w:rPr>
          <w:rFonts w:hint="eastAsia" w:ascii="仿宋_GB2312" w:eastAsia="仿宋_GB2312" w:cs="宋体"/>
          <w:color w:val="000000"/>
          <w:sz w:val="32"/>
          <w:szCs w:val="32"/>
        </w:rPr>
        <w:t>万元，其他收入</w:t>
      </w:r>
      <w:r>
        <w:rPr>
          <w:rFonts w:ascii="仿宋_GB2312" w:eastAsia="仿宋_GB2312" w:cs="宋体"/>
          <w:color w:val="000000"/>
          <w:sz w:val="32"/>
          <w:szCs w:val="32"/>
        </w:rPr>
        <w:t>0</w:t>
      </w:r>
      <w:r>
        <w:rPr>
          <w:rFonts w:hint="eastAsia" w:ascii="仿宋_GB2312" w:eastAsia="仿宋_GB2312" w:cs="宋体"/>
          <w:color w:val="000000"/>
          <w:sz w:val="32"/>
          <w:szCs w:val="32"/>
        </w:rPr>
        <w:t>万元。</w:t>
      </w:r>
    </w:p>
    <w:p>
      <w:pPr>
        <w:widowControl/>
        <w:spacing w:line="570" w:lineRule="exact"/>
        <w:ind w:firstLine="640"/>
        <w:jc w:val="left"/>
        <w:rPr>
          <w:rFonts w:ascii="仿宋_GB2312" w:eastAsia="仿宋_GB2312" w:cs="宋体"/>
          <w:color w:val="000000"/>
          <w:sz w:val="32"/>
          <w:szCs w:val="32"/>
        </w:rPr>
      </w:pPr>
      <w:r>
        <w:rPr>
          <w:rFonts w:ascii="楷体_GB2312" w:eastAsia="楷体_GB2312" w:cs="宋体"/>
          <w:b/>
          <w:bCs/>
          <w:color w:val="000000"/>
          <w:sz w:val="32"/>
          <w:szCs w:val="32"/>
        </w:rPr>
        <w:t>2</w:t>
      </w:r>
      <w:r>
        <w:rPr>
          <w:rFonts w:hint="eastAsia" w:ascii="楷体_GB2312" w:eastAsia="楷体_GB2312" w:cs="宋体"/>
          <w:b/>
          <w:bCs/>
          <w:color w:val="000000"/>
          <w:sz w:val="32"/>
          <w:szCs w:val="32"/>
        </w:rPr>
        <w:t>、支出说明</w:t>
      </w:r>
    </w:p>
    <w:p>
      <w:pPr>
        <w:spacing w:line="570" w:lineRule="exact"/>
        <w:ind w:firstLine="640"/>
        <w:rPr>
          <w:rFonts w:ascii="仿宋_GB2312" w:eastAsia="仿宋_GB2312" w:cs="宋体"/>
          <w:color w:val="000000"/>
          <w:sz w:val="32"/>
          <w:szCs w:val="32"/>
        </w:rPr>
      </w:pPr>
      <w:r>
        <w:rPr>
          <w:rFonts w:hint="eastAsia" w:ascii="仿宋_GB2312" w:eastAsia="仿宋_GB2312" w:cs="宋体"/>
          <w:color w:val="000000"/>
          <w:sz w:val="32"/>
          <w:szCs w:val="32"/>
        </w:rPr>
        <w:t>收支预算总表支出栏、基本支出表、项目支出表按经济分类和支出功能分类科目编制，反映河北省</w:t>
      </w:r>
      <w:r>
        <w:rPr>
          <w:rFonts w:ascii="仿宋_GB2312" w:eastAsia="仿宋_GB2312" w:cs="宋体"/>
          <w:color w:val="000000"/>
          <w:sz w:val="32"/>
          <w:szCs w:val="32"/>
        </w:rPr>
        <w:t>2018</w:t>
      </w:r>
      <w:r>
        <w:rPr>
          <w:rFonts w:hint="eastAsia" w:ascii="仿宋_GB2312" w:eastAsia="仿宋_GB2312" w:cs="宋体"/>
          <w:color w:val="000000"/>
          <w:sz w:val="32"/>
          <w:szCs w:val="32"/>
        </w:rPr>
        <w:t>年度部门预算中支出预算的总体情况。</w:t>
      </w:r>
      <w:r>
        <w:rPr>
          <w:rFonts w:ascii="仿宋_GB2312" w:eastAsia="仿宋_GB2312" w:cs="宋体"/>
          <w:color w:val="000000"/>
          <w:sz w:val="32"/>
          <w:szCs w:val="32"/>
        </w:rPr>
        <w:t>2018</w:t>
      </w:r>
      <w:r>
        <w:rPr>
          <w:rFonts w:hint="eastAsia" w:ascii="仿宋_GB2312" w:eastAsia="仿宋_GB2312" w:cs="宋体"/>
          <w:color w:val="000000"/>
          <w:sz w:val="32"/>
          <w:szCs w:val="32"/>
        </w:rPr>
        <w:t>年支出预算</w:t>
      </w:r>
      <w:r>
        <w:rPr>
          <w:rFonts w:ascii="仿宋_GB2312" w:eastAsia="仿宋_GB2312" w:cs="宋体"/>
          <w:color w:val="000000"/>
          <w:sz w:val="32"/>
          <w:szCs w:val="32"/>
        </w:rPr>
        <w:t>686.36</w:t>
      </w:r>
      <w:r>
        <w:rPr>
          <w:rFonts w:hint="eastAsia" w:ascii="仿宋_GB2312" w:eastAsia="仿宋_GB2312" w:cs="宋体"/>
          <w:color w:val="000000"/>
          <w:sz w:val="32"/>
          <w:szCs w:val="32"/>
        </w:rPr>
        <w:t>万元，其中基本支出</w:t>
      </w:r>
      <w:r>
        <w:rPr>
          <w:rFonts w:ascii="仿宋_GB2312" w:eastAsia="仿宋_GB2312" w:cs="宋体"/>
          <w:color w:val="000000"/>
          <w:sz w:val="32"/>
          <w:szCs w:val="32"/>
        </w:rPr>
        <w:t>353.36</w:t>
      </w:r>
      <w:r>
        <w:rPr>
          <w:rFonts w:hint="eastAsia" w:ascii="仿宋_GB2312" w:eastAsia="仿宋_GB2312" w:cs="宋体"/>
          <w:color w:val="000000"/>
          <w:sz w:val="32"/>
          <w:szCs w:val="32"/>
        </w:rPr>
        <w:t>万元，包括人员经费310.38万元和日常公用经费42.98万元；项目支出</w:t>
      </w:r>
      <w:r>
        <w:rPr>
          <w:rFonts w:ascii="仿宋_GB2312" w:eastAsia="仿宋_GB2312" w:cs="宋体"/>
          <w:color w:val="000000"/>
          <w:sz w:val="32"/>
          <w:szCs w:val="32"/>
        </w:rPr>
        <w:t>333</w:t>
      </w:r>
      <w:r>
        <w:rPr>
          <w:rFonts w:hint="eastAsia" w:ascii="仿宋_GB2312" w:eastAsia="仿宋_GB2312" w:cs="宋体"/>
          <w:color w:val="000000"/>
          <w:sz w:val="32"/>
          <w:szCs w:val="32"/>
        </w:rPr>
        <w:t>万元，</w:t>
      </w:r>
      <w:r>
        <w:rPr>
          <w:rFonts w:hint="eastAsia" w:ascii="仿宋_GB2312" w:eastAsia="仿宋_GB2312" w:cs="宋体"/>
          <w:color w:val="000000"/>
          <w:sz w:val="32"/>
          <w:szCs w:val="32"/>
          <w:lang w:eastAsia="zh-CN"/>
        </w:rPr>
        <w:t>主要为离休干部医药费、特困老干部帮扶经费等</w:t>
      </w:r>
      <w:r>
        <w:rPr>
          <w:rFonts w:hint="eastAsia" w:ascii="仿宋_GB2312" w:eastAsia="仿宋_GB2312" w:cs="宋体"/>
          <w:color w:val="000000"/>
          <w:sz w:val="32"/>
          <w:szCs w:val="32"/>
        </w:rPr>
        <w:t>。</w:t>
      </w:r>
    </w:p>
    <w:p>
      <w:pPr>
        <w:widowControl/>
        <w:spacing w:line="570" w:lineRule="exact"/>
        <w:ind w:firstLine="640"/>
        <w:jc w:val="left"/>
        <w:rPr>
          <w:rFonts w:ascii="楷体_GB2312" w:eastAsia="楷体_GB2312" w:cs="宋体"/>
          <w:b/>
          <w:bCs/>
          <w:color w:val="000000"/>
          <w:sz w:val="32"/>
          <w:szCs w:val="32"/>
        </w:rPr>
      </w:pPr>
      <w:r>
        <w:rPr>
          <w:rFonts w:ascii="楷体_GB2312" w:eastAsia="楷体_GB2312" w:cs="宋体"/>
          <w:b/>
          <w:bCs/>
          <w:color w:val="000000"/>
          <w:sz w:val="32"/>
          <w:szCs w:val="32"/>
        </w:rPr>
        <w:t>3</w:t>
      </w:r>
      <w:r>
        <w:rPr>
          <w:rFonts w:hint="eastAsia" w:ascii="楷体_GB2312" w:eastAsia="楷体_GB2312" w:cs="宋体"/>
          <w:b/>
          <w:bCs/>
          <w:color w:val="000000"/>
          <w:sz w:val="32"/>
          <w:szCs w:val="32"/>
        </w:rPr>
        <w:t>、比上年增减情况</w:t>
      </w:r>
    </w:p>
    <w:p>
      <w:pPr>
        <w:widowControl/>
        <w:spacing w:line="570" w:lineRule="exact"/>
        <w:ind w:firstLine="640"/>
        <w:jc w:val="left"/>
        <w:rPr>
          <w:rFonts w:ascii="黑体" w:eastAsia="黑体" w:cs="宋体"/>
          <w:b/>
          <w:bCs/>
          <w:color w:val="000000"/>
          <w:sz w:val="32"/>
          <w:szCs w:val="32"/>
        </w:rPr>
      </w:pPr>
      <w:r>
        <w:rPr>
          <w:rFonts w:ascii="仿宋_GB2312" w:eastAsia="仿宋_GB2312" w:cs="宋体"/>
          <w:color w:val="000000"/>
          <w:sz w:val="32"/>
          <w:szCs w:val="32"/>
        </w:rPr>
        <w:t>2018</w:t>
      </w:r>
      <w:r>
        <w:rPr>
          <w:rFonts w:hint="eastAsia" w:ascii="仿宋_GB2312" w:eastAsia="仿宋_GB2312" w:cs="宋体"/>
          <w:color w:val="000000"/>
          <w:sz w:val="32"/>
          <w:szCs w:val="32"/>
        </w:rPr>
        <w:t>年预算收支安排</w:t>
      </w:r>
      <w:r>
        <w:rPr>
          <w:rFonts w:ascii="仿宋_GB2312" w:eastAsia="仿宋_GB2312" w:cs="宋体"/>
          <w:color w:val="000000"/>
          <w:sz w:val="32"/>
          <w:szCs w:val="32"/>
        </w:rPr>
        <w:t>686.36</w:t>
      </w:r>
      <w:r>
        <w:rPr>
          <w:rFonts w:hint="eastAsia" w:ascii="仿宋_GB2312" w:eastAsia="仿宋_GB2312" w:cs="宋体"/>
          <w:color w:val="000000"/>
          <w:sz w:val="32"/>
          <w:szCs w:val="32"/>
        </w:rPr>
        <w:t>万元，较</w:t>
      </w:r>
      <w:r>
        <w:rPr>
          <w:rFonts w:ascii="仿宋_GB2312" w:eastAsia="仿宋_GB2312" w:cs="宋体"/>
          <w:color w:val="000000"/>
          <w:sz w:val="32"/>
          <w:szCs w:val="32"/>
        </w:rPr>
        <w:t>2017</w:t>
      </w:r>
      <w:r>
        <w:rPr>
          <w:rFonts w:hint="eastAsia" w:ascii="仿宋_GB2312" w:eastAsia="仿宋_GB2312" w:cs="宋体"/>
          <w:color w:val="000000"/>
          <w:sz w:val="32"/>
          <w:szCs w:val="32"/>
        </w:rPr>
        <w:t>年预算增加</w:t>
      </w:r>
      <w:r>
        <w:rPr>
          <w:rFonts w:hint="eastAsia" w:ascii="仿宋_GB2312" w:eastAsia="仿宋_GB2312" w:cs="宋体"/>
          <w:color w:val="000000"/>
          <w:sz w:val="32"/>
          <w:szCs w:val="32"/>
          <w:lang w:val="en-US" w:eastAsia="zh-CN"/>
        </w:rPr>
        <w:t>378.05</w:t>
      </w:r>
      <w:r>
        <w:rPr>
          <w:rFonts w:hint="eastAsia" w:ascii="仿宋_GB2312" w:eastAsia="仿宋_GB2312" w:cs="宋体"/>
          <w:color w:val="000000"/>
          <w:sz w:val="32"/>
          <w:szCs w:val="32"/>
        </w:rPr>
        <w:t>万元，其中：基本支出增加</w:t>
      </w:r>
      <w:r>
        <w:rPr>
          <w:rFonts w:hint="eastAsia" w:ascii="仿宋_GB2312" w:eastAsia="仿宋_GB2312" w:cs="宋体"/>
          <w:color w:val="000000"/>
          <w:sz w:val="32"/>
          <w:szCs w:val="32"/>
          <w:lang w:val="en-US" w:eastAsia="zh-CN"/>
        </w:rPr>
        <w:t>45.05</w:t>
      </w:r>
      <w:r>
        <w:rPr>
          <w:rFonts w:hint="eastAsia" w:ascii="仿宋_GB2312" w:eastAsia="仿宋_GB2312" w:cs="宋体"/>
          <w:color w:val="000000"/>
          <w:sz w:val="32"/>
          <w:szCs w:val="32"/>
        </w:rPr>
        <w:t>万元，主要为增加人员经费支出；项目支出增加</w:t>
      </w:r>
      <w:r>
        <w:rPr>
          <w:rFonts w:ascii="仿宋_GB2312" w:eastAsia="仿宋_GB2312" w:cs="宋体"/>
          <w:color w:val="000000"/>
          <w:sz w:val="32"/>
          <w:szCs w:val="32"/>
        </w:rPr>
        <w:t>333</w:t>
      </w:r>
      <w:r>
        <w:rPr>
          <w:rFonts w:hint="eastAsia" w:ascii="仿宋_GB2312" w:eastAsia="仿宋_GB2312" w:cs="宋体"/>
          <w:color w:val="000000"/>
          <w:sz w:val="32"/>
          <w:szCs w:val="32"/>
        </w:rPr>
        <w:t>万元，主要</w:t>
      </w:r>
      <w:r>
        <w:rPr>
          <w:rFonts w:ascii="仿宋_GB2312" w:eastAsia="仿宋_GB2312" w:cs="宋体"/>
          <w:color w:val="000000"/>
          <w:sz w:val="32"/>
          <w:szCs w:val="32"/>
        </w:rPr>
        <w:t>增加离休干部医药费、特困老干部帮扶经费等项目支出</w:t>
      </w:r>
      <w:r>
        <w:rPr>
          <w:rFonts w:hint="eastAsia" w:ascii="仿宋_GB2312" w:eastAsia="仿宋_GB2312" w:cs="宋体"/>
          <w:color w:val="000000"/>
          <w:sz w:val="32"/>
          <w:szCs w:val="32"/>
        </w:rPr>
        <w:t>。</w:t>
      </w:r>
      <w:r>
        <w:rPr>
          <w:rFonts w:ascii="仿宋_GB2312" w:eastAsia="仿宋_GB2312" w:cs="宋体"/>
          <w:color w:val="000000"/>
          <w:sz w:val="32"/>
          <w:szCs w:val="32"/>
        </w:rPr>
        <w:br w:type="textWrapping"/>
      </w:r>
      <w:r>
        <w:rPr>
          <w:rFonts w:hint="eastAsia" w:ascii="黑体" w:eastAsia="黑体" w:cs="宋体"/>
          <w:b/>
          <w:bCs/>
          <w:color w:val="000000"/>
          <w:sz w:val="32"/>
          <w:szCs w:val="32"/>
        </w:rPr>
        <w:t>三、机关运行经费安排情况</w:t>
      </w:r>
    </w:p>
    <w:p>
      <w:pPr>
        <w:widowControl/>
        <w:spacing w:line="570" w:lineRule="exact"/>
        <w:ind w:firstLine="640"/>
        <w:jc w:val="left"/>
        <w:rPr>
          <w:rFonts w:ascii="黑体" w:eastAsia="黑体" w:cs="宋体"/>
          <w:b/>
          <w:bCs/>
          <w:color w:val="000000"/>
          <w:sz w:val="32"/>
          <w:szCs w:val="32"/>
        </w:rPr>
      </w:pPr>
      <w:r>
        <w:rPr>
          <w:rFonts w:ascii="仿宋_GB2312" w:eastAsia="仿宋_GB2312" w:cs="宋体"/>
          <w:color w:val="000000"/>
          <w:sz w:val="32"/>
          <w:szCs w:val="32"/>
        </w:rPr>
        <w:t>2018</w:t>
      </w:r>
      <w:r>
        <w:rPr>
          <w:rFonts w:hint="eastAsia" w:ascii="仿宋_GB2312" w:eastAsia="仿宋_GB2312" w:cs="宋体"/>
          <w:color w:val="000000"/>
          <w:sz w:val="32"/>
          <w:szCs w:val="32"/>
        </w:rPr>
        <w:t>年预算安排我部门机关运行经费</w:t>
      </w:r>
      <w:r>
        <w:rPr>
          <w:rFonts w:ascii="仿宋_GB2312" w:eastAsia="仿宋_GB2312" w:cs="宋体"/>
          <w:color w:val="000000"/>
          <w:sz w:val="32"/>
          <w:szCs w:val="32"/>
        </w:rPr>
        <w:t>20.46</w:t>
      </w:r>
      <w:r>
        <w:rPr>
          <w:rFonts w:hint="eastAsia" w:ascii="仿宋_GB2312" w:eastAsia="仿宋_GB2312" w:cs="宋体"/>
          <w:color w:val="000000"/>
          <w:sz w:val="32"/>
          <w:szCs w:val="32"/>
        </w:rPr>
        <w:t>万元，其中办公经费</w:t>
      </w:r>
      <w:r>
        <w:rPr>
          <w:rFonts w:ascii="仿宋_GB2312" w:eastAsia="仿宋_GB2312" w:cs="宋体"/>
          <w:color w:val="000000"/>
          <w:sz w:val="32"/>
          <w:szCs w:val="32"/>
        </w:rPr>
        <w:t>0.87</w:t>
      </w:r>
      <w:r>
        <w:rPr>
          <w:rFonts w:hint="eastAsia" w:ascii="仿宋_GB2312" w:eastAsia="仿宋_GB2312" w:cs="宋体"/>
          <w:color w:val="000000"/>
          <w:sz w:val="32"/>
          <w:szCs w:val="32"/>
        </w:rPr>
        <w:t>万元，其他业务费</w:t>
      </w:r>
      <w:r>
        <w:rPr>
          <w:rFonts w:ascii="仿宋_GB2312" w:eastAsia="仿宋_GB2312" w:cs="宋体"/>
          <w:color w:val="000000"/>
          <w:sz w:val="32"/>
          <w:szCs w:val="32"/>
        </w:rPr>
        <w:t>19.59</w:t>
      </w:r>
      <w:r>
        <w:rPr>
          <w:rFonts w:hint="eastAsia" w:ascii="仿宋_GB2312" w:eastAsia="仿宋_GB2312" w:cs="宋体"/>
          <w:color w:val="000000"/>
          <w:sz w:val="32"/>
          <w:szCs w:val="32"/>
        </w:rPr>
        <w:t>万元。主要用于中国共产党廊坊市广阳区委员会老干部局办公区的日常维修、办公用房水电费、办公用房取暖费、办公用房物业管理费等日常运行支出。</w:t>
      </w:r>
    </w:p>
    <w:p>
      <w:pPr>
        <w:widowControl/>
        <w:spacing w:line="570" w:lineRule="exact"/>
        <w:jc w:val="left"/>
        <w:rPr>
          <w:rFonts w:ascii="黑体" w:eastAsia="黑体" w:cs="宋体"/>
          <w:b/>
          <w:bCs/>
          <w:color w:val="000000"/>
          <w:sz w:val="32"/>
          <w:szCs w:val="32"/>
        </w:rPr>
      </w:pPr>
      <w:r>
        <w:rPr>
          <w:rFonts w:hint="eastAsia" w:ascii="黑体" w:eastAsia="黑体" w:cs="宋体"/>
          <w:b/>
          <w:bCs/>
          <w:color w:val="000000"/>
          <w:sz w:val="32"/>
          <w:szCs w:val="32"/>
        </w:rPr>
        <w:t>四、财政拨款“三公”经费预算情况及增减变化原因</w:t>
      </w:r>
    </w:p>
    <w:p>
      <w:pPr>
        <w:spacing w:line="570" w:lineRule="exact"/>
        <w:ind w:left="198" w:firstLine="640"/>
        <w:jc w:val="left"/>
        <w:rPr>
          <w:rFonts w:ascii="仿宋_GB2312" w:eastAsia="仿宋_GB2312" w:cs="宋体"/>
          <w:color w:val="000000"/>
          <w:sz w:val="32"/>
          <w:szCs w:val="32"/>
        </w:rPr>
      </w:pPr>
      <w:r>
        <w:rPr>
          <w:rFonts w:ascii="仿宋_GB2312" w:eastAsia="仿宋_GB2312" w:cs="宋体"/>
          <w:color w:val="000000"/>
          <w:sz w:val="32"/>
          <w:szCs w:val="32"/>
        </w:rPr>
        <w:t>2018</w:t>
      </w:r>
      <w:r>
        <w:rPr>
          <w:rFonts w:hint="eastAsia" w:ascii="仿宋_GB2312" w:eastAsia="仿宋_GB2312" w:cs="宋体"/>
          <w:color w:val="000000"/>
          <w:sz w:val="32"/>
          <w:szCs w:val="32"/>
        </w:rPr>
        <w:t>年，我部门“三公”经费预算安排</w:t>
      </w:r>
      <w:r>
        <w:rPr>
          <w:rFonts w:ascii="仿宋_GB2312" w:eastAsia="仿宋_GB2312" w:cs="宋体"/>
          <w:color w:val="000000"/>
          <w:sz w:val="32"/>
          <w:szCs w:val="32"/>
        </w:rPr>
        <w:t>2.3</w:t>
      </w:r>
      <w:r>
        <w:rPr>
          <w:rFonts w:hint="eastAsia" w:ascii="仿宋_GB2312" w:eastAsia="仿宋_GB2312" w:cs="宋体"/>
          <w:color w:val="000000"/>
          <w:sz w:val="32"/>
          <w:szCs w:val="32"/>
        </w:rPr>
        <w:t>元，其中因公出国（境）费</w:t>
      </w:r>
      <w:r>
        <w:rPr>
          <w:rFonts w:ascii="仿宋_GB2312" w:eastAsia="仿宋_GB2312" w:cs="宋体"/>
          <w:color w:val="000000"/>
          <w:sz w:val="32"/>
          <w:szCs w:val="32"/>
        </w:rPr>
        <w:t>0</w:t>
      </w:r>
      <w:r>
        <w:rPr>
          <w:rFonts w:hint="eastAsia" w:ascii="仿宋_GB2312" w:eastAsia="仿宋_GB2312" w:cs="宋体"/>
          <w:color w:val="000000"/>
          <w:sz w:val="32"/>
          <w:szCs w:val="32"/>
        </w:rPr>
        <w:t>万元；公务用车购置及运维费</w:t>
      </w:r>
      <w:r>
        <w:rPr>
          <w:rFonts w:ascii="仿宋_GB2312" w:eastAsia="仿宋_GB2312" w:cs="宋体"/>
          <w:color w:val="000000"/>
          <w:sz w:val="32"/>
          <w:szCs w:val="32"/>
        </w:rPr>
        <w:t>2.3</w:t>
      </w:r>
      <w:r>
        <w:rPr>
          <w:rFonts w:hint="eastAsia" w:ascii="仿宋_GB2312" w:eastAsia="仿宋_GB2312" w:cs="宋体"/>
          <w:color w:val="000000"/>
          <w:sz w:val="32"/>
          <w:szCs w:val="32"/>
        </w:rPr>
        <w:t>万元（其中：公务用车购置费为</w:t>
      </w:r>
      <w:r>
        <w:rPr>
          <w:rFonts w:ascii="仿宋_GB2312" w:eastAsia="仿宋_GB2312" w:cs="宋体"/>
          <w:color w:val="000000"/>
          <w:sz w:val="32"/>
          <w:szCs w:val="32"/>
        </w:rPr>
        <w:t>0</w:t>
      </w:r>
      <w:r>
        <w:rPr>
          <w:rFonts w:hint="eastAsia" w:ascii="仿宋_GB2312" w:eastAsia="仿宋_GB2312" w:cs="宋体"/>
          <w:color w:val="000000"/>
          <w:sz w:val="32"/>
          <w:szCs w:val="32"/>
        </w:rPr>
        <w:t>万元，公务用车运行费为</w:t>
      </w:r>
      <w:r>
        <w:rPr>
          <w:rFonts w:ascii="仿宋_GB2312" w:eastAsia="仿宋_GB2312" w:cs="宋体"/>
          <w:color w:val="000000"/>
          <w:sz w:val="32"/>
          <w:szCs w:val="32"/>
        </w:rPr>
        <w:t>2.3</w:t>
      </w:r>
      <w:r>
        <w:rPr>
          <w:rFonts w:hint="eastAsia" w:ascii="仿宋_GB2312" w:eastAsia="仿宋_GB2312" w:cs="宋体"/>
          <w:color w:val="000000"/>
          <w:sz w:val="32"/>
          <w:szCs w:val="32"/>
        </w:rPr>
        <w:t>万元</w:t>
      </w:r>
      <w:r>
        <w:rPr>
          <w:rFonts w:ascii="仿宋_GB2312" w:eastAsia="仿宋_GB2312" w:cs="宋体"/>
          <w:color w:val="000000"/>
          <w:sz w:val="32"/>
          <w:szCs w:val="32"/>
        </w:rPr>
        <w:t>)</w:t>
      </w:r>
      <w:r>
        <w:rPr>
          <w:rFonts w:hint="eastAsia" w:ascii="仿宋_GB2312" w:eastAsia="仿宋_GB2312" w:cs="宋体"/>
          <w:color w:val="000000"/>
          <w:sz w:val="32"/>
          <w:szCs w:val="32"/>
        </w:rPr>
        <w:t>；公务接待费</w:t>
      </w:r>
      <w:r>
        <w:rPr>
          <w:rFonts w:ascii="仿宋_GB2312" w:eastAsia="仿宋_GB2312" w:cs="宋体"/>
          <w:color w:val="000000"/>
          <w:sz w:val="32"/>
          <w:szCs w:val="32"/>
        </w:rPr>
        <w:t>0</w:t>
      </w:r>
      <w:r>
        <w:rPr>
          <w:rFonts w:hint="eastAsia" w:ascii="仿宋_GB2312" w:eastAsia="仿宋_GB2312" w:cs="宋体"/>
          <w:color w:val="000000"/>
          <w:sz w:val="32"/>
          <w:szCs w:val="32"/>
        </w:rPr>
        <w:t>万元。与</w:t>
      </w:r>
      <w:r>
        <w:rPr>
          <w:rFonts w:ascii="仿宋_GB2312" w:eastAsia="仿宋_GB2312" w:cs="宋体"/>
          <w:color w:val="000000"/>
          <w:sz w:val="32"/>
          <w:szCs w:val="32"/>
        </w:rPr>
        <w:t>2017</w:t>
      </w:r>
      <w:r>
        <w:rPr>
          <w:rFonts w:hint="eastAsia" w:ascii="仿宋_GB2312" w:eastAsia="仿宋_GB2312" w:cs="宋体"/>
          <w:color w:val="000000"/>
          <w:sz w:val="32"/>
          <w:szCs w:val="32"/>
        </w:rPr>
        <w:t>年增</w:t>
      </w:r>
      <w:r>
        <w:rPr>
          <w:rFonts w:ascii="仿宋_GB2312" w:eastAsia="仿宋_GB2312" w:cs="宋体"/>
          <w:color w:val="000000"/>
          <w:sz w:val="32"/>
          <w:szCs w:val="32"/>
        </w:rPr>
        <w:t>2.3</w:t>
      </w:r>
      <w:r>
        <w:rPr>
          <w:rFonts w:hint="eastAsia" w:ascii="仿宋_GB2312" w:eastAsia="仿宋_GB2312" w:cs="宋体"/>
          <w:color w:val="000000"/>
          <w:sz w:val="32"/>
          <w:szCs w:val="32"/>
        </w:rPr>
        <w:t>万元，主要原因是</w:t>
      </w:r>
      <w:r>
        <w:rPr>
          <w:rFonts w:ascii="仿宋_GB2312" w:eastAsia="仿宋_GB2312" w:cs="宋体"/>
          <w:color w:val="000000"/>
          <w:sz w:val="32"/>
          <w:szCs w:val="32"/>
        </w:rPr>
        <w:t>2017</w:t>
      </w:r>
      <w:r>
        <w:rPr>
          <w:rFonts w:hint="eastAsia" w:ascii="仿宋_GB2312" w:eastAsia="仿宋_GB2312" w:cs="宋体"/>
          <w:color w:val="000000"/>
          <w:sz w:val="32"/>
          <w:szCs w:val="32"/>
        </w:rPr>
        <w:t>预算我单位未安排三公经费支出。</w:t>
      </w:r>
    </w:p>
    <w:p>
      <w:pPr>
        <w:spacing w:line="570" w:lineRule="exact"/>
        <w:jc w:val="left"/>
        <w:rPr>
          <w:rFonts w:ascii="仿宋_GB2312" w:eastAsia="仿宋_GB2312" w:cs="宋体"/>
          <w:color w:val="000000"/>
          <w:sz w:val="32"/>
          <w:szCs w:val="32"/>
        </w:rPr>
      </w:pPr>
      <w:r>
        <w:rPr>
          <w:rFonts w:hint="eastAsia" w:ascii="黑体" w:eastAsia="黑体" w:cs="宋体"/>
          <w:b/>
          <w:bCs/>
          <w:color w:val="000000"/>
          <w:sz w:val="32"/>
          <w:szCs w:val="32"/>
        </w:rPr>
        <w:t>五、绩效预算信息总体绩效目标：</w:t>
      </w:r>
      <w:r>
        <w:rPr>
          <w:rFonts w:ascii="仿宋_GB2312" w:eastAsia="仿宋_GB2312" w:cs="宋体"/>
          <w:color w:val="000000"/>
          <w:sz w:val="32"/>
          <w:szCs w:val="32"/>
        </w:rPr>
        <w:br w:type="textWrapping"/>
      </w:r>
      <w:r>
        <w:rPr>
          <w:rFonts w:ascii="仿宋_GB2312" w:eastAsia="仿宋_GB2312" w:cs="宋体"/>
          <w:color w:val="000000"/>
          <w:sz w:val="32"/>
          <w:szCs w:val="32"/>
        </w:rPr>
        <w:t xml:space="preserve">    </w:t>
      </w:r>
      <w:r>
        <w:rPr>
          <w:rFonts w:hint="eastAsia" w:ascii="仿宋_GB2312" w:eastAsia="仿宋_GB2312" w:cs="宋体"/>
          <w:color w:val="000000"/>
          <w:sz w:val="32"/>
          <w:szCs w:val="32"/>
        </w:rPr>
        <w:t>继续深入学习贯彻党的十八大、十八届三中、四中、五中、六中全会精神和习近平总书记系列重要讲话精神，扎实开展“解放思想、抢抓机遇、奋发作为、协同发展”大讨论活动，认真开展</w:t>
      </w:r>
      <w:r>
        <w:rPr>
          <w:rFonts w:hint="eastAsia" w:ascii="仿宋_GB2312" w:eastAsia="仿宋_GB2312" w:cs="宋体"/>
          <w:color w:val="000000"/>
          <w:sz w:val="32"/>
          <w:szCs w:val="32"/>
          <w:lang w:eastAsia="zh-CN"/>
        </w:rPr>
        <w:t>“两学一做”学习教育</w:t>
      </w:r>
      <w:r>
        <w:rPr>
          <w:rFonts w:hint="eastAsia" w:ascii="仿宋_GB2312" w:eastAsia="仿宋_GB2312" w:cs="宋体"/>
          <w:color w:val="000000"/>
          <w:sz w:val="32"/>
          <w:szCs w:val="32"/>
        </w:rPr>
        <w:t>和作风整顿行动。按照省委、市委提出的“关于全面做好新形势下老干部工作”的总体要求，进一步用心用情、更细更实地做好新形势下的老干部工作，全面推进老干部工作科学发展。坚持围绕中心、服务大局，全面落实做好老干部“两项待遇”工作，着力提高老干部服务管理水平。大力加强机关作风、效能建设，精心打造过硬队伍。</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一、进一步落实老干部政治待遇</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加强老干部党支部建设。丰富学习内容，改进学习方式，切实增强学习效果和培训质量。充分利用老干部活动中心阵地，积极为离退休干部党支部开展活动提供便利条件。不断推进老干部党支部开展</w:t>
      </w:r>
      <w:r>
        <w:rPr>
          <w:rFonts w:hint="eastAsia" w:ascii="仿宋_GB2312" w:eastAsia="仿宋_GB2312" w:cs="宋体"/>
          <w:color w:val="000000"/>
          <w:sz w:val="32"/>
          <w:szCs w:val="32"/>
          <w:lang w:eastAsia="zh-CN"/>
        </w:rPr>
        <w:t>“两学一做”学习教育</w:t>
      </w:r>
      <w:r>
        <w:rPr>
          <w:rFonts w:hint="eastAsia" w:ascii="仿宋_GB2312" w:eastAsia="仿宋_GB2312" w:cs="宋体"/>
          <w:color w:val="000000"/>
          <w:sz w:val="32"/>
          <w:szCs w:val="32"/>
        </w:rPr>
        <w:t>。</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二、全面落实老干部生活待遇</w:t>
      </w:r>
    </w:p>
    <w:p>
      <w:pPr>
        <w:spacing w:line="570" w:lineRule="exact"/>
        <w:ind w:left="198" w:firstLine="640"/>
        <w:jc w:val="left"/>
        <w:rPr>
          <w:rFonts w:ascii="仿宋_GB2312" w:eastAsia="仿宋_GB2312" w:cs="宋体"/>
          <w:color w:val="000000"/>
          <w:sz w:val="32"/>
          <w:szCs w:val="32"/>
        </w:rPr>
      </w:pPr>
      <w:r>
        <w:rPr>
          <w:rFonts w:ascii="仿宋_GB2312" w:eastAsia="仿宋_GB2312" w:cs="宋体"/>
          <w:color w:val="000000"/>
          <w:sz w:val="32"/>
          <w:szCs w:val="32"/>
        </w:rPr>
        <w:t>1</w:t>
      </w:r>
      <w:r>
        <w:rPr>
          <w:rFonts w:hint="eastAsia" w:ascii="仿宋_GB2312" w:eastAsia="仿宋_GB2312" w:cs="宋体"/>
          <w:color w:val="000000"/>
          <w:sz w:val="32"/>
          <w:szCs w:val="32"/>
        </w:rPr>
        <w:t>、不断完善离退休老干部“两费”统筹机制，协调有关部门确保离退休老干部及其配偶或遗属各项生活待遇的落实，做到全部由财政支付，并按时发放，不拖欠。</w:t>
      </w:r>
    </w:p>
    <w:p>
      <w:pPr>
        <w:spacing w:line="570" w:lineRule="exact"/>
        <w:ind w:left="198" w:firstLine="640"/>
        <w:jc w:val="left"/>
        <w:rPr>
          <w:rFonts w:ascii="仿宋_GB2312" w:eastAsia="仿宋_GB2312" w:cs="宋体"/>
          <w:color w:val="000000"/>
          <w:sz w:val="32"/>
          <w:szCs w:val="32"/>
        </w:rPr>
      </w:pPr>
      <w:r>
        <w:rPr>
          <w:rFonts w:ascii="仿宋_GB2312" w:eastAsia="仿宋_GB2312" w:cs="宋体"/>
          <w:color w:val="000000"/>
          <w:sz w:val="32"/>
          <w:szCs w:val="32"/>
        </w:rPr>
        <w:t>2</w:t>
      </w:r>
      <w:r>
        <w:rPr>
          <w:rFonts w:hint="eastAsia" w:ascii="仿宋_GB2312" w:eastAsia="仿宋_GB2312" w:cs="宋体"/>
          <w:color w:val="000000"/>
          <w:sz w:val="32"/>
          <w:szCs w:val="32"/>
        </w:rPr>
        <w:t>、全面落实帮困机制。按照我局制定的《关于建立特困离退休干部帮扶制度的实施意见》，本着公平、公正、公开的原则，对由于老干部及配偶长期身患重病，老干部需要抚养丧失劳动能力的子女等原因，造成家庭生活特别困难的老干部进行重点帮扶。切实帮助困难离退休老干部解决医疗和生活中的实际困难。</w:t>
      </w:r>
    </w:p>
    <w:p>
      <w:pPr>
        <w:spacing w:line="570" w:lineRule="exact"/>
        <w:ind w:left="198" w:firstLine="640"/>
        <w:jc w:val="left"/>
        <w:rPr>
          <w:rFonts w:ascii="仿宋_GB2312" w:eastAsia="仿宋_GB2312" w:cs="宋体"/>
          <w:color w:val="000000"/>
          <w:sz w:val="32"/>
          <w:szCs w:val="32"/>
        </w:rPr>
      </w:pPr>
      <w:r>
        <w:rPr>
          <w:rFonts w:ascii="仿宋_GB2312" w:eastAsia="仿宋_GB2312" w:cs="宋体"/>
          <w:color w:val="000000"/>
          <w:sz w:val="32"/>
          <w:szCs w:val="32"/>
        </w:rPr>
        <w:t>3</w:t>
      </w:r>
      <w:r>
        <w:rPr>
          <w:rFonts w:hint="eastAsia" w:ascii="仿宋_GB2312" w:eastAsia="仿宋_GB2312" w:cs="宋体"/>
          <w:color w:val="000000"/>
          <w:sz w:val="32"/>
          <w:szCs w:val="32"/>
        </w:rPr>
        <w:t>、继续开展亲情服务和集体走访活动。完善联系老领导制度。建立健全局领导与县处级老领导联系制度，坚持做到“五必访五必问”：生病住院必访必问；家庭有重大变故必访必问；生活遇到困难必访必问；闹矛盾纠纷必访必问；思想情绪不稳定必访必问。对老领导重大节日、生日、生活困难、患病住院和临时亟需“五必访”制度。继续做好离退休干部健康体检、医疗报销等服务工作，保障老干部晚年生活无忧。把行动不便和有特殊困难等情况的离退休老干部列入亲情服务范围，每两周一次电话问候，每月一次上门走访慰问，每季度召开一次情况分析会。春节、中秋期间，组织各单位对离退休干部进行慰问走访。</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三、进一步加强离退休干部工作阵地建设，更好地发挥离退休干部的积极作用。</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紧紧围绕区委、区政府中心工作，深化关工委服务工作。既服务好老领导，又服务好下一代，发挥枢纽作用，推进“四个延伸”。推进老干部“三位一体”阵地建设。在区直各单位开展示范性阵地建设达标行动，扎实推进老干部学习活动保健三位一体阵地建设。进一步加强活动中心软硬件建设。从实际出发，加强建设规模合理、实用性强的老干部活动中心，方便老干部更好的学习和活动。</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为老干部提供充足的舞台机会。并不断鼓励他们在力所能及的情况下，继续发挥余热，积极参与到社会公益事业中来，为我区建设和谐社会贡献力量。</w:t>
      </w:r>
      <w:r>
        <w:rPr>
          <w:rFonts w:ascii="仿宋_GB2312" w:eastAsia="仿宋_GB2312" w:cs="宋体"/>
          <w:color w:val="000000"/>
          <w:sz w:val="32"/>
          <w:szCs w:val="32"/>
        </w:rPr>
        <w:t xml:space="preserve"> </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四、加强老干部服务队伍建设，大力提升工作服务水平</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紧抓机关建设，继续扎实开展“解放思想、抢抓机遇、奋发作为、协同发展”大讨论活动、</w:t>
      </w:r>
      <w:r>
        <w:rPr>
          <w:rFonts w:hint="eastAsia" w:ascii="仿宋_GB2312" w:eastAsia="仿宋_GB2312" w:cs="宋体"/>
          <w:color w:val="000000"/>
          <w:sz w:val="32"/>
          <w:szCs w:val="32"/>
          <w:lang w:eastAsia="zh-CN"/>
        </w:rPr>
        <w:t>“两学一做”学习教育</w:t>
      </w:r>
      <w:r>
        <w:rPr>
          <w:rFonts w:hint="eastAsia" w:ascii="仿宋_GB2312" w:eastAsia="仿宋_GB2312" w:cs="宋体"/>
          <w:color w:val="000000"/>
          <w:sz w:val="32"/>
          <w:szCs w:val="32"/>
        </w:rPr>
        <w:t>和作风整顿行动。进一步完善老干部部门的长效工作机制，继续加强业务学习，实行周例会周报告制度，加大信息宣传工作，努力建设学习型、和谐型、服务型机关，树立老干部工作部门新形象。</w:t>
      </w:r>
    </w:p>
    <w:p>
      <w:pPr>
        <w:spacing w:line="570" w:lineRule="exact"/>
        <w:ind w:left="198" w:firstLine="640"/>
        <w:jc w:val="left"/>
        <w:rPr>
          <w:rFonts w:ascii="仿宋_GB2312" w:eastAsia="仿宋_GB2312" w:cs="宋体"/>
          <w:color w:val="000000"/>
          <w:sz w:val="32"/>
          <w:szCs w:val="32"/>
        </w:rPr>
      </w:pPr>
      <w:r>
        <w:rPr>
          <w:rFonts w:hint="eastAsia" w:ascii="仿宋_GB2312" w:eastAsia="仿宋_GB2312" w:cs="宋体"/>
          <w:color w:val="000000"/>
          <w:sz w:val="32"/>
          <w:szCs w:val="32"/>
        </w:rPr>
        <w:t>面对当前新形势、新问题，如何更好的服务老干部，让老干部满意高兴、让政府放心，是摆在老干部工作者面前的一个重要课题。我们将</w:t>
      </w:r>
      <w:r>
        <w:rPr>
          <w:rFonts w:hint="eastAsia" w:ascii="仿宋_GB2312" w:eastAsia="仿宋_GB2312" w:cs="宋体"/>
          <w:color w:val="000000"/>
          <w:sz w:val="32"/>
          <w:szCs w:val="32"/>
          <w:lang w:eastAsia="zh-CN"/>
        </w:rPr>
        <w:t>再接再厉</w:t>
      </w:r>
      <w:r>
        <w:rPr>
          <w:rFonts w:hint="eastAsia" w:ascii="仿宋_GB2312" w:eastAsia="仿宋_GB2312" w:cs="宋体"/>
          <w:color w:val="000000"/>
          <w:sz w:val="32"/>
          <w:szCs w:val="32"/>
        </w:rPr>
        <w:t>，全面做好</w:t>
      </w:r>
      <w:r>
        <w:rPr>
          <w:rFonts w:ascii="仿宋_GB2312" w:eastAsia="仿宋_GB2312" w:cs="宋体"/>
          <w:color w:val="000000"/>
          <w:sz w:val="32"/>
          <w:szCs w:val="32"/>
        </w:rPr>
        <w:t>2018</w:t>
      </w:r>
      <w:r>
        <w:rPr>
          <w:rFonts w:hint="eastAsia" w:ascii="仿宋_GB2312" w:eastAsia="仿宋_GB2312" w:cs="宋体"/>
          <w:color w:val="000000"/>
          <w:sz w:val="32"/>
          <w:szCs w:val="32"/>
        </w:rPr>
        <w:t>年工作，把老干部服务工作做精做细，让领导放心，让老干部满意，推进各项工作再上新水平，努力实现“两个率先”奋斗目标，为实现广阳老干部工作事业又好又快发展做出新的更大贡献！</w:t>
      </w:r>
    </w:p>
    <w:p>
      <w:pPr>
        <w:widowControl/>
        <w:spacing w:line="570" w:lineRule="exact"/>
        <w:ind w:left="160" w:firstLine="480"/>
        <w:jc w:val="left"/>
        <w:rPr>
          <w:rFonts w:ascii="宋体" w:hAnsi="宋体" w:eastAsia="仿宋_GB2312" w:cs="宋体"/>
          <w:color w:val="000000"/>
          <w:sz w:val="32"/>
          <w:szCs w:val="32"/>
        </w:rPr>
      </w:pPr>
      <w:r>
        <w:rPr>
          <w:rFonts w:ascii="宋体" w:hAnsi="宋体" w:eastAsia="仿宋_GB2312" w:cs="宋体"/>
          <w:color w:val="000000"/>
          <w:sz w:val="32"/>
          <w:szCs w:val="32"/>
        </w:rPr>
        <w:t xml:space="preserve">                   </w:t>
      </w:r>
      <w:r>
        <w:rPr>
          <w:rFonts w:hint="eastAsia" w:ascii="仿宋_GB2312" w:eastAsia="仿宋_GB2312" w:cs="宋体"/>
          <w:b/>
          <w:bCs/>
          <w:color w:val="000000"/>
          <w:sz w:val="32"/>
          <w:szCs w:val="32"/>
        </w:rPr>
        <w:t>职责分类绩效目标：</w:t>
      </w:r>
    </w:p>
    <w:tbl>
      <w:tblPr>
        <w:tblStyle w:val="7"/>
        <w:tblW w:w="12779" w:type="dxa"/>
        <w:tblInd w:w="108" w:type="dxa"/>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Layout w:type="fixed"/>
        <w:tblCellMar>
          <w:top w:w="15" w:type="dxa"/>
          <w:left w:w="107" w:type="dxa"/>
          <w:bottom w:w="15" w:type="dxa"/>
          <w:right w:w="108" w:type="dxa"/>
        </w:tblCellMar>
      </w:tblPr>
      <w:tblGrid>
        <w:gridCol w:w="1261"/>
        <w:gridCol w:w="4318"/>
        <w:gridCol w:w="3240"/>
        <w:gridCol w:w="3960"/>
      </w:tblGrid>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61" w:type="dxa"/>
            <w:vAlign w:val="center"/>
          </w:tcPr>
          <w:p>
            <w:pPr>
              <w:spacing w:line="570" w:lineRule="exact"/>
              <w:ind w:firstLine="560"/>
              <w:rPr>
                <w:rFonts w:ascii="方正仿宋_GBK" w:eastAsia="方正仿宋_GBK"/>
                <w:sz w:val="28"/>
              </w:rPr>
            </w:pPr>
            <w:r>
              <w:rPr>
                <w:rFonts w:hint="eastAsia" w:ascii="方正仿宋_GBK" w:eastAsia="方正仿宋_GBK"/>
                <w:sz w:val="28"/>
              </w:rPr>
              <w:t>序号</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目标名称</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目标值及要求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目标责任人</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779" w:type="dxa"/>
            <w:gridSpan w:val="4"/>
            <w:tcBorders>
              <w:right w:val="single" w:color="000001" w:sz="6" w:space="0"/>
            </w:tcBorders>
            <w:vAlign w:val="center"/>
          </w:tcPr>
          <w:p>
            <w:pPr>
              <w:spacing w:line="570" w:lineRule="exact"/>
              <w:ind w:firstLine="560"/>
              <w:rPr>
                <w:rFonts w:ascii="方正仿宋_GBK" w:eastAsia="方正仿宋_GBK"/>
                <w:sz w:val="28"/>
              </w:rPr>
            </w:pPr>
            <w:r>
              <w:rPr>
                <w:rFonts w:hint="eastAsia" w:ascii="方正仿宋_GBK" w:eastAsia="方正仿宋_GBK"/>
                <w:sz w:val="28"/>
              </w:rPr>
              <w:t>共性目标</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1</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领导班子建设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董保国</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2</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干部队伍建设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董保国</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3</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党风廉政建设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高凤霞</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4</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精神文明建设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高凤霞</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779" w:type="dxa"/>
            <w:gridSpan w:val="4"/>
            <w:tcBorders>
              <w:right w:val="single" w:color="000001" w:sz="6" w:space="0"/>
            </w:tcBorders>
            <w:vAlign w:val="center"/>
          </w:tcPr>
          <w:p>
            <w:pPr>
              <w:spacing w:line="570" w:lineRule="exact"/>
              <w:ind w:firstLine="560"/>
              <w:rPr>
                <w:rFonts w:ascii="方正仿宋_GBK" w:eastAsia="方正仿宋_GBK"/>
                <w:sz w:val="28"/>
              </w:rPr>
            </w:pPr>
            <w:r>
              <w:rPr>
                <w:rFonts w:hint="eastAsia" w:ascii="方正仿宋_GBK" w:eastAsia="方正仿宋_GBK"/>
                <w:sz w:val="28"/>
              </w:rPr>
              <w:t>职能业务目标</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1</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机关建设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高凤霞</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2</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定期研讨全区老干部工作</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达到市区要求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董保国</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540"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3</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落实老干部政治、生活待遇</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石俊乔</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CellMar>
            <w:top w:w="15" w:type="dxa"/>
            <w:left w:w="107" w:type="dxa"/>
            <w:bottom w:w="15" w:type="dxa"/>
            <w:right w:w="108" w:type="dxa"/>
          </w:tblCellMar>
        </w:tblPrEx>
        <w:trPr>
          <w:trHeight w:val="840"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4</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发挥老干部作用</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搞好“十个一”活动</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石俊乔</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840"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5</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老体协组织建设</w:t>
            </w:r>
          </w:p>
          <w:p>
            <w:pPr>
              <w:spacing w:line="570" w:lineRule="exact"/>
              <w:ind w:firstLine="560"/>
              <w:rPr>
                <w:rFonts w:ascii="方正仿宋_GBK" w:eastAsia="方正仿宋_GBK"/>
                <w:sz w:val="28"/>
              </w:rPr>
            </w:pPr>
            <w:r>
              <w:rPr>
                <w:rFonts w:hint="eastAsia" w:ascii="方正仿宋_GBK" w:eastAsia="方正仿宋_GBK"/>
                <w:sz w:val="28"/>
              </w:rPr>
              <w:t>及老年体育活动</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石俊乔</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6</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建立乡镇、村街老年学校</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董保国</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7</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搞好活动中心建设</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高凤霞</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8</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搞好重大节日庆祝活动</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高凤霞</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840"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9</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老干部门诊部建设及医药费管理</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董保国</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10</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关心下一代工作</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张凯博</w:t>
            </w:r>
          </w:p>
        </w:tc>
      </w:tr>
      <w:tr>
        <w:tblPrEx>
          <w:tblBorders>
            <w:top w:val="single" w:color="00000A" w:sz="6" w:space="0"/>
            <w:left w:val="single" w:color="00000A" w:sz="6" w:space="0"/>
            <w:bottom w:val="single" w:color="00000A" w:sz="6" w:space="0"/>
            <w:right w:val="single" w:color="00000A" w:sz="6" w:space="0"/>
            <w:insideH w:val="single" w:color="00000A" w:sz="6" w:space="0"/>
            <w:insideV w:val="single" w:color="00000A" w:sz="6" w:space="0"/>
          </w:tblBorders>
        </w:tblPrEx>
        <w:trPr>
          <w:trHeight w:val="555" w:hRule="atLeast"/>
        </w:trPr>
        <w:tc>
          <w:tcPr>
            <w:tcW w:w="1261" w:type="dxa"/>
            <w:vAlign w:val="center"/>
          </w:tcPr>
          <w:p>
            <w:pPr>
              <w:spacing w:line="570" w:lineRule="exact"/>
              <w:ind w:firstLine="560"/>
              <w:rPr>
                <w:rFonts w:ascii="方正仿宋_GBK" w:eastAsia="方正仿宋_GBK"/>
                <w:sz w:val="28"/>
              </w:rPr>
            </w:pPr>
            <w:r>
              <w:rPr>
                <w:rFonts w:ascii="方正仿宋_GBK" w:eastAsia="方正仿宋_GBK"/>
                <w:sz w:val="28"/>
              </w:rPr>
              <w:t>11</w:t>
            </w:r>
          </w:p>
        </w:tc>
        <w:tc>
          <w:tcPr>
            <w:tcW w:w="4318" w:type="dxa"/>
            <w:vAlign w:val="center"/>
          </w:tcPr>
          <w:p>
            <w:pPr>
              <w:spacing w:line="570" w:lineRule="exact"/>
              <w:ind w:firstLine="560"/>
              <w:rPr>
                <w:rFonts w:ascii="方正仿宋_GBK" w:eastAsia="方正仿宋_GBK"/>
                <w:sz w:val="28"/>
              </w:rPr>
            </w:pPr>
            <w:r>
              <w:rPr>
                <w:rFonts w:hint="eastAsia" w:ascii="方正仿宋_GBK" w:eastAsia="方正仿宋_GBK"/>
                <w:sz w:val="28"/>
              </w:rPr>
              <w:t>发挥关协报告团作用</w:t>
            </w:r>
          </w:p>
        </w:tc>
        <w:tc>
          <w:tcPr>
            <w:tcW w:w="3240" w:type="dxa"/>
            <w:vAlign w:val="center"/>
          </w:tcPr>
          <w:p>
            <w:pPr>
              <w:spacing w:line="570" w:lineRule="exact"/>
              <w:ind w:firstLine="560"/>
              <w:rPr>
                <w:rFonts w:ascii="方正仿宋_GBK" w:eastAsia="方正仿宋_GBK"/>
                <w:sz w:val="28"/>
              </w:rPr>
            </w:pPr>
            <w:r>
              <w:rPr>
                <w:rFonts w:hint="eastAsia" w:ascii="方正仿宋_GBK" w:eastAsia="方正仿宋_GBK"/>
                <w:sz w:val="28"/>
              </w:rPr>
              <w:t>达到市要求</w:t>
            </w:r>
          </w:p>
        </w:tc>
        <w:tc>
          <w:tcPr>
            <w:tcW w:w="3960" w:type="dxa"/>
            <w:vAlign w:val="center"/>
          </w:tcPr>
          <w:p>
            <w:pPr>
              <w:spacing w:line="570" w:lineRule="exact"/>
              <w:ind w:firstLine="560"/>
              <w:rPr>
                <w:rFonts w:ascii="方正仿宋_GBK" w:eastAsia="方正仿宋_GBK"/>
                <w:sz w:val="28"/>
              </w:rPr>
            </w:pPr>
            <w:r>
              <w:rPr>
                <w:rFonts w:hint="eastAsia" w:ascii="方正仿宋_GBK" w:eastAsia="方正仿宋_GBK"/>
                <w:sz w:val="28"/>
              </w:rPr>
              <w:t>张凯博</w:t>
            </w:r>
          </w:p>
        </w:tc>
      </w:tr>
    </w:tbl>
    <w:p>
      <w:pPr>
        <w:jc w:val="center"/>
        <w:outlineLvl w:val="0"/>
        <w:rPr>
          <w:rFonts w:ascii="宋体" w:hAnsi="宋体" w:eastAsia="仿宋_GB2312" w:cs="宋体"/>
          <w:color w:val="000000"/>
          <w:sz w:val="32"/>
          <w:szCs w:val="32"/>
        </w:rPr>
      </w:pPr>
      <w:r>
        <w:rPr>
          <w:rFonts w:ascii="宋体" w:hAnsi="宋体" w:eastAsia="仿宋_GB2312" w:cs="宋体"/>
          <w:color w:val="000000"/>
          <w:sz w:val="32"/>
          <w:szCs w:val="32"/>
        </w:rPr>
        <w:t xml:space="preserve">        </w:t>
      </w:r>
    </w:p>
    <w:p>
      <w:pPr>
        <w:jc w:val="center"/>
        <w:outlineLvl w:val="0"/>
        <w:rPr>
          <w:rFonts w:ascii="宋体" w:hAnsi="宋体" w:eastAsia="仿宋_GB2312" w:cs="宋体"/>
          <w:color w:val="000000"/>
          <w:sz w:val="32"/>
          <w:szCs w:val="32"/>
        </w:rPr>
      </w:pPr>
    </w:p>
    <w:p>
      <w:pPr>
        <w:jc w:val="center"/>
        <w:outlineLvl w:val="0"/>
        <w:rPr>
          <w:rFonts w:ascii="宋体" w:hAnsi="宋体" w:eastAsia="仿宋_GB2312" w:cs="宋体"/>
          <w:color w:val="000000"/>
          <w:sz w:val="32"/>
          <w:szCs w:val="32"/>
        </w:rPr>
      </w:pPr>
    </w:p>
    <w:p>
      <w:pPr>
        <w:jc w:val="center"/>
        <w:outlineLvl w:val="0"/>
        <w:rPr>
          <w:rFonts w:hint="eastAsia" w:ascii="方正小标宋_GBK" w:eastAsia="方正小标宋_GBK"/>
          <w:sz w:val="32"/>
        </w:rPr>
      </w:pPr>
      <w:r>
        <w:rPr>
          <w:rFonts w:ascii="宋体" w:hAnsi="宋体" w:eastAsia="仿宋_GB2312" w:cs="宋体"/>
          <w:color w:val="000000"/>
          <w:sz w:val="32"/>
          <w:szCs w:val="32"/>
        </w:rPr>
        <w:t xml:space="preserve"> </w:t>
      </w:r>
      <w:bookmarkStart w:id="0" w:name="_Toc505077817"/>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540中国共产党廊坊市广阳区委员会老干部局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vMerge w:val="continue"/>
            <w:shd w:val="clear" w:color="auto" w:fill="auto"/>
            <w:vAlign w:val="center"/>
          </w:tcP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一、离退休干部政策及服务</w:t>
            </w:r>
          </w:p>
        </w:tc>
        <w:tc>
          <w:tcPr>
            <w:tcW w:w="12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333.00</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贯彻落实国家关于离退休干部的方针政策,组织落实离退休干部的政治、生活待遇</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保障离退休干部各项政策的落实</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1、落实老干部政治、生活待遇，服务管理离退休干部</w:t>
            </w:r>
          </w:p>
        </w:tc>
        <w:tc>
          <w:tcPr>
            <w:tcW w:w="12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333.00</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全面落实两项待遇，加强管理，提高服务水平</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让每位老干部感受到政治上的关心，生活上的爱护</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老干部比较满意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老干部基本满意</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老干部政治生活待遇保障率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落实</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基本落实</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2、老干部活动、组织建设</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组织老干部参加社会、文体及各项活动，加强老干部基层组织和党支部建设、发挥老干部及老年团体作用</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老干部日常生活、活动丰富充实</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老干部满意率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老干部比较满意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老干部基本满意</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二、老年活动阵地建设</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建设、管理、使用好老年活动阵地，并指导全市阵地建设</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完善老年阵地建设体系</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1、老年教育及关心下一代</w:t>
            </w:r>
          </w:p>
        </w:tc>
        <w:tc>
          <w:tcPr>
            <w:tcW w:w="1276" w:type="dxa"/>
            <w:vMerge w:val="restart"/>
            <w:shd w:val="clear" w:color="auto" w:fill="auto"/>
            <w:vAlign w:val="center"/>
          </w:tcPr>
          <w:p>
            <w:pPr>
              <w:spacing w:line="300" w:lineRule="exact"/>
              <w:jc w:val="left"/>
              <w:rPr>
                <w:rFonts w:hint="eastAsia" w:ascii="方正书宋_GBK" w:eastAsia="方正书宋_GBK"/>
              </w:rPr>
            </w:pP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贯彻执行老年教育和老干部工作方针，构建终身教育体系；开展全市关心下一代工作，组织老同志参加青少年教育工作</w:t>
            </w:r>
          </w:p>
        </w:tc>
        <w:tc>
          <w:tcPr>
            <w:tcW w:w="2976" w:type="dxa"/>
            <w:vMerge w:val="restart"/>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健全完善与经济社会发展相适应的老年教育体系，充分发挥老干部传帮带作用，传承优良作风，让下代健康成长</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开展青少年教育活动次数</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5次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3次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2次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0次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shd w:val="clear" w:color="auto" w:fill="auto"/>
            <w:vAlign w:val="center"/>
          </w:tcPr>
          <w:p/>
        </w:tc>
        <w:tc>
          <w:tcPr>
            <w:tcW w:w="1276" w:type="dxa"/>
            <w:vMerge w:val="continue"/>
            <w:shd w:val="clear" w:color="auto" w:fill="auto"/>
            <w:vAlign w:val="center"/>
          </w:tcPr>
          <w:p/>
        </w:tc>
        <w:tc>
          <w:tcPr>
            <w:tcW w:w="2976" w:type="dxa"/>
            <w:vMerge w:val="continue"/>
            <w:shd w:val="clear" w:color="auto" w:fill="auto"/>
            <w:vAlign w:val="center"/>
          </w:tcPr>
          <w:p/>
        </w:tc>
        <w:tc>
          <w:tcPr>
            <w:tcW w:w="2976" w:type="dxa"/>
            <w:vMerge w:val="continue"/>
            <w:shd w:val="clear" w:color="auto" w:fill="auto"/>
            <w:vAlign w:val="center"/>
          </w:tcP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老干部满意 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老干部比较满意</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老干部基本满意</w:t>
            </w: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三、综合事务管理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老干部管理服务设施维修改造、后勤保障、日常运转</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确保各项活动、工作正常运行</w:t>
            </w:r>
          </w:p>
        </w:tc>
        <w:tc>
          <w:tcPr>
            <w:tcW w:w="1417" w:type="dxa"/>
            <w:shd w:val="clear" w:color="auto" w:fill="auto"/>
            <w:vAlign w:val="center"/>
          </w:tcPr>
          <w:p>
            <w:pPr>
              <w:spacing w:line="300" w:lineRule="exact"/>
              <w:jc w:val="left"/>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c>
          <w:tcPr>
            <w:tcW w:w="737" w:type="dxa"/>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1、综合事务管理</w:t>
            </w:r>
          </w:p>
        </w:tc>
        <w:tc>
          <w:tcPr>
            <w:tcW w:w="1276" w:type="dxa"/>
            <w:shd w:val="clear" w:color="auto" w:fill="auto"/>
            <w:vAlign w:val="center"/>
          </w:tcPr>
          <w:p>
            <w:pPr>
              <w:spacing w:line="300" w:lineRule="exact"/>
              <w:jc w:val="left"/>
              <w:rPr>
                <w:rFonts w:hint="eastAsia" w:ascii="方正书宋_GBK" w:eastAsia="方正书宋_GBK"/>
              </w:rPr>
            </w:pP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离退休干部管理服务机构设施维修改造、后勤保障、日常运转</w:t>
            </w:r>
          </w:p>
        </w:tc>
        <w:tc>
          <w:tcPr>
            <w:tcW w:w="2976"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为老干部各项活动的顺利进行做好保障工作</w:t>
            </w:r>
          </w:p>
        </w:tc>
        <w:tc>
          <w:tcPr>
            <w:tcW w:w="1417" w:type="dxa"/>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保障完成率</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完成工作任务</w:t>
            </w:r>
          </w:p>
        </w:tc>
        <w:tc>
          <w:tcPr>
            <w:tcW w:w="737" w:type="dxa"/>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基本完成工作任务</w:t>
            </w:r>
          </w:p>
        </w:tc>
        <w:tc>
          <w:tcPr>
            <w:tcW w:w="737" w:type="dxa"/>
            <w:shd w:val="clear" w:color="auto" w:fill="auto"/>
            <w:vAlign w:val="center"/>
          </w:tcPr>
          <w:p>
            <w:pPr>
              <w:spacing w:line="300" w:lineRule="exact"/>
              <w:jc w:val="center"/>
              <w:rPr>
                <w:rFonts w:hint="eastAsia" w:ascii="方正书宋_GBK" w:eastAsia="方正书宋_GBK"/>
              </w:rPr>
            </w:pPr>
          </w:p>
        </w:tc>
      </w:tr>
    </w:tbl>
    <w:p>
      <w:pPr>
        <w:widowControl/>
        <w:spacing w:line="570" w:lineRule="exact"/>
        <w:jc w:val="left"/>
        <w:rPr>
          <w:rFonts w:ascii="仿宋_GB2312" w:eastAsia="仿宋_GB2312" w:cs="宋体"/>
          <w:color w:val="000000"/>
          <w:sz w:val="32"/>
          <w:szCs w:val="32"/>
        </w:rPr>
      </w:pPr>
      <w:r>
        <w:rPr>
          <w:rFonts w:ascii="宋体" w:hAnsi="宋体" w:eastAsia="仿宋_GB2312" w:cs="宋体"/>
          <w:color w:val="000000"/>
          <w:sz w:val="32"/>
          <w:szCs w:val="32"/>
        </w:rPr>
        <w:t xml:space="preserve">     </w:t>
      </w:r>
      <w:r>
        <w:rPr>
          <w:rFonts w:ascii="黑体" w:eastAsia="黑体" w:cs="宋体"/>
          <w:b/>
          <w:bCs/>
          <w:color w:val="000000"/>
          <w:sz w:val="32"/>
          <w:szCs w:val="32"/>
        </w:rPr>
        <w:br w:type="page"/>
      </w:r>
      <w:r>
        <w:rPr>
          <w:rFonts w:hint="eastAsia" w:ascii="黑体" w:eastAsia="黑体" w:cs="宋体"/>
          <w:b/>
          <w:bCs/>
          <w:color w:val="000000"/>
          <w:sz w:val="32"/>
          <w:szCs w:val="32"/>
        </w:rPr>
        <w:t>六、政府采购预算情况</w:t>
      </w:r>
      <w:r>
        <w:rPr>
          <w:rFonts w:ascii="黑体" w:eastAsia="黑体" w:cs="宋体"/>
          <w:color w:val="000000"/>
          <w:sz w:val="32"/>
          <w:szCs w:val="32"/>
        </w:rPr>
        <w:br w:type="textWrapping"/>
      </w:r>
      <w:r>
        <w:rPr>
          <w:rFonts w:ascii="宋体" w:hAnsi="宋体" w:eastAsia="仿宋_GB2312" w:cs="宋体"/>
          <w:color w:val="000000"/>
          <w:sz w:val="32"/>
          <w:szCs w:val="32"/>
        </w:rPr>
        <w:t xml:space="preserve">   </w:t>
      </w:r>
      <w:r>
        <w:rPr>
          <w:rFonts w:ascii="仿宋_GB2312" w:eastAsia="仿宋_GB2312" w:cs="宋体"/>
          <w:color w:val="000000"/>
          <w:sz w:val="32"/>
          <w:szCs w:val="32"/>
        </w:rPr>
        <w:t>2018</w:t>
      </w:r>
      <w:r>
        <w:rPr>
          <w:rFonts w:hint="eastAsia" w:ascii="仿宋_GB2312" w:eastAsia="仿宋_GB2312" w:cs="宋体"/>
          <w:color w:val="000000"/>
          <w:sz w:val="32"/>
          <w:szCs w:val="32"/>
        </w:rPr>
        <w:t>年，我部门无安排政府采购预算。</w:t>
      </w:r>
    </w:p>
    <w:tbl>
      <w:tblPr>
        <w:tblStyle w:val="7"/>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宋体"/>
                <w:color w:val="000000"/>
                <w:sz w:val="32"/>
                <w:szCs w:val="32"/>
                <w:lang w:val="en-US" w:eastAsia="zh-CN"/>
              </w:rPr>
              <w:t>540</w:t>
            </w:r>
            <w:r>
              <w:rPr>
                <w:rFonts w:hint="eastAsia" w:ascii="仿宋_GB2312" w:eastAsia="仿宋_GB2312" w:cs="宋体"/>
                <w:color w:val="000000"/>
                <w:sz w:val="32"/>
                <w:szCs w:val="32"/>
              </w:rPr>
              <w:t>廊坊市广阳区老干部局</w:t>
            </w:r>
          </w:p>
        </w:tc>
        <w:tc>
          <w:tcPr>
            <w:tcW w:w="5796"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1"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7"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776"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787" w:type="dxa"/>
            <w:vAlign w:val="center"/>
          </w:tcPr>
          <w:p>
            <w:pPr>
              <w:spacing w:line="57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271" w:type="dxa"/>
            <w:vAlign w:val="center"/>
          </w:tcPr>
          <w:p>
            <w:pPr>
              <w:spacing w:line="570" w:lineRule="exact"/>
              <w:jc w:val="center"/>
              <w:rPr>
                <w:rFonts w:ascii="仿宋_GB2312" w:eastAsia="仿宋_GB2312" w:cs="Times New Roman"/>
                <w:sz w:val="28"/>
                <w:szCs w:val="28"/>
              </w:rPr>
            </w:pPr>
          </w:p>
        </w:tc>
        <w:tc>
          <w:tcPr>
            <w:tcW w:w="1013"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1327"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34" w:type="dxa"/>
            <w:vAlign w:val="center"/>
          </w:tcPr>
          <w:p>
            <w:pPr>
              <w:spacing w:line="570" w:lineRule="exact"/>
              <w:jc w:val="center"/>
              <w:rPr>
                <w:rFonts w:ascii="仿宋_GB2312" w:eastAsia="仿宋_GB2312" w:cs="Times New Roman"/>
                <w:sz w:val="28"/>
                <w:szCs w:val="28"/>
              </w:rPr>
            </w:pPr>
          </w:p>
        </w:tc>
        <w:tc>
          <w:tcPr>
            <w:tcW w:w="856"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853" w:type="dxa"/>
            <w:vAlign w:val="center"/>
          </w:tcPr>
          <w:p>
            <w:pPr>
              <w:spacing w:line="570" w:lineRule="exact"/>
              <w:jc w:val="center"/>
              <w:rPr>
                <w:rFonts w:ascii="仿宋_GB2312" w:eastAsia="仿宋_GB2312" w:cs="Times New Roman"/>
                <w:sz w:val="28"/>
                <w:szCs w:val="28"/>
              </w:rPr>
            </w:pPr>
          </w:p>
        </w:tc>
        <w:tc>
          <w:tcPr>
            <w:tcW w:w="776"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837" w:type="dxa"/>
            <w:vAlign w:val="center"/>
          </w:tcPr>
          <w:p>
            <w:pPr>
              <w:spacing w:line="570" w:lineRule="exact"/>
              <w:jc w:val="center"/>
              <w:rPr>
                <w:rFonts w:ascii="仿宋_GB2312" w:eastAsia="仿宋_GB2312" w:cs="Times New Roman"/>
                <w:sz w:val="28"/>
                <w:szCs w:val="28"/>
              </w:rPr>
            </w:pPr>
          </w:p>
        </w:tc>
        <w:tc>
          <w:tcPr>
            <w:tcW w:w="787" w:type="dxa"/>
            <w:vAlign w:val="center"/>
          </w:tcPr>
          <w:p>
            <w:pPr>
              <w:spacing w:line="570" w:lineRule="exact"/>
              <w:jc w:val="center"/>
              <w:rPr>
                <w:rFonts w:ascii="仿宋_GB2312" w:eastAsia="仿宋_GB2312" w:cs="Times New Roman"/>
                <w:sz w:val="28"/>
                <w:szCs w:val="28"/>
              </w:rPr>
            </w:pPr>
          </w:p>
        </w:tc>
      </w:tr>
    </w:tbl>
    <w:p>
      <w:pPr>
        <w:widowControl/>
        <w:spacing w:line="570" w:lineRule="exact"/>
        <w:jc w:val="left"/>
        <w:rPr>
          <w:rFonts w:ascii="仿宋_GB2312" w:eastAsia="仿宋_GB2312" w:cs="宋体"/>
          <w:b/>
          <w:bCs/>
          <w:color w:val="000000"/>
          <w:sz w:val="32"/>
          <w:szCs w:val="32"/>
        </w:rPr>
      </w:pPr>
    </w:p>
    <w:p>
      <w:pPr>
        <w:widowControl/>
        <w:spacing w:line="570" w:lineRule="exact"/>
        <w:ind w:left="480" w:hanging="482" w:hangingChars="150"/>
        <w:jc w:val="left"/>
        <w:rPr>
          <w:rFonts w:ascii="仿宋_GB2312" w:eastAsia="仿宋_GB2312" w:cs="宋体"/>
          <w:color w:val="000000"/>
          <w:sz w:val="32"/>
          <w:szCs w:val="32"/>
        </w:rPr>
      </w:pPr>
      <w:r>
        <w:rPr>
          <w:rFonts w:hint="eastAsia" w:ascii="黑体" w:eastAsia="黑体" w:cs="宋体"/>
          <w:b/>
          <w:bCs/>
          <w:color w:val="000000"/>
          <w:sz w:val="32"/>
          <w:szCs w:val="32"/>
        </w:rPr>
        <w:t>七、国有资产信息</w:t>
      </w:r>
      <w:r>
        <w:rPr>
          <w:rFonts w:ascii="黑体" w:eastAsia="黑体" w:cs="宋体"/>
          <w:color w:val="00000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广阳区老干部局</w:t>
      </w:r>
      <w:r>
        <w:rPr>
          <w:rFonts w:ascii="Times New Roman" w:hAnsi="Times New Roman" w:eastAsia="仿宋_GB2312" w:cs="Times New Roman"/>
          <w:sz w:val="32"/>
          <w:szCs w:val="32"/>
        </w:rPr>
        <w:t>（含所属单位）</w:t>
      </w:r>
      <w:r>
        <w:rPr>
          <w:rFonts w:hint="eastAsia" w:ascii="仿宋_GB2312" w:eastAsia="仿宋_GB2312" w:cs="宋体"/>
          <w:color w:val="000000"/>
          <w:sz w:val="32"/>
          <w:szCs w:val="32"/>
        </w:rPr>
        <w:t>上年末固定资产金额为</w:t>
      </w:r>
      <w:r>
        <w:rPr>
          <w:rFonts w:ascii="仿宋_GB2312" w:eastAsia="仿宋_GB2312" w:cs="宋体"/>
          <w:color w:val="000000"/>
          <w:sz w:val="32"/>
          <w:szCs w:val="32"/>
        </w:rPr>
        <w:t>214.34</w:t>
      </w:r>
      <w:r>
        <w:rPr>
          <w:rFonts w:hint="eastAsia" w:ascii="仿宋_GB2312" w:eastAsia="仿宋_GB2312" w:cs="宋体"/>
          <w:color w:val="000000"/>
          <w:sz w:val="32"/>
          <w:szCs w:val="32"/>
        </w:rPr>
        <w:t>万元，我部门本年度无拟购置固定资产。</w:t>
      </w:r>
    </w:p>
    <w:tbl>
      <w:tblPr>
        <w:tblStyle w:val="7"/>
        <w:tblW w:w="1240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0"/>
        <w:gridCol w:w="2463"/>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jc w:val="center"/>
        </w:trPr>
        <w:tc>
          <w:tcPr>
            <w:tcW w:w="12403" w:type="dxa"/>
            <w:gridSpan w:val="3"/>
            <w:vAlign w:val="center"/>
          </w:tcPr>
          <w:p>
            <w:pPr>
              <w:widowControl/>
              <w:spacing w:line="570" w:lineRule="exact"/>
              <w:jc w:val="center"/>
              <w:rPr>
                <w:rFonts w:ascii="仿宋_GB2312" w:eastAsia="仿宋_GB2312" w:cs="宋体"/>
                <w:sz w:val="28"/>
                <w:szCs w:val="28"/>
              </w:rPr>
            </w:pPr>
            <w:r>
              <w:rPr>
                <w:rFonts w:ascii="宋体" w:hAnsi="宋体" w:eastAsia="仿宋_GB2312" w:cs="宋体"/>
                <w:sz w:val="28"/>
                <w:szCs w:val="28"/>
              </w:rPr>
              <w:t> </w:t>
            </w:r>
            <w:r>
              <w:rPr>
                <w:rFonts w:hint="eastAsia" w:ascii="仿宋_GB2312" w:eastAsia="仿宋_GB2312" w:cs="宋体"/>
                <w:b/>
                <w:bCs/>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7263" w:type="dxa"/>
            <w:gridSpan w:val="2"/>
            <w:vAlign w:val="center"/>
          </w:tcPr>
          <w:p>
            <w:pPr>
              <w:widowControl/>
              <w:spacing w:line="570" w:lineRule="exact"/>
              <w:jc w:val="center"/>
              <w:rPr>
                <w:rFonts w:ascii="仿宋_GB2312" w:eastAsia="仿宋_GB2312" w:cs="宋体"/>
                <w:sz w:val="28"/>
                <w:szCs w:val="28"/>
              </w:rPr>
            </w:pPr>
            <w:r>
              <w:rPr>
                <w:rFonts w:hint="eastAsia" w:ascii="仿宋_GB2312" w:eastAsia="仿宋_GB2312" w:cs="宋体"/>
                <w:sz w:val="28"/>
                <w:szCs w:val="28"/>
              </w:rPr>
              <w:t>编制部门：</w:t>
            </w:r>
            <w:r>
              <w:rPr>
                <w:rFonts w:hint="eastAsia" w:ascii="仿宋_GB2312" w:eastAsia="仿宋_GB2312" w:cs="宋体"/>
                <w:sz w:val="28"/>
                <w:szCs w:val="28"/>
                <w:lang w:val="en-US" w:eastAsia="zh-CN"/>
              </w:rPr>
              <w:t>540</w:t>
            </w:r>
            <w:r>
              <w:rPr>
                <w:rFonts w:hint="eastAsia" w:ascii="仿宋_GB2312" w:eastAsia="仿宋_GB2312" w:cs="宋体"/>
                <w:b/>
                <w:bCs/>
                <w:sz w:val="28"/>
                <w:szCs w:val="28"/>
              </w:rPr>
              <w:t>廊坊市广阳区老干部局</w:t>
            </w:r>
          </w:p>
        </w:tc>
        <w:tc>
          <w:tcPr>
            <w:tcW w:w="5140" w:type="dxa"/>
            <w:vAlign w:val="center"/>
          </w:tcPr>
          <w:p>
            <w:pPr>
              <w:widowControl/>
              <w:spacing w:line="570" w:lineRule="exact"/>
              <w:jc w:val="center"/>
              <w:rPr>
                <w:rFonts w:ascii="宋体" w:hAnsi="宋体" w:eastAsia="仿宋_GB2312" w:cs="宋体"/>
                <w:sz w:val="28"/>
                <w:szCs w:val="28"/>
              </w:rPr>
            </w:pPr>
            <w:r>
              <w:rPr>
                <w:rFonts w:hint="eastAsia" w:ascii="仿宋_GB2312" w:eastAsia="仿宋_GB2312" w:cs="宋体"/>
                <w:sz w:val="28"/>
                <w:szCs w:val="28"/>
              </w:rPr>
              <w:t>截止时间：</w:t>
            </w:r>
            <w:r>
              <w:rPr>
                <w:rFonts w:ascii="仿宋_GB2312" w:eastAsia="仿宋_GB2312" w:cs="宋体"/>
                <w:sz w:val="28"/>
                <w:szCs w:val="28"/>
              </w:rPr>
              <w:t>2017</w:t>
            </w:r>
            <w:r>
              <w:rPr>
                <w:rFonts w:hint="eastAsia" w:ascii="仿宋_GB2312" w:eastAsia="仿宋_GB2312" w:cs="宋体"/>
                <w:sz w:val="28"/>
                <w:szCs w:val="28"/>
              </w:rPr>
              <w:t>年</w:t>
            </w:r>
            <w:r>
              <w:rPr>
                <w:rFonts w:ascii="仿宋_GB2312" w:eastAsia="仿宋_GB2312" w:cs="宋体"/>
                <w:sz w:val="28"/>
                <w:szCs w:val="28"/>
              </w:rPr>
              <w:t>12</w:t>
            </w:r>
            <w:r>
              <w:rPr>
                <w:rFonts w:hint="eastAsia" w:ascii="仿宋_GB2312" w:eastAsia="仿宋_GB2312" w:cs="宋体"/>
                <w:sz w:val="28"/>
                <w:szCs w:val="28"/>
              </w:rPr>
              <w:t>月</w:t>
            </w:r>
            <w:r>
              <w:rPr>
                <w:rFonts w:ascii="仿宋_GB2312" w:eastAsia="仿宋_GB2312" w:cs="宋体"/>
                <w:sz w:val="28"/>
                <w:szCs w:val="28"/>
              </w:rPr>
              <w:t>31</w:t>
            </w:r>
            <w:r>
              <w:rPr>
                <w:rFonts w:hint="eastAsia" w:ascii="仿宋_GB2312" w:eastAsia="仿宋_GB2312" w:cs="宋体"/>
                <w:sz w:val="28"/>
                <w:szCs w:val="28"/>
              </w:rPr>
              <w:t>日</w:t>
            </w:r>
            <w:r>
              <w:rPr>
                <w:rFonts w:ascii="宋体" w:hAnsi="宋体" w:eastAsia="仿宋_GB2312" w:cs="宋体"/>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hint="eastAsia" w:ascii="仿宋_GB2312" w:eastAsia="仿宋_GB2312" w:cs="宋体"/>
                <w:b/>
                <w:bCs/>
                <w:sz w:val="28"/>
                <w:szCs w:val="28"/>
              </w:rPr>
              <w:t>项</w:t>
            </w:r>
            <w:r>
              <w:rPr>
                <w:rFonts w:ascii="宋体" w:hAnsi="宋体" w:eastAsia="仿宋_GB2312" w:cs="宋体"/>
                <w:b/>
                <w:bCs/>
                <w:sz w:val="28"/>
                <w:szCs w:val="28"/>
              </w:rPr>
              <w:t xml:space="preserve">   </w:t>
            </w:r>
            <w:r>
              <w:rPr>
                <w:rFonts w:hint="eastAsia" w:ascii="仿宋_GB2312" w:eastAsia="仿宋_GB2312" w:cs="宋体"/>
                <w:b/>
                <w:bCs/>
                <w:sz w:val="28"/>
                <w:szCs w:val="28"/>
              </w:rPr>
              <w:t>目</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hint="eastAsia" w:ascii="仿宋_GB2312" w:eastAsia="仿宋_GB2312" w:cs="宋体"/>
                <w:b/>
                <w:bCs/>
                <w:sz w:val="28"/>
                <w:szCs w:val="28"/>
              </w:rPr>
              <w:t>数量</w:t>
            </w: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hint="eastAsia" w:ascii="仿宋_GB2312" w:eastAsia="仿宋_GB2312" w:cs="宋体"/>
                <w:b/>
                <w:bCs/>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hint="eastAsia" w:ascii="仿宋_GB2312" w:eastAsia="仿宋_GB2312" w:cs="宋体"/>
                <w:sz w:val="28"/>
                <w:szCs w:val="28"/>
              </w:rPr>
              <w:t>资产总额</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214.34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w:t>
            </w:r>
            <w:r>
              <w:rPr>
                <w:rFonts w:hint="eastAsia" w:ascii="仿宋_GB2312" w:eastAsia="仿宋_GB2312" w:cs="宋体"/>
                <w:sz w:val="28"/>
                <w:szCs w:val="28"/>
              </w:rPr>
              <w:t>、房屋（平方米）</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1853</w:t>
            </w: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宋体" w:hAnsi="宋体" w:eastAsia="仿宋_GB2312" w:cs="宋体"/>
                <w:sz w:val="28"/>
                <w:szCs w:val="28"/>
              </w:rPr>
              <w:t xml:space="preserve">   </w:t>
            </w:r>
            <w:r>
              <w:rPr>
                <w:rFonts w:hint="eastAsia" w:ascii="仿宋_GB2312" w:eastAsia="仿宋_GB2312" w:cs="宋体"/>
                <w:sz w:val="28"/>
                <w:szCs w:val="28"/>
              </w:rPr>
              <w:t>其中：办公用房（平方米）</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1853</w:t>
            </w: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2</w:t>
            </w:r>
            <w:r>
              <w:rPr>
                <w:rFonts w:hint="eastAsia" w:ascii="仿宋_GB2312" w:eastAsia="仿宋_GB2312" w:cs="宋体"/>
                <w:sz w:val="28"/>
                <w:szCs w:val="28"/>
              </w:rPr>
              <w:t>、车辆（台、辆）</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w:t>
            </w: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3</w:t>
            </w:r>
            <w:r>
              <w:rPr>
                <w:rFonts w:hint="eastAsia" w:ascii="仿宋_GB2312" w:eastAsia="仿宋_GB2312" w:cs="宋体"/>
                <w:sz w:val="28"/>
                <w:szCs w:val="28"/>
              </w:rPr>
              <w:t>、单价在</w:t>
            </w:r>
            <w:r>
              <w:rPr>
                <w:rFonts w:ascii="仿宋_GB2312" w:eastAsia="仿宋_GB2312" w:cs="宋体"/>
                <w:sz w:val="28"/>
                <w:szCs w:val="28"/>
              </w:rPr>
              <w:t>50</w:t>
            </w:r>
            <w:r>
              <w:rPr>
                <w:rFonts w:hint="eastAsia" w:ascii="仿宋_GB2312" w:eastAsia="仿宋_GB2312" w:cs="宋体"/>
                <w:sz w:val="28"/>
                <w:szCs w:val="28"/>
              </w:rPr>
              <w:t>万元以上的设备</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jc w:val="center"/>
        </w:trPr>
        <w:tc>
          <w:tcPr>
            <w:tcW w:w="480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4</w:t>
            </w:r>
            <w:r>
              <w:rPr>
                <w:rFonts w:hint="eastAsia" w:ascii="仿宋_GB2312" w:eastAsia="仿宋_GB2312" w:cs="宋体"/>
                <w:sz w:val="28"/>
                <w:szCs w:val="28"/>
              </w:rPr>
              <w:t>、其他固定资产</w:t>
            </w:r>
          </w:p>
        </w:tc>
        <w:tc>
          <w:tcPr>
            <w:tcW w:w="2463"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宋体" w:hAnsi="宋体" w:eastAsia="仿宋_GB2312" w:cs="宋体"/>
                <w:sz w:val="28"/>
                <w:szCs w:val="28"/>
              </w:rPr>
            </w:pPr>
          </w:p>
        </w:tc>
        <w:tc>
          <w:tcPr>
            <w:tcW w:w="5140" w:type="dxa"/>
            <w:tcBorders>
              <w:top w:val="single" w:color="00000A" w:sz="4" w:space="0"/>
              <w:left w:val="single" w:color="00000A" w:sz="4" w:space="0"/>
              <w:bottom w:val="single" w:color="00000A" w:sz="4" w:space="0"/>
              <w:right w:val="single" w:color="00000A" w:sz="4" w:space="0"/>
            </w:tcBorders>
            <w:vAlign w:val="center"/>
          </w:tcPr>
          <w:p>
            <w:pPr>
              <w:widowControl/>
              <w:spacing w:line="570" w:lineRule="exact"/>
              <w:jc w:val="center"/>
              <w:rPr>
                <w:rFonts w:ascii="仿宋_GB2312" w:eastAsia="仿宋_GB2312" w:cs="宋体"/>
                <w:sz w:val="28"/>
                <w:szCs w:val="28"/>
              </w:rPr>
            </w:pPr>
            <w:r>
              <w:rPr>
                <w:rFonts w:ascii="仿宋_GB2312" w:eastAsia="仿宋_GB2312" w:cs="宋体"/>
                <w:sz w:val="28"/>
                <w:szCs w:val="28"/>
              </w:rPr>
              <w:t>15.66</w:t>
            </w:r>
          </w:p>
        </w:tc>
      </w:tr>
    </w:tbl>
    <w:p>
      <w:pPr>
        <w:pStyle w:val="26"/>
        <w:spacing w:line="570" w:lineRule="exact"/>
        <w:rPr>
          <w:rFonts w:ascii="黑体" w:eastAsia="黑体" w:cs="宋体"/>
          <w:b/>
          <w:bCs/>
          <w:sz w:val="32"/>
          <w:szCs w:val="32"/>
        </w:rPr>
      </w:pPr>
    </w:p>
    <w:p>
      <w:pPr>
        <w:pStyle w:val="26"/>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26"/>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26"/>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26"/>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26"/>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26"/>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ind w:left="643" w:hanging="643" w:hangingChars="200"/>
        <w:jc w:val="left"/>
        <w:rPr>
          <w:rFonts w:ascii="宋体" w:hAnsi="宋体" w:eastAsia="仿宋_GB2312" w:cs="宋体"/>
          <w:color w:val="000000"/>
          <w:sz w:val="32"/>
          <w:szCs w:val="32"/>
        </w:rPr>
      </w:pPr>
      <w:r>
        <w:rPr>
          <w:rFonts w:hint="eastAsia" w:ascii="黑体" w:eastAsia="黑体" w:cs="宋体"/>
          <w:b/>
          <w:bCs/>
          <w:color w:val="000000"/>
          <w:sz w:val="32"/>
          <w:szCs w:val="32"/>
        </w:rPr>
        <w:t>九、其</w:t>
      </w:r>
      <w:r>
        <w:rPr>
          <w:rFonts w:hint="eastAsia" w:ascii="黑体" w:eastAsia="黑体" w:cs="宋体"/>
          <w:b/>
          <w:bCs/>
          <w:color w:val="000000"/>
          <w:sz w:val="32"/>
          <w:szCs w:val="32"/>
          <w:lang w:eastAsia="zh-CN"/>
        </w:rPr>
        <w:t>他</w:t>
      </w:r>
      <w:r>
        <w:rPr>
          <w:rFonts w:hint="eastAsia" w:ascii="黑体" w:eastAsia="黑体" w:cs="宋体"/>
          <w:b/>
          <w:bCs/>
          <w:color w:val="000000"/>
          <w:sz w:val="32"/>
          <w:szCs w:val="32"/>
        </w:rPr>
        <w:t>需要说明的事项</w:t>
      </w:r>
      <w:r>
        <w:rPr>
          <w:rFonts w:ascii="黑体" w:eastAsia="黑体" w:cs="宋体"/>
          <w:color w:val="000000"/>
          <w:sz w:val="32"/>
          <w:szCs w:val="32"/>
        </w:rPr>
        <w:br w:type="textWrapping"/>
      </w:r>
      <w:r>
        <w:rPr>
          <w:rFonts w:hint="eastAsia" w:ascii="仿宋_GB2312" w:eastAsia="仿宋_GB2312" w:cs="宋体"/>
          <w:color w:val="000000"/>
          <w:sz w:val="32"/>
          <w:szCs w:val="32"/>
        </w:rPr>
        <w:t>无其</w:t>
      </w:r>
      <w:r>
        <w:rPr>
          <w:rFonts w:hint="eastAsia" w:ascii="仿宋_GB2312" w:eastAsia="仿宋_GB2312" w:cs="宋体"/>
          <w:color w:val="000000"/>
          <w:sz w:val="32"/>
          <w:szCs w:val="32"/>
          <w:lang w:eastAsia="zh-CN"/>
        </w:rPr>
        <w:t>他</w:t>
      </w:r>
      <w:r>
        <w:rPr>
          <w:rFonts w:hint="eastAsia" w:ascii="仿宋_GB2312" w:eastAsia="仿宋_GB2312" w:cs="宋体"/>
          <w:color w:val="000000"/>
          <w:sz w:val="32"/>
          <w:szCs w:val="32"/>
        </w:rPr>
        <w:t>需要说明的事项。</w:t>
      </w:r>
      <w:r>
        <w:rPr>
          <w:rFonts w:ascii="仿宋_GB2312" w:eastAsia="仿宋_GB2312" w:cs="宋体"/>
          <w:color w:val="000000"/>
          <w:sz w:val="32"/>
          <w:szCs w:val="32"/>
        </w:rPr>
        <w:br w:type="textWrapping"/>
      </w:r>
      <w:r>
        <w:rPr>
          <w:rFonts w:ascii="宋体" w:hAnsi="宋体" w:eastAsia="仿宋_GB2312" w:cs="宋体"/>
          <w:color w:val="000000"/>
          <w:sz w:val="32"/>
          <w:szCs w:val="32"/>
        </w:rPr>
        <w:t> </w:t>
      </w:r>
    </w:p>
    <w:p/>
    <w:sectPr>
      <w:pgSz w:w="16838" w:h="11906" w:orient="landscape"/>
      <w:pgMar w:top="1440" w:right="1800" w:bottom="1440" w:left="1800" w:header="0"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roman"/>
    <w:pitch w:val="default"/>
    <w:sig w:usb0="00000001" w:usb1="080E0000" w:usb2="0000000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3F786B"/>
    <w:multiLevelType w:val="multilevel"/>
    <w:tmpl w:val="383F786B"/>
    <w:lvl w:ilvl="0" w:tentative="0">
      <w:start w:val="1"/>
      <w:numFmt w:val="chineseCountingThousand"/>
      <w:lvlText w:val="%1、"/>
      <w:lvlJc w:val="left"/>
      <w:pPr>
        <w:tabs>
          <w:tab w:val="left" w:pos="647"/>
        </w:tabs>
        <w:ind w:left="647" w:hanging="647"/>
      </w:pPr>
      <w:rPr>
        <w:rFonts w:ascii="仿宋_GB2312" w:hAnsi="仿宋_GB2312" w:eastAsia="黑体" w:cs="Times New Roman"/>
        <w:b/>
        <w:sz w:val="32"/>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1"/>
  <w:noLineBreaksAfter w:lang="zh-CN" w:val="$([{£¥·‘“〈《「『【〔〖〝﹙﹛﹝＄（．［｛￡￥"/>
  <w:noLineBreaksBefore w:lang="zh-CN" w:val="!%),.:;&gt;?]}¢¨°·ˇˉ―‖’”…‰′″›℃∶、。〃〉》」』】〕〗〞︶︺︾﹀﹄﹚﹜﹞！＂％＇），．：；？］｀｜｝～￠"/>
  <w:compat>
    <w:spaceForUL/>
    <w:growAutofit/>
    <w:useFELayout/>
    <w:useAltKinsokuLineBreakRules/>
    <w:splitPgBreakAndParaMark/>
    <w:compatSetting w:name="compatibilityMode" w:uri="http://schemas.microsoft.com/office/word" w:val="14"/>
  </w:compat>
  <w:rsids>
    <w:rsidRoot w:val="00000000"/>
    <w:rsid w:val="13036C5A"/>
    <w:rsid w:val="22AC558F"/>
    <w:rsid w:val="2F886598"/>
    <w:rsid w:val="46BB793A"/>
    <w:rsid w:val="7A685036"/>
    <w:rsid w:val="7F5920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0"/>
      <w:sz w:val="21"/>
      <w:szCs w:val="22"/>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caption"/>
    <w:basedOn w:val="1"/>
    <w:next w:val="1"/>
    <w:qFormat/>
    <w:uiPriority w:val="0"/>
    <w:pPr>
      <w:widowControl w:val="0"/>
      <w:suppressLineNumbers/>
      <w:spacing w:before="120" w:after="120"/>
    </w:pPr>
    <w:rPr>
      <w:rFonts w:cs="Mangal"/>
      <w:i/>
      <w:iCs/>
      <w:sz w:val="24"/>
      <w:szCs w:val="24"/>
    </w:rPr>
  </w:style>
  <w:style w:type="paragraph" w:styleId="3">
    <w:name w:val="Body Text"/>
    <w:basedOn w:val="1"/>
    <w:qFormat/>
    <w:uiPriority w:val="0"/>
    <w:pPr>
      <w:spacing w:after="140" w:line="288" w:lineRule="auto"/>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00000A" w:sz="6" w:space="1"/>
      </w:pBdr>
      <w:tabs>
        <w:tab w:val="center" w:pos="4153"/>
        <w:tab w:val="right" w:pos="8306"/>
      </w:tabs>
      <w:snapToGrid w:val="0"/>
      <w:jc w:val="center"/>
    </w:pPr>
    <w:rPr>
      <w:sz w:val="18"/>
      <w:szCs w:val="18"/>
    </w:rPr>
  </w:style>
  <w:style w:type="paragraph" w:styleId="6">
    <w:name w:val="List"/>
    <w:basedOn w:val="3"/>
    <w:qFormat/>
    <w:uiPriority w:val="0"/>
    <w:rPr>
      <w:rFonts w:cs="Mangal"/>
    </w:rPr>
  </w:style>
  <w:style w:type="character" w:styleId="9">
    <w:name w:val="Strong"/>
    <w:basedOn w:val="8"/>
    <w:qFormat/>
    <w:uiPriority w:val="0"/>
    <w:rPr>
      <w:rFonts w:cs="Times New Roman"/>
      <w:b/>
      <w:bCs/>
    </w:rPr>
  </w:style>
  <w:style w:type="character" w:customStyle="1" w:styleId="10">
    <w:name w:val="ListLabel 1"/>
    <w:qFormat/>
    <w:uiPriority w:val="0"/>
    <w:rPr>
      <w:rFonts w:ascii="仿宋_GB2312" w:hAnsi="仿宋_GB2312" w:eastAsia="黑体"/>
      <w:b/>
      <w:sz w:val="32"/>
    </w:rPr>
  </w:style>
  <w:style w:type="character" w:customStyle="1" w:styleId="11">
    <w:name w:val="ListLabel 2"/>
    <w:qFormat/>
    <w:uiPriority w:val="0"/>
  </w:style>
  <w:style w:type="character" w:customStyle="1" w:styleId="12">
    <w:name w:val="ListLabel 3"/>
    <w:qFormat/>
    <w:uiPriority w:val="0"/>
  </w:style>
  <w:style w:type="character" w:customStyle="1" w:styleId="13">
    <w:name w:val="ListLabel 4"/>
    <w:qFormat/>
    <w:uiPriority w:val="0"/>
  </w:style>
  <w:style w:type="character" w:customStyle="1" w:styleId="14">
    <w:name w:val="ListLabel 5"/>
    <w:qFormat/>
    <w:uiPriority w:val="0"/>
  </w:style>
  <w:style w:type="character" w:customStyle="1" w:styleId="15">
    <w:name w:val="ListLabel 6"/>
    <w:qFormat/>
    <w:uiPriority w:val="0"/>
  </w:style>
  <w:style w:type="character" w:customStyle="1" w:styleId="16">
    <w:name w:val="ListLabel 7"/>
    <w:qFormat/>
    <w:uiPriority w:val="0"/>
  </w:style>
  <w:style w:type="character" w:customStyle="1" w:styleId="17">
    <w:name w:val="ListLabel 8"/>
    <w:qFormat/>
    <w:uiPriority w:val="0"/>
  </w:style>
  <w:style w:type="character" w:customStyle="1" w:styleId="18">
    <w:name w:val="ListLabel 9"/>
    <w:qFormat/>
    <w:uiPriority w:val="0"/>
  </w:style>
  <w:style w:type="character" w:customStyle="1" w:styleId="19">
    <w:name w:val="ListLabel 10"/>
    <w:qFormat/>
    <w:uiPriority w:val="0"/>
  </w:style>
  <w:style w:type="character" w:customStyle="1" w:styleId="20">
    <w:name w:val="ListLabel 11"/>
    <w:qFormat/>
    <w:uiPriority w:val="0"/>
  </w:style>
  <w:style w:type="character" w:customStyle="1" w:styleId="21">
    <w:name w:val="ListLabel 12"/>
    <w:qFormat/>
    <w:uiPriority w:val="0"/>
  </w:style>
  <w:style w:type="character" w:customStyle="1" w:styleId="22">
    <w:name w:val="ListLabel 13"/>
    <w:qFormat/>
    <w:uiPriority w:val="0"/>
  </w:style>
  <w:style w:type="character" w:customStyle="1" w:styleId="23">
    <w:name w:val="ListLabel 14"/>
    <w:qFormat/>
    <w:uiPriority w:val="0"/>
  </w:style>
  <w:style w:type="paragraph" w:customStyle="1" w:styleId="24">
    <w:name w:val="标题样式"/>
    <w:basedOn w:val="1"/>
    <w:next w:val="3"/>
    <w:qFormat/>
    <w:uiPriority w:val="0"/>
    <w:pPr>
      <w:keepNext/>
      <w:widowControl w:val="0"/>
      <w:spacing w:before="240" w:after="120"/>
    </w:pPr>
    <w:rPr>
      <w:rFonts w:ascii="Arial" w:hAnsi="Arial" w:eastAsia="微软雅黑" w:cs="Mangal"/>
      <w:sz w:val="28"/>
      <w:szCs w:val="28"/>
    </w:rPr>
  </w:style>
  <w:style w:type="paragraph" w:customStyle="1" w:styleId="25">
    <w:name w:val="索引"/>
    <w:basedOn w:val="1"/>
    <w:qFormat/>
    <w:uiPriority w:val="0"/>
    <w:pPr>
      <w:widowControl w:val="0"/>
      <w:suppressLineNumbers/>
    </w:pPr>
    <w:rPr>
      <w:rFonts w:cs="Mangal"/>
    </w:rPr>
  </w:style>
  <w:style w:type="paragraph" w:customStyle="1" w:styleId="26">
    <w:name w:val="Default"/>
    <w:next w:val="5"/>
    <w:qFormat/>
    <w:uiPriority w:val="0"/>
    <w:pPr>
      <w:widowControl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15</Pages>
  <Words>4597</Words>
  <Characters>4781</Characters>
  <Lines>461</Lines>
  <Paragraphs>215</Paragraphs>
  <TotalTime>7</TotalTime>
  <ScaleCrop>false</ScaleCrop>
  <LinksUpToDate>false</LinksUpToDate>
  <CharactersWithSpaces>4899</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XCK</cp:lastModifiedBy>
  <dcterms:modified xsi:type="dcterms:W3CDTF">2023-07-05T01:04:24Z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KSOProductBuildVer">
    <vt:lpwstr>2052-11.8.2.10972</vt:lpwstr>
  </property>
  <property fmtid="{D5CDD505-2E9C-101B-9397-08002B2CF9AE}" pid="9" name="ICV">
    <vt:lpwstr>C053DCB8C57440A283EDCBAC93DB8C43</vt:lpwstr>
  </property>
</Properties>
</file>