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仿宋_GB2312" w:cs="Times New Roman"/>
          <w:sz w:val="44"/>
          <w:szCs w:val="44"/>
        </w:rPr>
      </w:pPr>
    </w:p>
    <w:p>
      <w:pPr>
        <w:spacing w:line="584" w:lineRule="exact"/>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中国共产党廊坊市广阳区委员会办公室</w:t>
      </w:r>
      <w:r>
        <w:rPr>
          <w:rFonts w:ascii="Times New Roman" w:hAnsi="Times New Roman" w:eastAsia="方正小标宋简体" w:cs="Times New Roman"/>
          <w:sz w:val="44"/>
          <w:szCs w:val="44"/>
        </w:rPr>
        <w:t xml:space="preserve">                    </w:t>
      </w:r>
    </w:p>
    <w:p>
      <w:pPr>
        <w:spacing w:line="584" w:lineRule="exact"/>
        <w:jc w:val="center"/>
        <w:rPr>
          <w:rFonts w:ascii="Times New Roman" w:hAnsi="Times New Roman" w:eastAsia="方正小标宋简体" w:cs="Times New Roman"/>
          <w:sz w:val="44"/>
          <w:szCs w:val="44"/>
        </w:rPr>
      </w:pPr>
      <w:bookmarkStart w:id="24" w:name="_GoBack"/>
      <w:bookmarkEnd w:id="24"/>
      <w:r>
        <w:rPr>
          <w:rFonts w:ascii="Times New Roman" w:hAnsi="Times New Roman" w:eastAsia="方正小标宋简体" w:cs="Times New Roman"/>
          <w:sz w:val="44"/>
          <w:szCs w:val="44"/>
        </w:rPr>
        <w:t>20</w:t>
      </w:r>
      <w:r>
        <w:rPr>
          <w:rFonts w:hint="eastAsia" w:ascii="Times New Roman" w:hAnsi="Times New Roman" w:eastAsia="方正小标宋简体" w:cs="Times New Roman"/>
          <w:sz w:val="44"/>
          <w:szCs w:val="44"/>
        </w:rPr>
        <w:t>2</w:t>
      </w:r>
      <w:r>
        <w:rPr>
          <w:rFonts w:ascii="Times New Roman" w:hAnsi="Times New Roman" w:eastAsia="方正小标宋简体" w:cs="Times New Roman"/>
          <w:sz w:val="44"/>
          <w:szCs w:val="44"/>
        </w:rPr>
        <w:t>2年部门预算信息公开</w:t>
      </w:r>
      <w:r>
        <w:rPr>
          <w:rFonts w:hint="eastAsia" w:ascii="Times New Roman" w:hAnsi="Times New Roman" w:eastAsia="方正小标宋简体" w:cs="Times New Roman"/>
          <w:sz w:val="44"/>
          <w:szCs w:val="44"/>
        </w:rPr>
        <w:t>情况说明</w:t>
      </w: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按照《中华人民共和国预算法》、《中华人民共和国预算法实施条例》、《地方预决算公开操作规程》和《河北省省级预算公开办法》规定，现将</w:t>
      </w:r>
      <w:r>
        <w:rPr>
          <w:rFonts w:hint="eastAsia" w:ascii="Times New Roman" w:hAnsi="Times New Roman" w:eastAsia="仿宋_GB2312" w:cs="Times New Roman"/>
          <w:sz w:val="32"/>
          <w:szCs w:val="32"/>
        </w:rPr>
        <w:t>中国共产党廊坊市广阳区委员会办公室</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2年部门预算公开如下：</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一、部门职责及机构设置情况</w:t>
      </w:r>
    </w:p>
    <w:p>
      <w:pPr>
        <w:spacing w:line="584"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部门职责：</w:t>
      </w:r>
    </w:p>
    <w:p>
      <w:pPr>
        <w:numPr>
          <w:ilvl w:val="0"/>
          <w:numId w:val="1"/>
        </w:numPr>
        <w:spacing w:line="584"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负责推动党中央和省、市、区委决策部署的落实，按照区委要求协调有关方面开展工作，承担区委运行保障具体事务。</w:t>
      </w:r>
    </w:p>
    <w:p>
      <w:pPr>
        <w:numPr>
          <w:ilvl w:val="0"/>
          <w:numId w:val="1"/>
        </w:numPr>
        <w:spacing w:line="584"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负责区委和区委办公室文件、区委领导讲话稿的起草、修改等工作。</w:t>
      </w:r>
    </w:p>
    <w:p>
      <w:pPr>
        <w:numPr>
          <w:ilvl w:val="0"/>
          <w:numId w:val="1"/>
        </w:numPr>
        <w:spacing w:line="584"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负责党中央和省、市、区委重要决策部署贯彻落实的督促检查，中央和省、市、区委领导批示和交办事项的催办反馈，区委统一部署的重大专项活动的推进落实。</w:t>
      </w:r>
    </w:p>
    <w:p>
      <w:pPr>
        <w:numPr>
          <w:ilvl w:val="0"/>
          <w:numId w:val="1"/>
        </w:numPr>
        <w:spacing w:line="584"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围绕党中央和省、市、区委总体工作部署开展调查研究，收集和处理信息、反映动态；负责社情民意的搜集、整理和编报工作。</w:t>
      </w:r>
    </w:p>
    <w:p>
      <w:pPr>
        <w:numPr>
          <w:ilvl w:val="0"/>
          <w:numId w:val="1"/>
        </w:numPr>
        <w:spacing w:line="584"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负责区委全会、区委常委会和区委其他重要会议的会务工作；负责区委领导参加重大活动和日常工作活动的组织安排。</w:t>
      </w:r>
    </w:p>
    <w:p>
      <w:pPr>
        <w:numPr>
          <w:ilvl w:val="0"/>
          <w:numId w:val="1"/>
        </w:numPr>
        <w:spacing w:line="584"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负责区委日常文书处理；负责区委文件和区委办公室代区委行文的审核工作；负责区委制定党内法规和规范性文件的服务工作；负责统筹协调和督促指导全区党务公开工作。</w:t>
      </w:r>
    </w:p>
    <w:p>
      <w:pPr>
        <w:numPr>
          <w:ilvl w:val="0"/>
          <w:numId w:val="1"/>
        </w:numPr>
        <w:spacing w:line="584"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负责全区档案事业宏观管理和执法复议、监督指导等工作。</w:t>
      </w:r>
    </w:p>
    <w:p>
      <w:pPr>
        <w:numPr>
          <w:ilvl w:val="0"/>
          <w:numId w:val="1"/>
        </w:numPr>
        <w:spacing w:line="584"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负责部分原区级领导同志和本室离退休人员的服务工作；负责区委机关行政后勤、安全保卫和区委办公室财务管理工作。</w:t>
      </w:r>
    </w:p>
    <w:p>
      <w:pPr>
        <w:numPr>
          <w:ilvl w:val="0"/>
          <w:numId w:val="1"/>
        </w:numPr>
        <w:spacing w:line="584" w:lineRule="exact"/>
        <w:rPr>
          <w:rFonts w:ascii="Times New Roman" w:hAnsi="Times New Roman" w:eastAsia="仿宋_GB2312" w:cs="Times New Roman"/>
          <w:sz w:val="32"/>
          <w:szCs w:val="32"/>
        </w:rPr>
      </w:pPr>
      <w:r>
        <w:rPr>
          <w:rFonts w:hint="eastAsia" w:ascii="仿宋" w:eastAsia="仿宋"/>
          <w:sz w:val="32"/>
          <w:szCs w:val="32"/>
        </w:rPr>
        <w:t>主持制定党员和干部培训工作规划和年度工作计划;协同有关部门对党员在校期间的表现进行考核、考察;对基层党校进行指导和帮助;完成区委和上级党校交办的其他事项。</w:t>
      </w:r>
    </w:p>
    <w:p>
      <w:pPr>
        <w:numPr>
          <w:ilvl w:val="0"/>
          <w:numId w:val="1"/>
        </w:numPr>
        <w:spacing w:line="584" w:lineRule="exact"/>
        <w:rPr>
          <w:rFonts w:ascii="Times New Roman" w:hAnsi="Times New Roman" w:eastAsia="仿宋_GB2312" w:cs="Times New Roman"/>
          <w:sz w:val="32"/>
          <w:szCs w:val="32"/>
        </w:rPr>
      </w:pPr>
      <w:r>
        <w:rPr>
          <w:rFonts w:hint="eastAsia" w:ascii="仿宋_GB2312" w:eastAsia="仿宋_GB2312" w:cs="宋体"/>
          <w:color w:val="000000"/>
          <w:kern w:val="0"/>
          <w:sz w:val="32"/>
          <w:szCs w:val="32"/>
        </w:rPr>
        <w:t>团结动员妇女参加经济社会建设：团结、教育全区妇女及各类妇女组织同党中央在思想上、政治上、行动上保持高度一致，全面提高妇女素质。职责目标：把广大妇女紧密团结在党中央周围，围绕中央、区委区政府中心工作。</w:t>
      </w:r>
    </w:p>
    <w:p>
      <w:pPr>
        <w:numPr>
          <w:ilvl w:val="0"/>
          <w:numId w:val="1"/>
        </w:numPr>
        <w:spacing w:line="584" w:lineRule="exact"/>
        <w:rPr>
          <w:rFonts w:ascii="Times New Roman" w:hAnsi="Times New Roman" w:eastAsia="仿宋_GB2312" w:cs="Times New Roman"/>
          <w:sz w:val="32"/>
          <w:szCs w:val="32"/>
        </w:rPr>
      </w:pPr>
      <w:r>
        <w:rPr>
          <w:rFonts w:hint="eastAsia" w:ascii="仿宋_GB2312" w:eastAsia="仿宋_GB2312" w:cs="宋体"/>
          <w:color w:val="000000"/>
          <w:kern w:val="0"/>
          <w:sz w:val="32"/>
          <w:szCs w:val="32"/>
        </w:rPr>
        <w:t>维护妇女儿童合法权益促进妇女儿童发展：关注并加强研究涉及妇女切身利益的热点、难点问题，及时向区委和区政府反映社情民意，提出对策建议。职责目标：妇女综合素质和发展能力有较大提升。妇女儿童合法权益得到有效维护，男女平等基本国策宣传进一步深入人心。</w:t>
      </w:r>
    </w:p>
    <w:p>
      <w:pPr>
        <w:numPr>
          <w:ilvl w:val="0"/>
          <w:numId w:val="1"/>
        </w:numPr>
        <w:spacing w:line="584"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组织开展调研，向区政协提交大会发言和集体提案，反映社情民意，与区政府对口单位紧密联系。开展各种相关业务活动及会议。积极搭建服务平台，举办银企对接会、及政策知识进民企活动。加强与国内外知名企业、海外工商社团的合作交流，组织会员企业参加与农村面貌改造提升行动、社会扶贫和公益事业。</w:t>
      </w:r>
    </w:p>
    <w:p>
      <w:pPr>
        <w:numPr>
          <w:ilvl w:val="0"/>
          <w:numId w:val="1"/>
        </w:numPr>
        <w:spacing w:line="584"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贯彻全国和省市工商联组织建设工作方针，维护会员合法权益；组织换届、培训、思想政治工作；对非公有制经济优秀人士进行宣传。</w:t>
      </w:r>
    </w:p>
    <w:p>
      <w:pPr>
        <w:numPr>
          <w:ilvl w:val="0"/>
          <w:numId w:val="1"/>
        </w:numPr>
        <w:spacing w:line="584"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撰写廊坊市广阳区历史专著，编辑出版党史书籍。完成专题资料、口述资料、照片资料等搜集工作。围绕党委、政府中心工作，充分发挥党史资政育人作用。让全区人民，特别是广大党员干部全面、系统地了解我区地方党组织的历史发展脉络以及党在领导全区人民革命、建设、改革工作中取得的成果。努力建设一支具有丰富的党史知识，具有较高的理论素养和研究能力的党史工作者队伍。</w:t>
      </w:r>
    </w:p>
    <w:p>
      <w:pPr>
        <w:numPr>
          <w:ilvl w:val="0"/>
          <w:numId w:val="1"/>
        </w:numPr>
        <w:spacing w:line="584"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拟定全区宣传思想文化工作重大方针政策和事业发展总体规划，统筹协调推进宣传思想文化领域法治建设，按照区委统一部署，协调宣传思想文化系统各部门之间的工作。</w:t>
      </w:r>
    </w:p>
    <w:p>
      <w:pPr>
        <w:numPr>
          <w:ilvl w:val="0"/>
          <w:numId w:val="1"/>
        </w:numPr>
        <w:spacing w:line="584"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统筹协调全区党的意识形态工作，贯彻落实区委关于议事协调工作决策部署，组织协调意识形态工作责任制落实和日常监督检查，结合巡察工作开展专项检查。</w:t>
      </w:r>
    </w:p>
    <w:p>
      <w:pPr>
        <w:numPr>
          <w:ilvl w:val="0"/>
          <w:numId w:val="1"/>
        </w:numPr>
        <w:spacing w:line="584"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统筹指导协调全区理论研究、理论学习、理论宣传工作，组织推动理论武装工作，推动落实马克思主义理论研究和建设工程任务，负责区委理论学习中心组理论学习的有关工作。</w:t>
      </w:r>
    </w:p>
    <w:p>
      <w:pPr>
        <w:numPr>
          <w:ilvl w:val="0"/>
          <w:numId w:val="1"/>
        </w:numPr>
        <w:spacing w:line="584"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负责规划组织全区全局性思想政治工作任务，组织对全区先进典型的学习推广，配合区委组织部做好基层党员教育工作，指导协调编写党员教育教材，会同有关部门研究和改进群众思想教育工作，负责全区爱国主义教育基地的建设、管理、使用，负责全区国防教育工作。</w:t>
      </w:r>
    </w:p>
    <w:p>
      <w:pPr>
        <w:numPr>
          <w:ilvl w:val="0"/>
          <w:numId w:val="1"/>
        </w:numPr>
        <w:spacing w:line="584"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统筹分析研判和引导全区社会舆论，指导协调区直各新闻单位的工作，组织全区突发公共事件应急新闻工作，承担区突发公共事件应急新闻办公室日常工作。</w:t>
      </w:r>
    </w:p>
    <w:p>
      <w:pPr>
        <w:numPr>
          <w:ilvl w:val="0"/>
          <w:numId w:val="1"/>
        </w:numPr>
        <w:spacing w:line="584"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拟定全区新闻出版业的管理政策并督促落实，管理新闻出版行政事务，统筹规划和指导协调新闻出版事业、产业发展，协助做好新闻出版物内容和质量的监督管理，监督管理印刷业，管理著作权等，组织指导协调全区</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扫黄打非</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工作。</w:t>
      </w:r>
    </w:p>
    <w:p>
      <w:pPr>
        <w:numPr>
          <w:ilvl w:val="0"/>
          <w:numId w:val="1"/>
        </w:numPr>
        <w:spacing w:line="584"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从宏观上统筹指导协调全区互联网宣传和信息内容管理工作。统筹数字新媒体的建设和管理。</w:t>
      </w:r>
    </w:p>
    <w:p>
      <w:pPr>
        <w:numPr>
          <w:ilvl w:val="0"/>
          <w:numId w:val="1"/>
        </w:numPr>
        <w:spacing w:line="584"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从宏观上统筹指导协调推动全区精神文化产品的创作和生产，协调组织中华优秀传统文化传承发展有关工作，指导协调推动群众文化建设和社区建设。</w:t>
      </w:r>
    </w:p>
    <w:p>
      <w:pPr>
        <w:numPr>
          <w:ilvl w:val="0"/>
          <w:numId w:val="1"/>
        </w:numPr>
        <w:spacing w:line="584"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负责管理全区电影行政事务，指导监管电影制片、发行、放映工作，组织对电影内容进行审查，指导协调全区性重大电影活动。</w:t>
      </w:r>
    </w:p>
    <w:p>
      <w:pPr>
        <w:numPr>
          <w:ilvl w:val="0"/>
          <w:numId w:val="1"/>
        </w:numPr>
        <w:spacing w:line="584"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对全区新闻出版、广播影视、文化艺术业改革发展研究提出政策性建议，统筹指导协调文化体制改革和文化事业、文化产业及旅游业发展，负责区级文化企业国有资产监督管理，承担区文化体制改革和发展工作领导小组办公室日常工作。</w:t>
      </w:r>
    </w:p>
    <w:p>
      <w:pPr>
        <w:numPr>
          <w:ilvl w:val="0"/>
          <w:numId w:val="1"/>
        </w:numPr>
        <w:spacing w:line="584"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统筹指导全区舆论信息工作，组织协调开展区内外舆情信息收集分析研判工作，跟踪了解、研究掌握宣传舆情动态。</w:t>
      </w:r>
    </w:p>
    <w:p>
      <w:pPr>
        <w:numPr>
          <w:ilvl w:val="0"/>
          <w:numId w:val="1"/>
        </w:numPr>
        <w:spacing w:line="584"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统筹研究拟定有关全区精神文明建设的方针、政策，规划部署全区精神文明建设工作，组织指导全区群众性精神文明创建活动。</w:t>
      </w:r>
    </w:p>
    <w:p>
      <w:pPr>
        <w:numPr>
          <w:ilvl w:val="0"/>
          <w:numId w:val="1"/>
        </w:numPr>
        <w:spacing w:line="584"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统筹协调全区对外宣传工作，指导协调有关部门研究拟订全区对外宣传事业发展规划，组织协调我区对外宣传文化交流工作，会同有关部门做好境外记者采访事务方面工作。</w:t>
      </w:r>
    </w:p>
    <w:p>
      <w:pPr>
        <w:numPr>
          <w:ilvl w:val="0"/>
          <w:numId w:val="1"/>
        </w:numPr>
        <w:spacing w:line="584"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统筹协调组织开展新闻发布工作。承担区委新闻发布有关组织协调工作，负责区政府新闻发布组织实施工作。指导协调区政府各部门和各乡镇（街道）的新闻发布工作，推动新闻发言人制度落实。拟定我区重大问题对外宣传口径。</w:t>
      </w:r>
    </w:p>
    <w:p>
      <w:pPr>
        <w:numPr>
          <w:ilvl w:val="0"/>
          <w:numId w:val="1"/>
        </w:numPr>
        <w:spacing w:line="584"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统筹指导协调全区哲学社会科学发展工作。组织制定发展战略、中长期规划和专项计划。负责组织开展区级新型智库建设工作，协调推动全区中国特色新型智库建设。组织哲学社会科学研究课题成果转化应用等工作。</w:t>
      </w:r>
    </w:p>
    <w:p>
      <w:pPr>
        <w:numPr>
          <w:ilvl w:val="0"/>
          <w:numId w:val="1"/>
        </w:numPr>
        <w:spacing w:line="584"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受区委委托，会同区委组织部管理新闻、文化、出版、社会科学研究和互联网信息等方面区直文化单位的领导干部。对各乡镇（街道）党工委宣传委员的任免提出意见。负责有关重要宣传舆论阵地和重要岗位领导干部管理工作。负责组织开展宣传思想文化系统干部教育培训和人才工作。</w:t>
      </w:r>
    </w:p>
    <w:p>
      <w:pPr>
        <w:numPr>
          <w:ilvl w:val="0"/>
          <w:numId w:val="1"/>
        </w:numPr>
        <w:spacing w:line="584"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对区互联网信息办公室互联网宣传和信息内容管理方面的工作实施方针、政策的指导，归口领导《时代广阳》编辑部、区文化广电和旅游局、区广播电视台。</w:t>
      </w:r>
    </w:p>
    <w:p>
      <w:pPr>
        <w:numPr>
          <w:ilvl w:val="0"/>
          <w:numId w:val="1"/>
        </w:numPr>
        <w:spacing w:line="584"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完成领导交办的其他任务。</w:t>
      </w:r>
    </w:p>
    <w:p>
      <w:pPr>
        <w:spacing w:line="584" w:lineRule="exact"/>
        <w:ind w:left="660"/>
        <w:rPr>
          <w:rFonts w:ascii="Times New Roman" w:hAnsi="Times New Roman" w:eastAsia="楷体_GB2312" w:cs="Times New Roman"/>
          <w:b/>
          <w:sz w:val="32"/>
          <w:szCs w:val="32"/>
        </w:rPr>
      </w:pPr>
    </w:p>
    <w:p>
      <w:pPr>
        <w:spacing w:line="584" w:lineRule="exact"/>
        <w:ind w:left="660"/>
        <w:rPr>
          <w:rFonts w:ascii="Times New Roman" w:hAnsi="Times New Roman" w:eastAsia="仿宋_GB2312" w:cs="Times New Roman"/>
          <w:sz w:val="32"/>
          <w:szCs w:val="32"/>
        </w:rPr>
      </w:pPr>
      <w:r>
        <w:rPr>
          <w:rFonts w:ascii="Times New Roman" w:hAnsi="Times New Roman" w:eastAsia="楷体_GB2312"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ascii="Times New Roman" w:hAnsi="Times New Roman" w:eastAsia="仿宋_GB2312" w:cs="Times New Roman"/>
          <w:b/>
          <w:sz w:val="32"/>
          <w:szCs w:val="24"/>
        </w:rPr>
        <w:t>部门机构设置情况</w:t>
      </w:r>
    </w:p>
    <w:tbl>
      <w:tblPr>
        <w:tblStyle w:val="11"/>
        <w:tblW w:w="1219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245"/>
        <w:gridCol w:w="1701"/>
        <w:gridCol w:w="1606"/>
        <w:gridCol w:w="363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5245"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701"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606"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3639"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6" w:hRule="atLeast"/>
          <w:tblHeader/>
          <w:jc w:val="center"/>
        </w:trPr>
        <w:tc>
          <w:tcPr>
            <w:tcW w:w="5245" w:type="dxa"/>
            <w:vMerge w:val="continue"/>
            <w:shd w:val="clear" w:color="auto" w:fill="auto"/>
            <w:vAlign w:val="center"/>
          </w:tcPr>
          <w:p/>
        </w:tc>
        <w:tc>
          <w:tcPr>
            <w:tcW w:w="1701" w:type="dxa"/>
            <w:vMerge w:val="continue"/>
            <w:shd w:val="clear" w:color="auto" w:fill="auto"/>
            <w:vAlign w:val="center"/>
          </w:tcPr>
          <w:p/>
        </w:tc>
        <w:tc>
          <w:tcPr>
            <w:tcW w:w="1606" w:type="dxa"/>
            <w:vMerge w:val="continue"/>
            <w:shd w:val="clear" w:color="auto" w:fill="auto"/>
            <w:vAlign w:val="center"/>
          </w:tcPr>
          <w:p/>
        </w:tc>
        <w:tc>
          <w:tcPr>
            <w:tcW w:w="3639" w:type="dxa"/>
            <w:vMerge w:val="continue"/>
            <w:shd w:val="clear" w:color="auto" w:fill="auto"/>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8" w:hRule="atLeast"/>
          <w:jc w:val="center"/>
        </w:trPr>
        <w:tc>
          <w:tcPr>
            <w:tcW w:w="5245"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中共廊坊市广阳区委员会办公室本级</w:t>
            </w:r>
          </w:p>
        </w:tc>
        <w:tc>
          <w:tcPr>
            <w:tcW w:w="1701"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党政机关</w:t>
            </w:r>
          </w:p>
        </w:tc>
        <w:tc>
          <w:tcPr>
            <w:tcW w:w="1606"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正科级</w:t>
            </w:r>
          </w:p>
        </w:tc>
        <w:tc>
          <w:tcPr>
            <w:tcW w:w="3639"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6" w:hRule="atLeast"/>
          <w:jc w:val="center"/>
        </w:trPr>
        <w:tc>
          <w:tcPr>
            <w:tcW w:w="5245"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中共廊坊市广阳区委员会宣传部</w:t>
            </w:r>
          </w:p>
        </w:tc>
        <w:tc>
          <w:tcPr>
            <w:tcW w:w="1701"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党政机关</w:t>
            </w:r>
          </w:p>
        </w:tc>
        <w:tc>
          <w:tcPr>
            <w:tcW w:w="1606"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正科级</w:t>
            </w:r>
          </w:p>
        </w:tc>
        <w:tc>
          <w:tcPr>
            <w:tcW w:w="3639"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6" w:hRule="atLeast"/>
          <w:jc w:val="center"/>
        </w:trPr>
        <w:tc>
          <w:tcPr>
            <w:tcW w:w="5245"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廊坊市广阳区妇女联合会</w:t>
            </w:r>
          </w:p>
        </w:tc>
        <w:tc>
          <w:tcPr>
            <w:tcW w:w="1701"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党政机关</w:t>
            </w:r>
          </w:p>
        </w:tc>
        <w:tc>
          <w:tcPr>
            <w:tcW w:w="1606"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正科级</w:t>
            </w:r>
          </w:p>
        </w:tc>
        <w:tc>
          <w:tcPr>
            <w:tcW w:w="3639"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6" w:hRule="atLeast"/>
          <w:jc w:val="center"/>
        </w:trPr>
        <w:tc>
          <w:tcPr>
            <w:tcW w:w="5245"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中国共产主义青年团廊坊市广阳区委员会</w:t>
            </w:r>
          </w:p>
        </w:tc>
        <w:tc>
          <w:tcPr>
            <w:tcW w:w="1701"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党政机关</w:t>
            </w:r>
          </w:p>
        </w:tc>
        <w:tc>
          <w:tcPr>
            <w:tcW w:w="1606"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正科级</w:t>
            </w:r>
          </w:p>
        </w:tc>
        <w:tc>
          <w:tcPr>
            <w:tcW w:w="3639"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6" w:hRule="atLeast"/>
          <w:jc w:val="center"/>
        </w:trPr>
        <w:tc>
          <w:tcPr>
            <w:tcW w:w="5245"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中国共产党廊坊市广阳区委员会党校</w:t>
            </w:r>
          </w:p>
        </w:tc>
        <w:tc>
          <w:tcPr>
            <w:tcW w:w="1701"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事业</w:t>
            </w:r>
          </w:p>
        </w:tc>
        <w:tc>
          <w:tcPr>
            <w:tcW w:w="1606"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正科级</w:t>
            </w:r>
          </w:p>
        </w:tc>
        <w:tc>
          <w:tcPr>
            <w:tcW w:w="3639"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6" w:hRule="atLeast"/>
          <w:jc w:val="center"/>
        </w:trPr>
        <w:tc>
          <w:tcPr>
            <w:tcW w:w="5245"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中国共产党廊坊市广阳区委员会党史研究室</w:t>
            </w:r>
          </w:p>
        </w:tc>
        <w:tc>
          <w:tcPr>
            <w:tcW w:w="1701"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党政机关</w:t>
            </w:r>
          </w:p>
        </w:tc>
        <w:tc>
          <w:tcPr>
            <w:tcW w:w="1606"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正科级</w:t>
            </w:r>
          </w:p>
        </w:tc>
        <w:tc>
          <w:tcPr>
            <w:tcW w:w="3639"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6" w:hRule="atLeast"/>
          <w:jc w:val="center"/>
        </w:trPr>
        <w:tc>
          <w:tcPr>
            <w:tcW w:w="5245"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廊坊市广阳区工商业联合会</w:t>
            </w:r>
          </w:p>
        </w:tc>
        <w:tc>
          <w:tcPr>
            <w:tcW w:w="1701"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党政机关</w:t>
            </w:r>
          </w:p>
        </w:tc>
        <w:tc>
          <w:tcPr>
            <w:tcW w:w="1606"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正科级</w:t>
            </w:r>
          </w:p>
        </w:tc>
        <w:tc>
          <w:tcPr>
            <w:tcW w:w="3639"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财政性资金基本保证</w:t>
            </w:r>
          </w:p>
        </w:tc>
      </w:tr>
    </w:tbl>
    <w:p>
      <w:pPr>
        <w:spacing w:line="584" w:lineRule="exact"/>
        <w:ind w:left="660"/>
        <w:rPr>
          <w:rFonts w:ascii="Times New Roman" w:hAnsi="Times New Roman" w:eastAsia="仿宋_GB2312" w:cs="Times New Roman"/>
          <w:sz w:val="32"/>
          <w:szCs w:val="32"/>
        </w:rPr>
      </w:pP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二、部门预算安排的总体情况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部门预算的编制实行综合预算制度，即全部收入和支出都反映在预算中。</w:t>
      </w:r>
      <w:r>
        <w:rPr>
          <w:rFonts w:hint="eastAsia" w:ascii="Times New Roman" w:hAnsi="Times New Roman" w:eastAsia="仿宋_GB2312" w:cs="Times New Roman"/>
          <w:sz w:val="32"/>
          <w:szCs w:val="32"/>
        </w:rPr>
        <w:t>中国共产党廊坊市广阳区委员会办公室</w:t>
      </w:r>
      <w:r>
        <w:rPr>
          <w:rFonts w:ascii="Times New Roman" w:hAnsi="Times New Roman" w:eastAsia="仿宋_GB2312" w:cs="Times New Roman"/>
          <w:sz w:val="32"/>
          <w:szCs w:val="32"/>
        </w:rPr>
        <w:t>机</w:t>
      </w:r>
      <w:r>
        <w:rPr>
          <w:rFonts w:ascii="Times New Roman" w:hAnsi="Times New Roman" w:eastAsia="仿宋_GB2312" w:cs="Times New Roman"/>
          <w:color w:val="000000" w:themeColor="text1"/>
          <w:sz w:val="32"/>
          <w:szCs w:val="32"/>
          <w14:textFill>
            <w14:solidFill>
              <w14:schemeClr w14:val="tx1"/>
            </w14:solidFill>
          </w14:textFill>
        </w:rPr>
        <w:t>关及所属事业单位</w:t>
      </w:r>
      <w:r>
        <w:rPr>
          <w:rFonts w:ascii="Times New Roman" w:hAnsi="Times New Roman" w:eastAsia="仿宋_GB2312" w:cs="Times New Roman"/>
          <w:sz w:val="32"/>
          <w:szCs w:val="32"/>
        </w:rPr>
        <w:t>的收支包含在部门预算中。</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反映本部门当年全部收入。20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2年预算收入2817.46万元，其中：一般公共预算收入</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810.08万元，基金预算收入0万元，财政专户核拨收入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万元，其他来源收入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上年结转结余7.38</w:t>
      </w:r>
      <w:r>
        <w:rPr>
          <w:rFonts w:hint="eastAsia" w:ascii="Times New Roman" w:hAnsi="Times New Roman" w:eastAsia="仿宋_GB2312" w:cs="Times New Roman"/>
          <w:sz w:val="32"/>
          <w:szCs w:val="32"/>
        </w:rPr>
        <w:t>万元</w:t>
      </w:r>
      <w:r>
        <w:rPr>
          <w:rFonts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收支预算总表支出栏、基本支出表、项目支出表按经济分类和支出功能分类科目编制，反映</w:t>
      </w:r>
      <w:r>
        <w:rPr>
          <w:rFonts w:hint="eastAsia" w:ascii="Times New Roman" w:hAnsi="Times New Roman" w:eastAsia="仿宋_GB2312" w:cs="Times New Roman"/>
          <w:sz w:val="32"/>
          <w:szCs w:val="32"/>
        </w:rPr>
        <w:t>中国共产党廊坊市广阳区委员会办公室2</w:t>
      </w:r>
      <w:r>
        <w:rPr>
          <w:rFonts w:ascii="Times New Roman" w:hAnsi="Times New Roman" w:eastAsia="仿宋_GB2312" w:cs="Times New Roman"/>
          <w:sz w:val="32"/>
          <w:szCs w:val="32"/>
        </w:rPr>
        <w:t>022年度部门预算中支出预算的总体情况。20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2年支出预算</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817.46万元，其中基本支出</w:t>
      </w: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765.45万元，包括人员类项目经费</w:t>
      </w: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442.59万元和</w:t>
      </w:r>
      <w:r>
        <w:rPr>
          <w:rFonts w:hint="eastAsia" w:ascii="Times New Roman" w:hAnsi="Times New Roman" w:eastAsia="仿宋_GB2312" w:cs="Times New Roman"/>
          <w:sz w:val="32"/>
          <w:szCs w:val="32"/>
        </w:rPr>
        <w:t>运转类</w:t>
      </w:r>
      <w:r>
        <w:rPr>
          <w:rFonts w:ascii="Times New Roman" w:hAnsi="Times New Roman" w:eastAsia="仿宋_GB2312" w:cs="Times New Roman"/>
          <w:sz w:val="32"/>
          <w:szCs w:val="32"/>
        </w:rPr>
        <w:t>公用项目经费322.86万元；运转类其他及特定目标类项目支出1052.01万元。</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3、比上年增减情况</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2年预算收支安排</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817.46万元，较20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1年预算增加387.58万元，其中：基本支出减少92.72万元，主要为</w:t>
      </w:r>
      <w:r>
        <w:rPr>
          <w:rFonts w:hint="eastAsia" w:ascii="Times New Roman" w:hAnsi="Times New Roman" w:eastAsia="仿宋_GB2312" w:cs="Times New Roman"/>
          <w:sz w:val="32"/>
          <w:szCs w:val="32"/>
        </w:rPr>
        <w:t>人员及日常公用经费</w:t>
      </w:r>
      <w:r>
        <w:rPr>
          <w:rFonts w:ascii="Times New Roman" w:hAnsi="Times New Roman" w:eastAsia="仿宋_GB2312" w:cs="Times New Roman"/>
          <w:sz w:val="32"/>
          <w:szCs w:val="32"/>
        </w:rPr>
        <w:t>支出减少；项目支出增加480.3万元，主要为</w:t>
      </w:r>
      <w:r>
        <w:rPr>
          <w:rFonts w:hint="eastAsia" w:ascii="Times New Roman" w:hAnsi="Times New Roman" w:eastAsia="仿宋_GB2312" w:cs="Times New Roman"/>
          <w:sz w:val="32"/>
          <w:szCs w:val="32"/>
        </w:rPr>
        <w:t>机构改革及</w:t>
      </w:r>
      <w:r>
        <w:rPr>
          <w:rFonts w:ascii="Times New Roman" w:hAnsi="Times New Roman" w:eastAsia="仿宋_GB2312" w:cs="Times New Roman"/>
          <w:sz w:val="32"/>
          <w:szCs w:val="32"/>
        </w:rPr>
        <w:t>增加</w:t>
      </w:r>
      <w:r>
        <w:rPr>
          <w:rFonts w:hint="eastAsia" w:ascii="Times New Roman" w:hAnsi="Times New Roman" w:eastAsia="仿宋_GB2312" w:cs="Times New Roman"/>
          <w:sz w:val="32"/>
          <w:szCs w:val="32"/>
        </w:rPr>
        <w:t>国防教育经费、</w:t>
      </w:r>
      <w:r>
        <w:rPr>
          <w:rFonts w:ascii="Times New Roman" w:hAnsi="Times New Roman" w:eastAsia="仿宋_GB2312" w:cs="Times New Roman"/>
          <w:sz w:val="32"/>
          <w:szCs w:val="32"/>
        </w:rPr>
        <w:t>职工活动中心改建项目经费</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党史学习教育经费、对上宣传工作经费、</w:t>
      </w:r>
      <w:r>
        <w:rPr>
          <w:rFonts w:hint="eastAsia" w:ascii="Times New Roman" w:hAnsi="Times New Roman" w:eastAsia="仿宋_GB2312" w:cs="Times New Roman"/>
          <w:sz w:val="32"/>
          <w:szCs w:val="32"/>
        </w:rPr>
        <w:t>文明城市创建经费等</w:t>
      </w:r>
      <w:r>
        <w:rPr>
          <w:rFonts w:ascii="Times New Roman" w:hAnsi="Times New Roman" w:eastAsia="仿宋_GB2312" w:cs="Times New Roman"/>
          <w:sz w:val="32"/>
          <w:szCs w:val="32"/>
        </w:rPr>
        <w:t>各类项目支出。</w:t>
      </w:r>
    </w:p>
    <w:p>
      <w:pPr>
        <w:autoSpaceDE w:val="0"/>
        <w:autoSpaceDN w:val="0"/>
        <w:adjustRightInd w:val="0"/>
        <w:spacing w:line="584" w:lineRule="exact"/>
        <w:ind w:left="198"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三、机关运行经费安排情况</w:t>
      </w:r>
    </w:p>
    <w:p>
      <w:pPr>
        <w:autoSpaceDE w:val="0"/>
        <w:autoSpaceDN w:val="0"/>
        <w:adjustRightInd w:val="0"/>
        <w:spacing w:line="584" w:lineRule="exact"/>
        <w:ind w:left="198"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w:t>
      </w:r>
      <w:r>
        <w:rPr>
          <w:rFonts w:hint="eastAsia" w:ascii="Times New Roman" w:hAnsi="Times New Roman" w:eastAsia="仿宋_GB2312" w:cs="Times New Roman"/>
          <w:sz w:val="32"/>
          <w:szCs w:val="32"/>
        </w:rPr>
        <w:t>中国共产党廊坊市广阳区委员会办公室</w:t>
      </w:r>
      <w:r>
        <w:rPr>
          <w:rFonts w:ascii="Times New Roman" w:hAnsi="Times New Roman" w:eastAsia="仿宋_GB2312" w:cs="Times New Roman"/>
          <w:sz w:val="32"/>
          <w:szCs w:val="32"/>
        </w:rPr>
        <w:t>机关运行经费共计安排322.86万元，主要用于办公区的日常维修、办公用房水电费、办公用房取暖费、接待费、公务用车运行维护费、办公用房物业管理费等日常运行支出。</w:t>
      </w:r>
    </w:p>
    <w:p>
      <w:pPr>
        <w:autoSpaceDE w:val="0"/>
        <w:autoSpaceDN w:val="0"/>
        <w:adjustRightInd w:val="0"/>
        <w:spacing w:line="584" w:lineRule="exact"/>
        <w:ind w:firstLine="630" w:firstLineChars="196"/>
        <w:jc w:val="left"/>
        <w:rPr>
          <w:rFonts w:ascii="Times New Roman" w:hAnsi="Times New Roman" w:eastAsia="仿宋_GB2312" w:cs="Times New Roman"/>
          <w:b/>
          <w:sz w:val="32"/>
          <w:szCs w:val="32"/>
        </w:rPr>
      </w:pPr>
      <w:r>
        <w:rPr>
          <w:rFonts w:ascii="Times New Roman" w:hAnsi="Times New Roman" w:eastAsia="仿宋_GB2312" w:cs="Times New Roman"/>
          <w:b/>
          <w:sz w:val="32"/>
          <w:szCs w:val="32"/>
        </w:rPr>
        <w:t>四、财政拨款“三公”经费预算情况及增减变化原因</w:t>
      </w:r>
    </w:p>
    <w:p>
      <w:pPr>
        <w:autoSpaceDE w:val="0"/>
        <w:autoSpaceDN w:val="0"/>
        <w:adjustRightInd w:val="0"/>
        <w:spacing w:line="584" w:lineRule="exact"/>
        <w:ind w:left="197" w:leftChars="94" w:firstLine="800" w:firstLineChars="250"/>
        <w:jc w:val="left"/>
        <w:rPr>
          <w:rFonts w:ascii="仿宋" w:eastAsia="仿宋" w:cs="仿宋"/>
          <w:color w:val="000000"/>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2年，财政拨款“三公”经费预算安排</w:t>
      </w:r>
      <w:r>
        <w:rPr>
          <w:rFonts w:hint="eastAsia" w:ascii="Times New Roman" w:hAnsi="Times New Roman" w:eastAsia="仿宋_GB2312" w:cs="Times New Roman"/>
          <w:sz w:val="32"/>
          <w:szCs w:val="32"/>
        </w:rPr>
        <w:t>10</w:t>
      </w:r>
      <w:r>
        <w:rPr>
          <w:rFonts w:ascii="Times New Roman" w:hAnsi="Times New Roman" w:eastAsia="仿宋_GB2312" w:cs="Times New Roman"/>
          <w:sz w:val="32"/>
          <w:szCs w:val="32"/>
        </w:rPr>
        <w:t>6.66万元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万元；公务用车购置及运维费</w:t>
      </w: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0.66万元（其中：公务用车购置费为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0.66万元)；公务接待费</w:t>
      </w:r>
      <w:r>
        <w:rPr>
          <w:rFonts w:hint="eastAsia" w:ascii="Times New Roman" w:hAnsi="Times New Roman" w:eastAsia="仿宋_GB2312" w:cs="Times New Roman"/>
          <w:sz w:val="32"/>
          <w:szCs w:val="32"/>
        </w:rPr>
        <w:t>76</w:t>
      </w:r>
      <w:r>
        <w:rPr>
          <w:rFonts w:ascii="Times New Roman" w:hAnsi="Times New Roman" w:eastAsia="仿宋_GB2312" w:cs="Times New Roman"/>
          <w:sz w:val="32"/>
          <w:szCs w:val="32"/>
        </w:rPr>
        <w:t>万元。与20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w:t>
      </w:r>
      <w:r>
        <w:rPr>
          <w:rFonts w:hint="eastAsia" w:ascii="Times New Roman" w:hAnsi="Times New Roman" w:eastAsia="仿宋_GB2312" w:cs="Times New Roman"/>
          <w:sz w:val="32"/>
          <w:szCs w:val="32"/>
        </w:rPr>
        <w:t>相比</w:t>
      </w:r>
      <w:r>
        <w:rPr>
          <w:rFonts w:ascii="Times New Roman" w:hAnsi="Times New Roman" w:eastAsia="仿宋_GB2312" w:cs="Times New Roman"/>
          <w:sz w:val="32"/>
          <w:szCs w:val="32"/>
        </w:rPr>
        <w:t>减少2.19</w:t>
      </w:r>
      <w:r>
        <w:rPr>
          <w:rFonts w:hint="eastAsia" w:ascii="Times New Roman" w:hAnsi="Times New Roman" w:eastAsia="仿宋_GB2312" w:cs="Times New Roman"/>
          <w:sz w:val="32"/>
          <w:szCs w:val="32"/>
        </w:rPr>
        <w:t>万</w:t>
      </w:r>
      <w:r>
        <w:rPr>
          <w:rFonts w:ascii="Times New Roman" w:hAnsi="Times New Roman" w:eastAsia="仿宋_GB2312" w:cs="Times New Roman"/>
          <w:sz w:val="32"/>
          <w:szCs w:val="32"/>
        </w:rPr>
        <w:t>元，</w:t>
      </w:r>
      <w:r>
        <w:rPr>
          <w:rFonts w:hint="eastAsia" w:ascii="Times New Roman" w:hAnsi="Times New Roman" w:eastAsia="仿宋_GB2312" w:cs="Times New Roman"/>
          <w:sz w:val="32"/>
          <w:szCs w:val="32"/>
        </w:rPr>
        <w:t>其中，</w:t>
      </w:r>
      <w:r>
        <w:rPr>
          <w:rFonts w:ascii="Times New Roman" w:hAnsi="Times New Roman" w:eastAsia="仿宋_GB2312" w:cs="Times New Roman"/>
          <w:sz w:val="32"/>
          <w:szCs w:val="32"/>
        </w:rPr>
        <w:t>公务用车购置及运维费减少2.19万元（其中：公务用车购置费减少0万元，公务用车运维费增</w:t>
      </w:r>
      <w:r>
        <w:rPr>
          <w:rFonts w:hint="eastAsia" w:ascii="Times New Roman" w:hAnsi="Times New Roman" w:eastAsia="仿宋_GB2312" w:cs="Times New Roman"/>
          <w:sz w:val="32"/>
          <w:szCs w:val="32"/>
        </w:rPr>
        <w:t>加</w:t>
      </w:r>
      <w:r>
        <w:rPr>
          <w:rFonts w:ascii="Times New Roman" w:hAnsi="Times New Roman" w:eastAsia="仿宋_GB2312" w:cs="Times New Roman"/>
          <w:sz w:val="32"/>
          <w:szCs w:val="32"/>
        </w:rPr>
        <w:t>2.19万元)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主要原因是</w:t>
      </w:r>
      <w:r>
        <w:rPr>
          <w:rFonts w:hint="eastAsia" w:ascii="Times New Roman" w:hAnsi="Times New Roman" w:eastAsia="仿宋_GB2312" w:cs="Times New Roman"/>
          <w:sz w:val="32"/>
          <w:szCs w:val="32"/>
        </w:rPr>
        <w:t>我部门切实落实勤俭节约各项规定，压减公车运行经费支出</w:t>
      </w:r>
      <w:r>
        <w:rPr>
          <w:rFonts w:ascii="Times New Roman" w:hAnsi="Times New Roman" w:eastAsia="仿宋_GB2312" w:cs="Times New Roman"/>
          <w:sz w:val="32"/>
          <w:szCs w:val="32"/>
        </w:rPr>
        <w:t>；公务</w:t>
      </w:r>
      <w:r>
        <w:rPr>
          <w:rFonts w:hint="eastAsia" w:ascii="仿宋" w:eastAsia="仿宋" w:cs="仿宋"/>
          <w:sz w:val="32"/>
          <w:szCs w:val="32"/>
        </w:rPr>
        <w:t>接待费</w:t>
      </w:r>
      <w:r>
        <w:rPr>
          <w:rFonts w:hint="eastAsia" w:ascii="仿宋" w:eastAsia="仿宋" w:cs="仿宋"/>
          <w:color w:val="000000"/>
          <w:sz w:val="32"/>
          <w:szCs w:val="32"/>
        </w:rPr>
        <w:t>与202</w:t>
      </w:r>
      <w:r>
        <w:rPr>
          <w:rFonts w:ascii="仿宋" w:eastAsia="仿宋" w:cs="仿宋"/>
          <w:color w:val="000000"/>
          <w:sz w:val="32"/>
          <w:szCs w:val="32"/>
        </w:rPr>
        <w:t>1</w:t>
      </w:r>
      <w:r>
        <w:rPr>
          <w:rFonts w:hint="eastAsia" w:ascii="仿宋" w:eastAsia="仿宋" w:cs="仿宋"/>
          <w:color w:val="000000"/>
          <w:sz w:val="32"/>
          <w:szCs w:val="32"/>
        </w:rPr>
        <w:t>年相比持平，无增减变化。</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ascii="Times New Roman" w:hAnsi="Times New Roman" w:eastAsia="黑体" w:cs="Times New Roman"/>
          <w:sz w:val="32"/>
          <w:szCs w:val="32"/>
        </w:rPr>
      </w:pPr>
      <w:r>
        <w:rPr>
          <w:rFonts w:ascii="Times New Roman" w:hAnsi="Times New Roman" w:eastAsia="黑体" w:cs="Times New Roman"/>
          <w:sz w:val="32"/>
          <w:szCs w:val="32"/>
        </w:rPr>
        <w:t>五、绩效预算信息</w:t>
      </w:r>
    </w:p>
    <w:p>
      <w:pPr>
        <w:keepNext w:val="0"/>
        <w:keepLines w:val="0"/>
        <w:pageBreakBefore w:val="0"/>
        <w:kinsoku/>
        <w:wordWrap/>
        <w:overflowPunct/>
        <w:topLinePunct w:val="0"/>
        <w:autoSpaceDE/>
        <w:autoSpaceDN/>
        <w:bidi w:val="0"/>
        <w:adjustRightInd/>
        <w:snapToGrid/>
        <w:spacing w:line="584" w:lineRule="exact"/>
        <w:ind w:firstLine="640" w:firstLineChars="200"/>
        <w:textAlignment w:val="auto"/>
        <w:rPr>
          <w:rFonts w:ascii="Times New Roman" w:hAnsi="Times New Roman" w:eastAsia="黑体" w:cs="Times New Roman"/>
          <w:sz w:val="32"/>
          <w:szCs w:val="32"/>
        </w:rPr>
      </w:pPr>
      <w:r>
        <w:rPr>
          <w:rFonts w:hint="eastAsia" w:ascii="Times New Roman" w:hAnsi="Times New Roman" w:eastAsia="黑体" w:cs="Times New Roman"/>
          <w:sz w:val="32"/>
          <w:szCs w:val="32"/>
        </w:rPr>
        <w:t>第一部分 部门整体绩效目标</w:t>
      </w:r>
    </w:p>
    <w:p>
      <w:pPr>
        <w:keepNext w:val="0"/>
        <w:keepLines w:val="0"/>
        <w:pageBreakBefore w:val="0"/>
        <w:kinsoku/>
        <w:wordWrap/>
        <w:overflowPunct/>
        <w:topLinePunct w:val="0"/>
        <w:autoSpaceDE/>
        <w:autoSpaceDN/>
        <w:bidi w:val="0"/>
        <w:adjustRightInd/>
        <w:snapToGrid/>
        <w:spacing w:line="584" w:lineRule="exact"/>
        <w:ind w:firstLine="643" w:firstLineChars="200"/>
        <w:textAlignment w:val="auto"/>
        <w:rPr>
          <w:rFonts w:ascii="楷体_GB2312" w:eastAsia="楷体_GB2312" w:cs="Times New Roman"/>
          <w:b/>
          <w:sz w:val="32"/>
          <w:szCs w:val="32"/>
        </w:rPr>
      </w:pPr>
      <w:r>
        <w:rPr>
          <w:rFonts w:hint="eastAsia" w:ascii="楷体_GB2312" w:eastAsia="楷体_GB2312" w:cs="Times New Roman"/>
          <w:b/>
          <w:sz w:val="32"/>
          <w:szCs w:val="32"/>
        </w:rPr>
        <w:t>（一）总体绩效目标</w:t>
      </w:r>
    </w:p>
    <w:p>
      <w:pPr>
        <w:keepNext w:val="0"/>
        <w:keepLines w:val="0"/>
        <w:pageBreakBefore w:val="0"/>
        <w:kinsoku/>
        <w:wordWrap/>
        <w:overflowPunct/>
        <w:topLinePunct w:val="0"/>
        <w:autoSpaceDE/>
        <w:autoSpaceDN/>
        <w:bidi w:val="0"/>
        <w:adjustRightInd/>
        <w:snapToGrid/>
        <w:spacing w:line="584" w:lineRule="exact"/>
        <w:ind w:firstLine="640" w:firstLineChars="200"/>
        <w:textAlignment w:val="auto"/>
        <w:rPr>
          <w:rFonts w:ascii="仿宋_GB2312" w:eastAsia="仿宋_GB2312" w:cs="方正仿宋_GBK"/>
          <w:sz w:val="32"/>
          <w:szCs w:val="32"/>
        </w:rPr>
      </w:pPr>
      <w:r>
        <w:rPr>
          <w:rFonts w:hint="eastAsia" w:ascii="仿宋_GB2312" w:hAnsi="Times New Roman" w:eastAsia="仿宋_GB2312"/>
          <w:sz w:val="32"/>
          <w:szCs w:val="32"/>
        </w:rPr>
        <w:t>我们将坚持以习近平新时代中国特色社会主义思想为指导，推动全区上下深入贯彻落实习近平总书记的重要指示精神和上级各部门的决策部署，以有力有效措施不断扩大贯彻落实成效。根据区委中心工作和领导关注问题，加强督促检查，确保区委区政府政令畅通；开展专题调研，更好发挥参谋助手作用；加强统筹协调，保障全区性重要会议和重大活动开展；发挥信息主渠道作用，为区委领导提供高质量信息服务。加强区委各部门体制机制建设，改进运转保障工作，确保区委各部门运转通畅、高效快捷，不断提升各部门“三服务”质量和水平。</w:t>
      </w:r>
    </w:p>
    <w:p>
      <w:pPr>
        <w:keepNext w:val="0"/>
        <w:keepLines w:val="0"/>
        <w:pageBreakBefore w:val="0"/>
        <w:kinsoku/>
        <w:wordWrap/>
        <w:overflowPunct/>
        <w:topLinePunct w:val="0"/>
        <w:autoSpaceDE/>
        <w:autoSpaceDN/>
        <w:bidi w:val="0"/>
        <w:adjustRightInd/>
        <w:snapToGrid/>
        <w:spacing w:line="584" w:lineRule="exact"/>
        <w:ind w:firstLine="643" w:firstLineChars="200"/>
        <w:textAlignment w:val="auto"/>
        <w:rPr>
          <w:rFonts w:ascii="楷体_GB2312" w:eastAsia="楷体_GB2312" w:cs="Times New Roman"/>
          <w:b/>
          <w:sz w:val="32"/>
          <w:szCs w:val="32"/>
        </w:rPr>
      </w:pPr>
      <w:r>
        <w:rPr>
          <w:rFonts w:hint="eastAsia" w:ascii="楷体_GB2312" w:eastAsia="楷体_GB2312" w:cs="Times New Roman"/>
          <w:b/>
          <w:sz w:val="32"/>
          <w:szCs w:val="32"/>
        </w:rPr>
        <w:t>（二）分项绩效目标</w:t>
      </w:r>
    </w:p>
    <w:p>
      <w:pPr>
        <w:keepNext w:val="0"/>
        <w:keepLines w:val="0"/>
        <w:pageBreakBefore w:val="0"/>
        <w:kinsoku/>
        <w:wordWrap/>
        <w:overflowPunct/>
        <w:topLinePunct w:val="0"/>
        <w:autoSpaceDE/>
        <w:autoSpaceDN/>
        <w:bidi w:val="0"/>
        <w:adjustRightInd/>
        <w:snapToGrid/>
        <w:spacing w:line="584" w:lineRule="exact"/>
        <w:ind w:firstLine="640" w:firstLineChars="200"/>
        <w:jc w:val="left"/>
        <w:textAlignment w:val="auto"/>
        <w:rPr>
          <w:rFonts w:ascii="仿宋_GB2312" w:hAnsi="Times New Roman" w:eastAsia="仿宋_GB2312"/>
          <w:sz w:val="32"/>
          <w:szCs w:val="32"/>
        </w:rPr>
      </w:pPr>
      <w:r>
        <w:rPr>
          <w:rFonts w:hint="eastAsia" w:ascii="仿宋_GB2312" w:hAnsi="Times New Roman" w:eastAsia="仿宋_GB2312"/>
          <w:sz w:val="32"/>
          <w:szCs w:val="32"/>
        </w:rPr>
        <w:t>区委办公室将紧紧围绕区委中心工作，坚持以习近平新时代中国特色社会主义思想为统领，忠诚践行“五个坚持”，强化政治担当，聚焦党中央重大决策部署和省、市、区委工作要求，加大改革创新力度，不断提高“三服务”工作水平，努力在服务全区改革发展稳定大局中走在前、作表率。</w:t>
      </w:r>
    </w:p>
    <w:p>
      <w:pPr>
        <w:keepNext w:val="0"/>
        <w:keepLines w:val="0"/>
        <w:pageBreakBefore w:val="0"/>
        <w:kinsoku/>
        <w:wordWrap/>
        <w:overflowPunct/>
        <w:topLinePunct w:val="0"/>
        <w:autoSpaceDE/>
        <w:autoSpaceDN/>
        <w:bidi w:val="0"/>
        <w:adjustRightInd/>
        <w:snapToGrid/>
        <w:spacing w:line="584" w:lineRule="exact"/>
        <w:ind w:firstLine="640" w:firstLineChars="200"/>
        <w:jc w:val="left"/>
        <w:textAlignment w:val="auto"/>
        <w:rPr>
          <w:rFonts w:ascii="仿宋_GB2312" w:hAnsi="Times New Roman" w:eastAsia="仿宋_GB2312"/>
          <w:sz w:val="32"/>
          <w:szCs w:val="32"/>
        </w:rPr>
      </w:pPr>
      <w:r>
        <w:rPr>
          <w:rFonts w:hint="eastAsia" w:ascii="仿宋_GB2312" w:hAnsi="Times New Roman" w:eastAsia="仿宋_GB2312"/>
          <w:sz w:val="32"/>
          <w:szCs w:val="32"/>
        </w:rPr>
        <w:t>（一）加强参谋服务，进一步提升以文辅政水平。一是提高调查研究质量。在调研工作上下功夫，提高调研的针对性，聚焦总结经验、推广典型、研究对策，重点抓好产业发展、城市治理、乡村振兴等重大课题的调查研究，力求多出思路、多出谋划、多出精品。二是着力做好信息服务。努力抓好工作动态、社情民意、经验典型、意见建议等各类信息的报送和编发，努力做到下发的信息对基层工作有指导作用，呈送的信息对领导的决策有参谋意义。定期下发通报，年底对信息工作先进单位和个人进行通报，激发信息员队伍工作活力。组织信息员业务培训和信息工作会议，全面提升信息工作水平。三是提升综合文稿水平。提倡“短、实、新”的优良文风，力求言简意赅、准确规范，不断增强文稿的思想性、指导性和可操作性，更好地指导实践、解决问题、推动工作。四是做好公文处理工作。全面优化公文办理流程，完善紧急发文处理办法，提高公文运转效率，降低公文运转的时间成本和人力成本。适应中央和省、市委公文办理工作的新特点新要求，特别是对省、市委主要领导批示件，要“立即办、零停留”“当日件、当日清”，确保事事有着落、件件有回音。</w:t>
      </w:r>
    </w:p>
    <w:p>
      <w:pPr>
        <w:keepNext w:val="0"/>
        <w:keepLines w:val="0"/>
        <w:pageBreakBefore w:val="0"/>
        <w:kinsoku/>
        <w:wordWrap/>
        <w:overflowPunct/>
        <w:topLinePunct w:val="0"/>
        <w:autoSpaceDE/>
        <w:autoSpaceDN/>
        <w:bidi w:val="0"/>
        <w:adjustRightInd/>
        <w:snapToGrid/>
        <w:spacing w:line="584" w:lineRule="exact"/>
        <w:ind w:firstLine="640" w:firstLineChars="200"/>
        <w:jc w:val="left"/>
        <w:textAlignment w:val="auto"/>
        <w:rPr>
          <w:rFonts w:ascii="仿宋_GB2312" w:hAnsi="Times New Roman" w:eastAsia="仿宋_GB2312"/>
          <w:sz w:val="32"/>
          <w:szCs w:val="32"/>
        </w:rPr>
      </w:pPr>
      <w:r>
        <w:rPr>
          <w:rFonts w:hint="eastAsia" w:ascii="仿宋_GB2312" w:hAnsi="Times New Roman" w:eastAsia="仿宋_GB2312"/>
          <w:sz w:val="32"/>
          <w:szCs w:val="32"/>
        </w:rPr>
        <w:t>（二）加强综合协调，进一步提升中枢运转水平。一是做好协调服务工作。对领导交办的任务，全力以赴协调，保证任务完成;对各部门提出的需求，兼顾各方需要，协助及时落实;对基层群众反映的问题，耐心及时协调，认真听取意见，满腔热情办好办实。二是提高后勤保障能力。积极探索加强和改进后勤保障的新途径，加强办公室公务用车、耗材管理，从严控制公务接待，加强会议场所管理，坚持日常巡查巡防，及时对办公设施进行维护修缮，保障机关的正常运转。三是切实做好值班工作。严格值班管理，坚持值班制度和重大紧急情况处理报告制度，保证“收、发、办、传、接、值”等各项工作规范有序。</w:t>
      </w:r>
    </w:p>
    <w:p>
      <w:pPr>
        <w:keepNext w:val="0"/>
        <w:keepLines w:val="0"/>
        <w:pageBreakBefore w:val="0"/>
        <w:kinsoku/>
        <w:wordWrap/>
        <w:overflowPunct/>
        <w:topLinePunct w:val="0"/>
        <w:autoSpaceDE/>
        <w:autoSpaceDN/>
        <w:bidi w:val="0"/>
        <w:adjustRightInd/>
        <w:snapToGrid/>
        <w:spacing w:line="584" w:lineRule="exact"/>
        <w:ind w:firstLine="640" w:firstLineChars="200"/>
        <w:jc w:val="left"/>
        <w:textAlignment w:val="auto"/>
        <w:rPr>
          <w:rFonts w:ascii="仿宋_GB2312" w:hAnsi="Times New Roman" w:eastAsia="仿宋_GB2312"/>
          <w:sz w:val="32"/>
          <w:szCs w:val="32"/>
        </w:rPr>
      </w:pPr>
      <w:r>
        <w:rPr>
          <w:rFonts w:hint="eastAsia" w:ascii="仿宋_GB2312" w:hAnsi="Times New Roman" w:eastAsia="仿宋_GB2312"/>
          <w:sz w:val="32"/>
          <w:szCs w:val="32"/>
        </w:rPr>
        <w:t>（三）加强督查落实，进一步提升服务决策水平。一是突出重点督查督办。将督查工作的突破口放在区委部署要求的督查落实、领导批示件的督查督办等方面，及时拟定督查方案，进行分解立项，将工作任务落实到各部门，明确责任，提出要求。进一步完善督查工作制度，加强督查计划性和前瞻性，深入实地调研督查，努力提高督查质量。注重抓落实，及时向区委领导反馈落实进程，确保各项工作部署推进有效。二是推进改革任务落实。区委改革工作在落实会议召开、台账管理等常规制度的基础上，实行上级改革任务落实情况报告、督察通报、专项调研三项制度，引导和推进全区上下各负其责、认真履职，力促每项改革举措落地见效。三是扎实做好国安工作。紧紧聚焦政治安全、经济、科技、社会稳定、公共安全、生态环境、外部环境、意识形态、党的建设等九大领域，积极协调区委国安委成员单位，全面深入摸排风险隐患，及时采取有效措施进行化解，确保全区经济社会发展大局和谐稳定。</w:t>
      </w:r>
    </w:p>
    <w:p>
      <w:pPr>
        <w:keepNext w:val="0"/>
        <w:keepLines w:val="0"/>
        <w:pageBreakBefore w:val="0"/>
        <w:kinsoku/>
        <w:wordWrap/>
        <w:overflowPunct/>
        <w:topLinePunct w:val="0"/>
        <w:autoSpaceDE/>
        <w:autoSpaceDN/>
        <w:bidi w:val="0"/>
        <w:adjustRightInd/>
        <w:snapToGrid/>
        <w:spacing w:line="584" w:lineRule="exact"/>
        <w:ind w:firstLine="640" w:firstLineChars="200"/>
        <w:jc w:val="left"/>
        <w:textAlignment w:val="auto"/>
        <w:rPr>
          <w:rFonts w:ascii="仿宋_GB2312" w:hAnsi="Times New Roman" w:eastAsia="仿宋_GB2312"/>
          <w:sz w:val="32"/>
          <w:szCs w:val="32"/>
        </w:rPr>
      </w:pPr>
      <w:r>
        <w:rPr>
          <w:rFonts w:hint="eastAsia" w:ascii="仿宋_GB2312" w:hAnsi="Times New Roman" w:eastAsia="仿宋_GB2312"/>
          <w:sz w:val="32"/>
          <w:szCs w:val="32"/>
        </w:rPr>
        <w:t>（四）加强自身建设，进一步提升“三服务”工作水平。一是加强政治建设。始终把“政治上忠诚可靠”作为第一要求，</w:t>
      </w:r>
      <w:r>
        <w:rPr>
          <w:rFonts w:hint="eastAsia" w:ascii="仿宋_GB2312" w:hAnsi="Times New Roman" w:eastAsia="仿宋_GB2312"/>
          <w:sz w:val="32"/>
          <w:szCs w:val="32"/>
          <w:lang w:eastAsia="zh-CN"/>
        </w:rPr>
        <w:t>坚决做到“两个维护”</w:t>
      </w:r>
      <w:r>
        <w:rPr>
          <w:rFonts w:hint="eastAsia" w:ascii="仿宋_GB2312" w:hAnsi="Times New Roman" w:eastAsia="仿宋_GB2312"/>
          <w:sz w:val="32"/>
          <w:szCs w:val="32"/>
        </w:rPr>
        <w:t>，严肃党内政治生活，自觉加强党性锤炼，持续推进“两学一做”学习教育常态化制度化。二是加强干部作风建设。办公室干部要带头遵守政治纪律、组织纪律、保密纪律，持续开展纠正“四风”和作风纪律专项整治，认真查找在服务群众、文风会风、履职尽责等方面的突出问题，坚决整改到位；加强纪律教育和纪律执行，强化监督执纪问责，让党员干部知敬畏、存戒惧、守底线，习惯在受监督和约束的环境中工作生活。三是加强对全区党办系统指导。深入推进业务指导与互动，坚持跟班学习制度，采取集中培训、座谈交流、业务练兵等方式，提高干部业务能力，以实际行动维护党办系统的良好形象。</w:t>
      </w:r>
    </w:p>
    <w:p>
      <w:pPr>
        <w:keepNext w:val="0"/>
        <w:keepLines w:val="0"/>
        <w:pageBreakBefore w:val="0"/>
        <w:kinsoku/>
        <w:wordWrap/>
        <w:overflowPunct/>
        <w:topLinePunct w:val="0"/>
        <w:autoSpaceDE/>
        <w:autoSpaceDN/>
        <w:bidi w:val="0"/>
        <w:adjustRightInd/>
        <w:snapToGrid/>
        <w:spacing w:line="584" w:lineRule="exact"/>
        <w:ind w:firstLine="640" w:firstLineChars="200"/>
        <w:jc w:val="left"/>
        <w:textAlignment w:val="auto"/>
        <w:rPr>
          <w:rFonts w:ascii="仿宋_GB2312" w:hAnsi="Times New Roman" w:eastAsia="仿宋_GB2312"/>
          <w:sz w:val="32"/>
          <w:szCs w:val="32"/>
        </w:rPr>
      </w:pPr>
      <w:r>
        <w:rPr>
          <w:rFonts w:hint="eastAsia" w:ascii="仿宋_GB2312" w:hAnsi="Times New Roman" w:eastAsia="仿宋_GB2312"/>
          <w:sz w:val="32"/>
          <w:szCs w:val="32"/>
        </w:rPr>
        <w:t>区妇联将继续高举习近平新时代中国特色社会主义思想伟大旗帜，深入学习贯彻党的十九大精神、党的十九届四中全会精神，中央党的群团工作会议精神，中国妇女十二大、河北妇女十四大精神，认真贯彻落实中央和省、市、区委各项决策部署，在区委和市妇联的坚强领导下，围绕中心服务大局，立足基层服务妇女，团结带领全区妇女勇于担当、乐于奉献、创新实干，为加快建设经济强区、美丽广阳贡献半边天力量。</w:t>
      </w:r>
    </w:p>
    <w:p>
      <w:pPr>
        <w:keepNext w:val="0"/>
        <w:keepLines w:val="0"/>
        <w:pageBreakBefore w:val="0"/>
        <w:kinsoku/>
        <w:wordWrap/>
        <w:overflowPunct/>
        <w:topLinePunct w:val="0"/>
        <w:autoSpaceDE/>
        <w:autoSpaceDN/>
        <w:bidi w:val="0"/>
        <w:adjustRightInd/>
        <w:snapToGrid/>
        <w:spacing w:line="584" w:lineRule="exact"/>
        <w:ind w:firstLine="640" w:firstLineChars="200"/>
        <w:jc w:val="left"/>
        <w:textAlignment w:val="auto"/>
        <w:rPr>
          <w:rFonts w:ascii="仿宋_GB2312" w:hAnsi="Times New Roman" w:eastAsia="仿宋_GB2312"/>
          <w:sz w:val="32"/>
          <w:szCs w:val="32"/>
        </w:rPr>
      </w:pPr>
      <w:r>
        <w:rPr>
          <w:rFonts w:hint="eastAsia" w:ascii="仿宋_GB2312" w:hAnsi="Times New Roman" w:eastAsia="仿宋_GB2312"/>
          <w:sz w:val="32"/>
          <w:szCs w:val="32"/>
        </w:rPr>
        <w:t>着力推进青年志愿者服务行动。以创建文明城市为载体，以学雷锋月和庆祝“</w:t>
      </w:r>
      <w:r>
        <w:rPr>
          <w:rFonts w:hint="eastAsia" w:ascii="仿宋_GB2312" w:hAnsi="Times New Roman" w:eastAsia="仿宋_GB2312"/>
          <w:sz w:val="32"/>
          <w:szCs w:val="32"/>
          <w:lang w:eastAsia="zh-CN"/>
        </w:rPr>
        <w:t>五四运动</w:t>
      </w:r>
      <w:r>
        <w:rPr>
          <w:rFonts w:hint="eastAsia" w:ascii="仿宋_GB2312" w:hAnsi="Times New Roman" w:eastAsia="仿宋_GB2312"/>
          <w:sz w:val="32"/>
          <w:szCs w:val="32"/>
        </w:rPr>
        <w:t>100周年为抓手，组织青年志愿者服务队深入社区、周边街道及敬老院，开展“弘扬雷锋精神 谱写青春华章”、“青春心向党 建功新时代”和“寸草心爱老敬老”等志愿服务活动，为社区居民、孤寡老人进行宣传、义诊、理发、清扫垃圾和清理小广告等服务。</w:t>
      </w:r>
    </w:p>
    <w:p>
      <w:pPr>
        <w:keepNext w:val="0"/>
        <w:keepLines w:val="0"/>
        <w:pageBreakBefore w:val="0"/>
        <w:kinsoku/>
        <w:wordWrap/>
        <w:overflowPunct/>
        <w:topLinePunct w:val="0"/>
        <w:autoSpaceDE/>
        <w:autoSpaceDN/>
        <w:bidi w:val="0"/>
        <w:adjustRightInd/>
        <w:snapToGrid/>
        <w:spacing w:line="584" w:lineRule="exact"/>
        <w:ind w:firstLine="640" w:firstLineChars="200"/>
        <w:jc w:val="left"/>
        <w:textAlignment w:val="auto"/>
        <w:rPr>
          <w:rFonts w:ascii="仿宋_GB2312" w:hAnsi="Times New Roman" w:eastAsia="仿宋_GB2312"/>
          <w:sz w:val="32"/>
          <w:szCs w:val="32"/>
        </w:rPr>
      </w:pPr>
      <w:r>
        <w:rPr>
          <w:rFonts w:hint="eastAsia" w:ascii="仿宋_GB2312" w:hAnsi="Times New Roman" w:eastAsia="仿宋_GB2312"/>
          <w:sz w:val="32"/>
          <w:szCs w:val="32"/>
        </w:rPr>
        <w:t>着力开展青少年自护教育。一是开展中考减压活动。在中考前夕，邀请心理咨询师郭琳走进廊坊市第六中学，为初三学生们作了一次考前减压辅导专题讲座。通过生动有趣的案例剖析，形象直观的肢体动作以及互动小游戏，进一步增强了考生考前心理素质，引导学生们积极调整心态迎接中考。二是开展禁毒主题教育活动。在第32个国际禁毒日之际，在市强制戒毒所组织开展了“珍爱生命 远离毒品”主题教育活动。通过戒毒所工作人员讲解和观看展板、签名寄语以及观看戒毒人员表演，使广大学生加深对毒品危害性的认识，并了解了艾滋病的传播途径，进一步加强防范意识，切实做到拒绝毒品、抵制毒品。三是签订框架协议。为进一步提高权益保护和预防青少年违法犯罪工作水平，11月18日，团区委与区检察院举行了构建未成年人检察工作社会支持体系合作框架协议会签仪式。通过座谈交流，双方就未成年人司法保护制度、加强青少年法治宣传和犯罪预防、强化未成年人权益保护、推动完善相关法律和政策等方面达成共识。</w:t>
      </w:r>
    </w:p>
    <w:p>
      <w:pPr>
        <w:pStyle w:val="15"/>
        <w:keepNext w:val="0"/>
        <w:keepLines w:val="0"/>
        <w:pageBreakBefore w:val="0"/>
        <w:kinsoku/>
        <w:wordWrap/>
        <w:overflowPunct/>
        <w:topLinePunct w:val="0"/>
        <w:autoSpaceDE/>
        <w:autoSpaceDN/>
        <w:bidi w:val="0"/>
        <w:adjustRightInd/>
        <w:snapToGrid/>
        <w:spacing w:line="584" w:lineRule="exact"/>
        <w:textAlignment w:val="auto"/>
        <w:rPr>
          <w:rFonts w:ascii="仿宋_GB2312" w:eastAsia="仿宋_GB2312"/>
          <w:sz w:val="32"/>
          <w:szCs w:val="32"/>
        </w:rPr>
      </w:pPr>
      <w:r>
        <w:rPr>
          <w:rFonts w:hint="eastAsia" w:ascii="仿宋_GB2312" w:eastAsia="仿宋_GB2312"/>
          <w:sz w:val="32"/>
          <w:szCs w:val="32"/>
        </w:rPr>
        <w:t>我校将围绕全区中心工作，坚持党校姓党，继续从严从实，狠抓管理，提升服务区委中心工作的能力和水平。继续抓好习近平新时代中国特色社会主义思想和党的十九大、十九届四中全会精神的学习宣传贯彻，引导党员干部自觉用习近平新时代中国特色社会主义思想武装头脑、指导实践。一是强化政治引领，提升服务大局能力。认真贯彻落实《中国共产党党校（行政学院）工作条例》，教育引导干部职工牢固树立“四个意识”，坚定“四个自信”，做到“两个维护”，进一步展现党校人“走在前、作表率”的政治担当。二是把握培训需求、精心设计培训内容。深入贯彻落实《2018-2022年全国干部教育培训规划》《2019－2023年全国党员教育培训工作规划》要求，进一步突出党史党性教育和理论教育主课地位，围绕区委区政府中心工作培训党员干部，精细安排培训课程，不断提高党员干部适应新时代、实现新目标、落实新部署的能力。三是大力开展理论宣讲，进一步加强思想理论引领，坚定干部“四个自信”，增强民族自信和自豪感。四是坚持“党校姓党”根本办学原则，始终把突出政治建设作为党校办学的首要遵循，加强课堂准入机制建设，强化上讲台前的政治审查与内容核准，确保不出“杂音”“噪音”，确保意识形态方面不出问题。</w:t>
      </w:r>
    </w:p>
    <w:p>
      <w:pPr>
        <w:pStyle w:val="15"/>
        <w:keepNext w:val="0"/>
        <w:keepLines w:val="0"/>
        <w:pageBreakBefore w:val="0"/>
        <w:kinsoku/>
        <w:wordWrap/>
        <w:overflowPunct/>
        <w:topLinePunct w:val="0"/>
        <w:autoSpaceDE/>
        <w:autoSpaceDN/>
        <w:bidi w:val="0"/>
        <w:adjustRightInd/>
        <w:snapToGrid/>
        <w:spacing w:line="584" w:lineRule="exact"/>
        <w:textAlignment w:val="auto"/>
        <w:rPr>
          <w:rFonts w:ascii="仿宋_GB2312" w:eastAsia="仿宋_GB2312"/>
          <w:sz w:val="32"/>
          <w:szCs w:val="32"/>
        </w:rPr>
      </w:pPr>
      <w:r>
        <w:rPr>
          <w:rFonts w:hint="eastAsia" w:ascii="仿宋_GB2312" w:eastAsia="仿宋_GB2312"/>
          <w:sz w:val="32"/>
          <w:szCs w:val="32"/>
        </w:rPr>
        <w:t>区委办</w:t>
      </w:r>
    </w:p>
    <w:p>
      <w:pPr>
        <w:pStyle w:val="15"/>
        <w:keepNext w:val="0"/>
        <w:keepLines w:val="0"/>
        <w:pageBreakBefore w:val="0"/>
        <w:kinsoku/>
        <w:wordWrap/>
        <w:overflowPunct/>
        <w:topLinePunct w:val="0"/>
        <w:autoSpaceDE/>
        <w:autoSpaceDN/>
        <w:bidi w:val="0"/>
        <w:adjustRightInd/>
        <w:snapToGrid/>
        <w:spacing w:line="584" w:lineRule="exact"/>
        <w:textAlignment w:val="auto"/>
        <w:rPr>
          <w:rFonts w:ascii="仿宋_GB2312" w:eastAsia="仿宋_GB2312"/>
          <w:sz w:val="32"/>
          <w:szCs w:val="32"/>
        </w:rPr>
      </w:pPr>
      <w:r>
        <w:rPr>
          <w:rFonts w:hint="eastAsia" w:ascii="仿宋_GB2312" w:eastAsia="仿宋_GB2312"/>
          <w:sz w:val="32"/>
          <w:szCs w:val="32"/>
          <w:lang w:eastAsia="zh-CN"/>
        </w:rPr>
        <w:t>1、</w:t>
      </w:r>
      <w:r>
        <w:rPr>
          <w:rFonts w:hint="eastAsia" w:ascii="仿宋_GB2312" w:eastAsia="仿宋_GB2312"/>
          <w:sz w:val="32"/>
          <w:szCs w:val="32"/>
        </w:rPr>
        <w:t>保安保洁等临时人员工资</w:t>
      </w:r>
    </w:p>
    <w:p>
      <w:pPr>
        <w:pStyle w:val="15"/>
        <w:keepNext w:val="0"/>
        <w:keepLines w:val="0"/>
        <w:pageBreakBefore w:val="0"/>
        <w:kinsoku/>
        <w:wordWrap/>
        <w:overflowPunct/>
        <w:topLinePunct w:val="0"/>
        <w:autoSpaceDE/>
        <w:autoSpaceDN/>
        <w:bidi w:val="0"/>
        <w:adjustRightInd/>
        <w:snapToGrid/>
        <w:spacing w:line="584" w:lineRule="exact"/>
        <w:textAlignment w:val="auto"/>
        <w:rPr>
          <w:rFonts w:ascii="仿宋_GB2312" w:eastAsia="仿宋_GB2312"/>
          <w:sz w:val="32"/>
          <w:szCs w:val="32"/>
        </w:rPr>
      </w:pPr>
      <w:r>
        <w:rPr>
          <w:rFonts w:hint="eastAsia" w:ascii="仿宋_GB2312" w:eastAsia="仿宋_GB2312"/>
          <w:sz w:val="32"/>
          <w:szCs w:val="32"/>
        </w:rPr>
        <w:t>绩效目标：及时发放区委办保安保洁临时人员工资，做到专款专用， 确保区委大院各部门的正常运转，同时保障临时人员满意度。</w:t>
      </w:r>
    </w:p>
    <w:p>
      <w:pPr>
        <w:pStyle w:val="15"/>
        <w:keepNext w:val="0"/>
        <w:keepLines w:val="0"/>
        <w:pageBreakBefore w:val="0"/>
        <w:kinsoku/>
        <w:wordWrap/>
        <w:overflowPunct/>
        <w:topLinePunct w:val="0"/>
        <w:autoSpaceDE/>
        <w:autoSpaceDN/>
        <w:bidi w:val="0"/>
        <w:adjustRightInd/>
        <w:snapToGrid/>
        <w:spacing w:line="584" w:lineRule="exact"/>
        <w:textAlignment w:val="auto"/>
        <w:rPr>
          <w:rFonts w:ascii="仿宋_GB2312" w:eastAsia="仿宋_GB2312"/>
          <w:sz w:val="32"/>
          <w:szCs w:val="32"/>
        </w:rPr>
      </w:pPr>
      <w:r>
        <w:rPr>
          <w:rFonts w:hint="eastAsia" w:ascii="仿宋_GB2312" w:eastAsia="仿宋_GB2312"/>
          <w:sz w:val="32"/>
          <w:szCs w:val="32"/>
        </w:rPr>
        <w:t>绩效指标：数量保安服务人数9人保洁服务人数37人。时效保安保洁服务进度严格按照合同约定执行。质量保安保洁服务验收合格。质量保安保洁人员全部到岗。成本成本控制小于120万。社会效益推动各项工作的开展可以保障区委后勤工作正常开展。可持续影响持续维护机关后勤工作正常运转，年内持续保障机关后勤工作。满意度工作人员满意度　大于95%。</w:t>
      </w:r>
    </w:p>
    <w:p>
      <w:pPr>
        <w:pStyle w:val="15"/>
        <w:keepNext w:val="0"/>
        <w:keepLines w:val="0"/>
        <w:pageBreakBefore w:val="0"/>
        <w:kinsoku/>
        <w:wordWrap/>
        <w:overflowPunct/>
        <w:topLinePunct w:val="0"/>
        <w:autoSpaceDE/>
        <w:autoSpaceDN/>
        <w:bidi w:val="0"/>
        <w:adjustRightInd/>
        <w:snapToGrid/>
        <w:spacing w:line="584" w:lineRule="exact"/>
        <w:textAlignment w:val="auto"/>
        <w:rPr>
          <w:rFonts w:ascii="仿宋_GB2312" w:eastAsia="仿宋_GB2312"/>
          <w:sz w:val="32"/>
          <w:szCs w:val="32"/>
        </w:rPr>
      </w:pPr>
      <w:r>
        <w:rPr>
          <w:rFonts w:hint="eastAsia" w:ascii="仿宋_GB2312" w:eastAsia="仿宋_GB2312"/>
          <w:sz w:val="32"/>
          <w:szCs w:val="32"/>
          <w:lang w:eastAsia="zh-CN"/>
        </w:rPr>
        <w:t>2、</w:t>
      </w:r>
      <w:r>
        <w:rPr>
          <w:rFonts w:hint="eastAsia" w:ascii="仿宋_GB2312" w:eastAsia="仿宋_GB2312"/>
          <w:sz w:val="32"/>
          <w:szCs w:val="32"/>
        </w:rPr>
        <w:t>政务服务经费</w:t>
      </w:r>
    </w:p>
    <w:p>
      <w:pPr>
        <w:pStyle w:val="15"/>
        <w:keepNext w:val="0"/>
        <w:keepLines w:val="0"/>
        <w:pageBreakBefore w:val="0"/>
        <w:kinsoku/>
        <w:wordWrap/>
        <w:overflowPunct/>
        <w:topLinePunct w:val="0"/>
        <w:autoSpaceDE/>
        <w:autoSpaceDN/>
        <w:bidi w:val="0"/>
        <w:adjustRightInd/>
        <w:snapToGrid/>
        <w:spacing w:line="584" w:lineRule="exact"/>
        <w:textAlignment w:val="auto"/>
        <w:rPr>
          <w:rFonts w:ascii="仿宋_GB2312" w:eastAsia="仿宋_GB2312"/>
          <w:sz w:val="32"/>
          <w:szCs w:val="32"/>
        </w:rPr>
      </w:pPr>
      <w:r>
        <w:rPr>
          <w:rFonts w:hint="eastAsia" w:ascii="仿宋_GB2312" w:eastAsia="仿宋_GB2312"/>
          <w:sz w:val="32"/>
          <w:szCs w:val="32"/>
        </w:rPr>
        <w:t>绩效目标：保障区委大院各部门开展好工作所需经费开支，为确保区委大院各单位各部门的正常办公秩序提供保障，同时提高机关工作人员满意度。满足开展工作所需的经费开支，为区委大院各单位各部门的正常办公秩序提供保障，实现高效规范开展工作，提高服务质量。</w:t>
      </w:r>
    </w:p>
    <w:p>
      <w:pPr>
        <w:pStyle w:val="15"/>
        <w:keepNext w:val="0"/>
        <w:keepLines w:val="0"/>
        <w:pageBreakBefore w:val="0"/>
        <w:kinsoku/>
        <w:wordWrap/>
        <w:overflowPunct/>
        <w:topLinePunct w:val="0"/>
        <w:autoSpaceDE/>
        <w:autoSpaceDN/>
        <w:bidi w:val="0"/>
        <w:adjustRightInd/>
        <w:snapToGrid/>
        <w:spacing w:line="584" w:lineRule="exact"/>
        <w:textAlignment w:val="auto"/>
        <w:rPr>
          <w:rFonts w:ascii="仿宋_GB2312" w:eastAsia="仿宋_GB2312"/>
          <w:sz w:val="32"/>
          <w:szCs w:val="32"/>
        </w:rPr>
      </w:pPr>
      <w:r>
        <w:rPr>
          <w:rFonts w:hint="eastAsia" w:ascii="仿宋_GB2312" w:eastAsia="仿宋_GB2312"/>
          <w:sz w:val="32"/>
          <w:szCs w:val="32"/>
        </w:rPr>
        <w:t>绩效指标：数量保障大院200人办公。数量保障全部办公面积。质量验收合格。时效严格按照进度计划推进。成本成本控制在350万以内。社会效益指标后勤保障到位。可持续影响指标持续保障日常办公。满意度工作人员满意度超95%。</w:t>
      </w:r>
    </w:p>
    <w:p>
      <w:pPr>
        <w:pStyle w:val="15"/>
        <w:keepNext w:val="0"/>
        <w:keepLines w:val="0"/>
        <w:pageBreakBefore w:val="0"/>
        <w:kinsoku/>
        <w:wordWrap/>
        <w:overflowPunct/>
        <w:topLinePunct w:val="0"/>
        <w:autoSpaceDE/>
        <w:autoSpaceDN/>
        <w:bidi w:val="0"/>
        <w:adjustRightInd/>
        <w:snapToGrid/>
        <w:spacing w:line="584" w:lineRule="exact"/>
        <w:textAlignment w:val="auto"/>
        <w:rPr>
          <w:rFonts w:ascii="仿宋_GB2312" w:eastAsia="仿宋_GB2312"/>
          <w:sz w:val="32"/>
          <w:szCs w:val="32"/>
        </w:rPr>
      </w:pPr>
      <w:r>
        <w:rPr>
          <w:rFonts w:hint="eastAsia" w:ascii="仿宋_GB2312" w:eastAsia="仿宋_GB2312"/>
          <w:sz w:val="32"/>
          <w:szCs w:val="32"/>
        </w:rPr>
        <w:t>妇联</w:t>
      </w:r>
    </w:p>
    <w:p>
      <w:pPr>
        <w:pStyle w:val="15"/>
        <w:keepNext w:val="0"/>
        <w:keepLines w:val="0"/>
        <w:pageBreakBefore w:val="0"/>
        <w:kinsoku/>
        <w:wordWrap/>
        <w:overflowPunct/>
        <w:topLinePunct w:val="0"/>
        <w:autoSpaceDE/>
        <w:autoSpaceDN/>
        <w:bidi w:val="0"/>
        <w:adjustRightInd/>
        <w:snapToGrid/>
        <w:spacing w:line="584" w:lineRule="exact"/>
        <w:textAlignment w:val="auto"/>
        <w:rPr>
          <w:rFonts w:ascii="仿宋_GB2312" w:eastAsia="仿宋_GB2312"/>
          <w:sz w:val="32"/>
          <w:szCs w:val="32"/>
        </w:rPr>
      </w:pPr>
      <w:r>
        <w:rPr>
          <w:rFonts w:hint="eastAsia" w:ascii="仿宋_GB2312" w:eastAsia="仿宋_GB2312"/>
          <w:sz w:val="32"/>
          <w:szCs w:val="32"/>
          <w:lang w:eastAsia="zh-CN"/>
        </w:rPr>
        <w:t>1、</w:t>
      </w:r>
      <w:r>
        <w:rPr>
          <w:rFonts w:hint="eastAsia" w:ascii="仿宋_GB2312" w:eastAsia="仿宋_GB2312"/>
          <w:sz w:val="32"/>
          <w:szCs w:val="32"/>
        </w:rPr>
        <w:t>妇女之家建设专项资金</w:t>
      </w:r>
    </w:p>
    <w:p>
      <w:pPr>
        <w:pStyle w:val="15"/>
        <w:keepNext w:val="0"/>
        <w:keepLines w:val="0"/>
        <w:pageBreakBefore w:val="0"/>
        <w:kinsoku/>
        <w:wordWrap/>
        <w:overflowPunct/>
        <w:topLinePunct w:val="0"/>
        <w:autoSpaceDE/>
        <w:autoSpaceDN/>
        <w:bidi w:val="0"/>
        <w:adjustRightInd/>
        <w:snapToGrid/>
        <w:spacing w:line="584" w:lineRule="exact"/>
        <w:textAlignment w:val="auto"/>
        <w:rPr>
          <w:rFonts w:ascii="仿宋_GB2312" w:eastAsia="仿宋_GB2312"/>
          <w:sz w:val="32"/>
          <w:szCs w:val="32"/>
        </w:rPr>
      </w:pPr>
      <w:r>
        <w:rPr>
          <w:rFonts w:hint="eastAsia" w:ascii="仿宋_GB2312" w:eastAsia="仿宋_GB2312"/>
          <w:sz w:val="32"/>
          <w:szCs w:val="32"/>
        </w:rPr>
        <w:t>绩效目标：本着合理、节俭、实用相结合的原则，高质量、高标准创建省级“示范妇女之家”，大力发挥妇联作为党和政府联系广大妇女群众的桥梁纽带作用。</w:t>
      </w:r>
    </w:p>
    <w:p>
      <w:pPr>
        <w:pStyle w:val="15"/>
        <w:keepNext w:val="0"/>
        <w:keepLines w:val="0"/>
        <w:pageBreakBefore w:val="0"/>
        <w:kinsoku/>
        <w:wordWrap/>
        <w:overflowPunct/>
        <w:topLinePunct w:val="0"/>
        <w:autoSpaceDE/>
        <w:autoSpaceDN/>
        <w:bidi w:val="0"/>
        <w:adjustRightInd/>
        <w:snapToGrid/>
        <w:spacing w:line="584" w:lineRule="exact"/>
        <w:textAlignment w:val="auto"/>
        <w:rPr>
          <w:rFonts w:ascii="仿宋_GB2312" w:eastAsia="仿宋_GB2312"/>
          <w:sz w:val="32"/>
          <w:szCs w:val="32"/>
        </w:rPr>
      </w:pPr>
      <w:r>
        <w:rPr>
          <w:rFonts w:hint="eastAsia" w:ascii="仿宋_GB2312" w:eastAsia="仿宋_GB2312"/>
          <w:sz w:val="32"/>
          <w:szCs w:val="32"/>
        </w:rPr>
        <w:t>绩效指标：数量达到河北省“示范妇女之家”建设标准的省级“示范妇女之家”数量1个。时效2020年9月底前完成省级“示范妇女之家”建设任务。质量创建省级“示范妇女之家”验收合格。成本建设每个省级“示范妇女之家”支出的资金≤8.5万。社会效益充分发挥妇联作为党和政府联系广大妇女群众的桥梁纽带作用。可持续影响完善村街、社区妇女之家建设，吸引更多的妇女姐妹们参与到妇女之家建设。满意度各个村街、社区妇女之家负责人满意度≥85%。</w:t>
      </w:r>
    </w:p>
    <w:p>
      <w:pPr>
        <w:pStyle w:val="15"/>
        <w:keepNext w:val="0"/>
        <w:keepLines w:val="0"/>
        <w:pageBreakBefore w:val="0"/>
        <w:kinsoku/>
        <w:wordWrap/>
        <w:overflowPunct/>
        <w:topLinePunct w:val="0"/>
        <w:autoSpaceDE/>
        <w:autoSpaceDN/>
        <w:bidi w:val="0"/>
        <w:adjustRightInd/>
        <w:snapToGrid/>
        <w:spacing w:line="584" w:lineRule="exact"/>
        <w:textAlignment w:val="auto"/>
        <w:rPr>
          <w:rFonts w:ascii="仿宋_GB2312" w:eastAsia="仿宋_GB2312"/>
          <w:sz w:val="32"/>
          <w:szCs w:val="32"/>
        </w:rPr>
      </w:pPr>
      <w:r>
        <w:rPr>
          <w:rFonts w:hint="eastAsia" w:ascii="仿宋_GB2312" w:eastAsia="仿宋_GB2312"/>
          <w:sz w:val="32"/>
          <w:szCs w:val="32"/>
          <w:lang w:eastAsia="zh-CN"/>
        </w:rPr>
        <w:t>2、</w:t>
      </w:r>
      <w:r>
        <w:rPr>
          <w:rFonts w:hint="eastAsia" w:ascii="仿宋_GB2312" w:eastAsia="仿宋_GB2312"/>
          <w:sz w:val="32"/>
          <w:szCs w:val="32"/>
        </w:rPr>
        <w:t>2022年“三八”国际劳动妇女节活动经费</w:t>
      </w:r>
    </w:p>
    <w:p>
      <w:pPr>
        <w:pStyle w:val="15"/>
        <w:keepNext w:val="0"/>
        <w:keepLines w:val="0"/>
        <w:pageBreakBefore w:val="0"/>
        <w:kinsoku/>
        <w:wordWrap/>
        <w:overflowPunct/>
        <w:topLinePunct w:val="0"/>
        <w:autoSpaceDE/>
        <w:autoSpaceDN/>
        <w:bidi w:val="0"/>
        <w:adjustRightInd/>
        <w:snapToGrid/>
        <w:spacing w:line="584" w:lineRule="exact"/>
        <w:textAlignment w:val="auto"/>
        <w:rPr>
          <w:rFonts w:ascii="仿宋_GB2312" w:eastAsia="仿宋_GB2312"/>
          <w:sz w:val="32"/>
          <w:szCs w:val="32"/>
        </w:rPr>
      </w:pPr>
      <w:r>
        <w:rPr>
          <w:rFonts w:hint="eastAsia" w:ascii="仿宋_GB2312" w:eastAsia="仿宋_GB2312"/>
          <w:sz w:val="32"/>
          <w:szCs w:val="32"/>
        </w:rPr>
        <w:t>绩效目标：本着合理、节俭、实用相结合的原则，高质量、高标准开展庆祝2022年三八国际劳动妇女节暨表彰大会、“木兰有约”、“三八维权周”等系列活动。</w:t>
      </w:r>
    </w:p>
    <w:p>
      <w:pPr>
        <w:pStyle w:val="15"/>
        <w:keepNext w:val="0"/>
        <w:keepLines w:val="0"/>
        <w:pageBreakBefore w:val="0"/>
        <w:kinsoku/>
        <w:wordWrap/>
        <w:overflowPunct/>
        <w:topLinePunct w:val="0"/>
        <w:autoSpaceDE/>
        <w:autoSpaceDN/>
        <w:bidi w:val="0"/>
        <w:adjustRightInd/>
        <w:snapToGrid/>
        <w:spacing w:line="584" w:lineRule="exact"/>
        <w:textAlignment w:val="auto"/>
        <w:rPr>
          <w:rFonts w:ascii="仿宋_GB2312" w:eastAsia="仿宋_GB2312"/>
          <w:sz w:val="32"/>
          <w:szCs w:val="32"/>
        </w:rPr>
      </w:pPr>
      <w:r>
        <w:rPr>
          <w:rFonts w:hint="eastAsia" w:ascii="仿宋_GB2312" w:eastAsia="仿宋_GB2312"/>
          <w:sz w:val="32"/>
          <w:szCs w:val="32"/>
        </w:rPr>
        <w:t>绩效指标：数量组织参加活动人次≥80人次。时效2020年12月底前完成三八节、“木兰有约”、“三八维权周”等系列活动。质量三八国际劳动妇女节活动完成率100%。成本各项活动费用金额≤5万。社会效益丰富广大妇女儿童群众的生活。可持续影响提升妇女儿童生活指数。满意度妇女儿童满意</w:t>
      </w:r>
      <w:r>
        <w:rPr>
          <w:rFonts w:hint="eastAsia" w:ascii="仿宋_GB2312" w:eastAsia="仿宋_GB2312"/>
          <w:sz w:val="32"/>
          <w:szCs w:val="32"/>
          <w:lang w:eastAsia="zh-CN"/>
        </w:rPr>
        <w:t>度</w:t>
      </w:r>
      <w:r>
        <w:rPr>
          <w:rFonts w:hint="eastAsia" w:ascii="仿宋_GB2312" w:eastAsia="仿宋_GB2312"/>
          <w:sz w:val="32"/>
          <w:szCs w:val="32"/>
        </w:rPr>
        <w:t>≥95%。</w:t>
      </w:r>
    </w:p>
    <w:p>
      <w:pPr>
        <w:pStyle w:val="15"/>
        <w:keepNext w:val="0"/>
        <w:keepLines w:val="0"/>
        <w:pageBreakBefore w:val="0"/>
        <w:kinsoku/>
        <w:wordWrap/>
        <w:overflowPunct/>
        <w:topLinePunct w:val="0"/>
        <w:autoSpaceDE/>
        <w:autoSpaceDN/>
        <w:bidi w:val="0"/>
        <w:adjustRightInd/>
        <w:snapToGrid/>
        <w:spacing w:line="584" w:lineRule="exact"/>
        <w:textAlignment w:val="auto"/>
        <w:rPr>
          <w:rFonts w:ascii="仿宋_GB2312" w:eastAsia="仿宋_GB2312"/>
          <w:sz w:val="32"/>
          <w:szCs w:val="32"/>
        </w:rPr>
      </w:pPr>
      <w:r>
        <w:rPr>
          <w:rFonts w:hint="eastAsia" w:ascii="仿宋_GB2312" w:eastAsia="仿宋_GB2312"/>
          <w:sz w:val="32"/>
          <w:szCs w:val="32"/>
        </w:rPr>
        <w:t>党校</w:t>
      </w:r>
    </w:p>
    <w:p>
      <w:pPr>
        <w:pStyle w:val="15"/>
        <w:keepNext w:val="0"/>
        <w:keepLines w:val="0"/>
        <w:pageBreakBefore w:val="0"/>
        <w:kinsoku/>
        <w:wordWrap/>
        <w:overflowPunct/>
        <w:topLinePunct w:val="0"/>
        <w:autoSpaceDE/>
        <w:autoSpaceDN/>
        <w:bidi w:val="0"/>
        <w:adjustRightInd/>
        <w:snapToGrid/>
        <w:spacing w:line="584" w:lineRule="exact"/>
        <w:textAlignment w:val="auto"/>
        <w:rPr>
          <w:rFonts w:ascii="仿宋_GB2312" w:eastAsia="仿宋_GB2312"/>
          <w:sz w:val="32"/>
          <w:szCs w:val="32"/>
        </w:rPr>
      </w:pPr>
      <w:r>
        <w:rPr>
          <w:rFonts w:hint="eastAsia" w:ascii="仿宋_GB2312" w:eastAsia="仿宋_GB2312"/>
          <w:sz w:val="32"/>
          <w:szCs w:val="32"/>
          <w:lang w:eastAsia="zh-CN"/>
        </w:rPr>
        <w:t>1、</w:t>
      </w:r>
      <w:r>
        <w:rPr>
          <w:rFonts w:hint="eastAsia" w:ascii="仿宋_GB2312" w:eastAsia="仿宋_GB2312"/>
          <w:sz w:val="32"/>
          <w:szCs w:val="32"/>
        </w:rPr>
        <w:t>培训及科研经费</w:t>
      </w:r>
    </w:p>
    <w:p>
      <w:pPr>
        <w:pStyle w:val="15"/>
        <w:keepNext w:val="0"/>
        <w:keepLines w:val="0"/>
        <w:pageBreakBefore w:val="0"/>
        <w:kinsoku/>
        <w:wordWrap/>
        <w:overflowPunct/>
        <w:topLinePunct w:val="0"/>
        <w:autoSpaceDE/>
        <w:autoSpaceDN/>
        <w:bidi w:val="0"/>
        <w:adjustRightInd/>
        <w:snapToGrid/>
        <w:spacing w:line="584" w:lineRule="exact"/>
        <w:textAlignment w:val="auto"/>
        <w:rPr>
          <w:rFonts w:ascii="仿宋_GB2312" w:eastAsia="仿宋_GB2312"/>
          <w:sz w:val="32"/>
          <w:szCs w:val="32"/>
        </w:rPr>
      </w:pPr>
      <w:r>
        <w:rPr>
          <w:rFonts w:hint="eastAsia" w:ascii="仿宋_GB2312" w:eastAsia="仿宋_GB2312"/>
          <w:sz w:val="32"/>
          <w:szCs w:val="32"/>
        </w:rPr>
        <w:t>绩效目标：通过举办培训主体班次，提升学员政治理论，系统学习习近平新时代中国特色社会主义思想，开展专题党性教育和锻炼，学习履职必备的知识和能力，通过科研工作的开展，完成咨询决策工作，为区委、区政府决策提供有价值的对策和建议。</w:t>
      </w:r>
    </w:p>
    <w:p>
      <w:pPr>
        <w:pStyle w:val="15"/>
        <w:keepNext w:val="0"/>
        <w:keepLines w:val="0"/>
        <w:pageBreakBefore w:val="0"/>
        <w:kinsoku/>
        <w:wordWrap/>
        <w:overflowPunct/>
        <w:topLinePunct w:val="0"/>
        <w:autoSpaceDE/>
        <w:autoSpaceDN/>
        <w:bidi w:val="0"/>
        <w:adjustRightInd/>
        <w:snapToGrid/>
        <w:spacing w:line="584" w:lineRule="exact"/>
        <w:textAlignment w:val="auto"/>
        <w:rPr>
          <w:rFonts w:ascii="仿宋_GB2312" w:eastAsia="仿宋_GB2312"/>
          <w:sz w:val="32"/>
          <w:szCs w:val="32"/>
        </w:rPr>
      </w:pPr>
      <w:r>
        <w:rPr>
          <w:rFonts w:hint="eastAsia" w:ascii="仿宋_GB2312" w:eastAsia="仿宋_GB2312"/>
          <w:sz w:val="32"/>
          <w:szCs w:val="32"/>
        </w:rPr>
        <w:t>绩效指标：数量完成培训主体班学员次数大于等于4次。数量完成发表论文1次。质量按期完成培训计划。质量核心期刊及省级重要报刊发表、转载论文量在论文发表中的占比百分百。时效及时完成培训及科研情况。成本控制在预算成本以下。社会效益影响覆盖面涉及党建、科社等领域影响率大于等于百分之95.社会效益系统学习习近平新时代中国特色社会主义思想，开展专题党性教育和锻炼，学习履职必备的知识和能力。服务对象满意度，达到区委区政府满意。</w:t>
      </w:r>
    </w:p>
    <w:p>
      <w:pPr>
        <w:pStyle w:val="15"/>
        <w:keepNext w:val="0"/>
        <w:keepLines w:val="0"/>
        <w:pageBreakBefore w:val="0"/>
        <w:kinsoku/>
        <w:wordWrap/>
        <w:overflowPunct/>
        <w:topLinePunct w:val="0"/>
        <w:autoSpaceDE/>
        <w:autoSpaceDN/>
        <w:bidi w:val="0"/>
        <w:adjustRightInd/>
        <w:snapToGrid/>
        <w:spacing w:line="584" w:lineRule="exact"/>
        <w:textAlignment w:val="auto"/>
        <w:rPr>
          <w:rFonts w:ascii="仿宋_GB2312" w:eastAsia="仿宋_GB2312"/>
          <w:sz w:val="32"/>
          <w:szCs w:val="32"/>
        </w:rPr>
      </w:pPr>
      <w:r>
        <w:rPr>
          <w:rFonts w:hint="eastAsia" w:ascii="仿宋_GB2312" w:eastAsia="仿宋_GB2312"/>
          <w:sz w:val="32"/>
          <w:szCs w:val="32"/>
        </w:rPr>
        <w:t>宣传部</w:t>
      </w:r>
    </w:p>
    <w:p>
      <w:pPr>
        <w:pStyle w:val="15"/>
        <w:keepNext w:val="0"/>
        <w:keepLines w:val="0"/>
        <w:pageBreakBefore w:val="0"/>
        <w:kinsoku/>
        <w:wordWrap/>
        <w:overflowPunct/>
        <w:topLinePunct w:val="0"/>
        <w:autoSpaceDE/>
        <w:autoSpaceDN/>
        <w:bidi w:val="0"/>
        <w:adjustRightInd/>
        <w:snapToGrid/>
        <w:spacing w:line="584" w:lineRule="exact"/>
        <w:textAlignment w:val="auto"/>
        <w:rPr>
          <w:rFonts w:ascii="仿宋_GB2312" w:eastAsia="仿宋_GB2312"/>
          <w:sz w:val="32"/>
          <w:szCs w:val="32"/>
        </w:rPr>
      </w:pPr>
      <w:r>
        <w:rPr>
          <w:rFonts w:hint="eastAsia" w:ascii="仿宋_GB2312" w:eastAsia="仿宋_GB2312"/>
          <w:sz w:val="32"/>
          <w:szCs w:val="32"/>
          <w:lang w:eastAsia="zh-CN"/>
        </w:rPr>
        <w:t>1、</w:t>
      </w:r>
      <w:r>
        <w:rPr>
          <w:rFonts w:hint="eastAsia" w:ascii="仿宋_GB2312" w:eastAsia="仿宋_GB2312"/>
          <w:sz w:val="32"/>
          <w:szCs w:val="32"/>
        </w:rPr>
        <w:t>政府机关软件正版化采购项目经费</w:t>
      </w:r>
    </w:p>
    <w:p>
      <w:pPr>
        <w:pStyle w:val="15"/>
        <w:keepNext w:val="0"/>
        <w:keepLines w:val="0"/>
        <w:pageBreakBefore w:val="0"/>
        <w:kinsoku/>
        <w:wordWrap/>
        <w:overflowPunct/>
        <w:topLinePunct w:val="0"/>
        <w:autoSpaceDE/>
        <w:autoSpaceDN/>
        <w:bidi w:val="0"/>
        <w:adjustRightInd/>
        <w:snapToGrid/>
        <w:spacing w:line="584" w:lineRule="exact"/>
        <w:textAlignment w:val="auto"/>
        <w:rPr>
          <w:rFonts w:ascii="仿宋_GB2312" w:eastAsia="仿宋_GB2312"/>
          <w:sz w:val="32"/>
          <w:szCs w:val="32"/>
        </w:rPr>
      </w:pPr>
      <w:r>
        <w:rPr>
          <w:rFonts w:hint="eastAsia" w:ascii="仿宋_GB2312" w:eastAsia="仿宋_GB2312"/>
          <w:sz w:val="32"/>
          <w:szCs w:val="32"/>
        </w:rPr>
        <w:t>绩效目标：软件正版化率100%是全国版权示范城市的一条主要标准，广阳区各级各部门完成软件正版化率100%。</w:t>
      </w:r>
    </w:p>
    <w:p>
      <w:pPr>
        <w:pStyle w:val="15"/>
        <w:keepNext w:val="0"/>
        <w:keepLines w:val="0"/>
        <w:pageBreakBefore w:val="0"/>
        <w:kinsoku/>
        <w:wordWrap/>
        <w:overflowPunct/>
        <w:topLinePunct w:val="0"/>
        <w:autoSpaceDE/>
        <w:autoSpaceDN/>
        <w:bidi w:val="0"/>
        <w:adjustRightInd/>
        <w:snapToGrid/>
        <w:spacing w:line="584" w:lineRule="exact"/>
        <w:textAlignment w:val="auto"/>
        <w:rPr>
          <w:rFonts w:ascii="仿宋_GB2312" w:eastAsia="仿宋_GB2312"/>
          <w:sz w:val="32"/>
          <w:szCs w:val="32"/>
        </w:rPr>
      </w:pPr>
      <w:r>
        <w:rPr>
          <w:rFonts w:hint="eastAsia" w:ascii="仿宋_GB2312" w:eastAsia="仿宋_GB2312"/>
          <w:sz w:val="32"/>
          <w:szCs w:val="32"/>
        </w:rPr>
        <w:t>绩效指标：数量政府机关安装正版软件计算机台数 小于等于2500台。质量政府机关软件正版率100%。时效按照要求和计划完成小于等于11月份。成本成本控制小于等于20万元。社会效益政府机关带头使用正版软件使用期限一年。满意度机关工作人员对国产办公软件操作整体满意度大于等于90%。</w:t>
      </w:r>
    </w:p>
    <w:p>
      <w:pPr>
        <w:pStyle w:val="15"/>
        <w:keepNext w:val="0"/>
        <w:keepLines w:val="0"/>
        <w:pageBreakBefore w:val="0"/>
        <w:kinsoku/>
        <w:wordWrap/>
        <w:overflowPunct/>
        <w:topLinePunct w:val="0"/>
        <w:autoSpaceDE/>
        <w:autoSpaceDN/>
        <w:bidi w:val="0"/>
        <w:adjustRightInd/>
        <w:snapToGrid/>
        <w:spacing w:line="584" w:lineRule="exact"/>
        <w:textAlignment w:val="auto"/>
        <w:rPr>
          <w:rFonts w:ascii="仿宋_GB2312" w:eastAsia="仿宋_GB2312"/>
          <w:sz w:val="32"/>
          <w:szCs w:val="32"/>
        </w:rPr>
      </w:pPr>
      <w:r>
        <w:rPr>
          <w:rFonts w:hint="eastAsia" w:ascii="仿宋_GB2312" w:eastAsia="仿宋_GB2312"/>
          <w:sz w:val="32"/>
          <w:szCs w:val="32"/>
          <w:lang w:eastAsia="zh-CN"/>
        </w:rPr>
        <w:t>2、</w:t>
      </w:r>
      <w:r>
        <w:rPr>
          <w:rFonts w:hint="eastAsia" w:ascii="仿宋_GB2312" w:eastAsia="仿宋_GB2312"/>
          <w:sz w:val="32"/>
          <w:szCs w:val="32"/>
        </w:rPr>
        <w:t>文明城市创建经费</w:t>
      </w:r>
    </w:p>
    <w:p>
      <w:pPr>
        <w:pStyle w:val="15"/>
        <w:keepNext w:val="0"/>
        <w:keepLines w:val="0"/>
        <w:pageBreakBefore w:val="0"/>
        <w:kinsoku/>
        <w:wordWrap/>
        <w:overflowPunct/>
        <w:topLinePunct w:val="0"/>
        <w:autoSpaceDE/>
        <w:autoSpaceDN/>
        <w:bidi w:val="0"/>
        <w:adjustRightInd/>
        <w:snapToGrid/>
        <w:spacing w:line="584" w:lineRule="exact"/>
        <w:textAlignment w:val="auto"/>
        <w:rPr>
          <w:rFonts w:ascii="仿宋_GB2312" w:eastAsia="仿宋_GB2312"/>
          <w:sz w:val="32"/>
          <w:szCs w:val="32"/>
        </w:rPr>
      </w:pPr>
      <w:r>
        <w:rPr>
          <w:rFonts w:hint="eastAsia" w:ascii="仿宋_GB2312" w:eastAsia="仿宋_GB2312"/>
          <w:sz w:val="32"/>
          <w:szCs w:val="32"/>
        </w:rPr>
        <w:t>绩效目标：通过文明创建项目，一是巩固第六届全国文明城市创建成果，作为主城区确保顺利通过全国文明城市年度复检及省级文明城区复检和年检，二是全面提升广阳区域内整体文明程度和群众文明素质的提升。</w:t>
      </w:r>
    </w:p>
    <w:p>
      <w:pPr>
        <w:pStyle w:val="15"/>
        <w:keepNext w:val="0"/>
        <w:keepLines w:val="0"/>
        <w:pageBreakBefore w:val="0"/>
        <w:kinsoku/>
        <w:wordWrap/>
        <w:overflowPunct/>
        <w:topLinePunct w:val="0"/>
        <w:autoSpaceDE/>
        <w:autoSpaceDN/>
        <w:bidi w:val="0"/>
        <w:adjustRightInd/>
        <w:snapToGrid/>
        <w:spacing w:line="584" w:lineRule="exact"/>
        <w:textAlignment w:val="auto"/>
        <w:rPr>
          <w:rFonts w:ascii="仿宋_GB2312" w:eastAsia="仿宋_GB2312"/>
          <w:sz w:val="32"/>
          <w:szCs w:val="32"/>
        </w:rPr>
      </w:pPr>
      <w:r>
        <w:rPr>
          <w:rFonts w:hint="eastAsia" w:ascii="仿宋_GB2312" w:eastAsia="仿宋_GB2312"/>
          <w:sz w:val="32"/>
          <w:szCs w:val="32"/>
        </w:rPr>
        <w:t>绩效指标：数量主题志愿服务活动次数大于等于10次。数量组织召开文明城市创建动员会、调度会大于等于4次。质量社区小区达到文明创城测评指标体系的宣传教育、文明行为、生活环境、四防设施等标准要求大于等于59个。质量乡镇村街达到文明创城测评指标体系的“十个一”等标准要求大于等于65个。时效按照创建方案及测评复检安排，确保各项创建任务的完成时限和完成比例达到市、区要求大于等于90%。成本成本控制小于等于220万元。社会效益城市市民素质提高、居住环境改善、公共服务完善、交通秩序改观等 定性。满意度市民群众对文明城市创建工作的群众满意度 大于等于95%。</w:t>
      </w:r>
    </w:p>
    <w:p>
      <w:pPr>
        <w:pStyle w:val="15"/>
        <w:keepNext w:val="0"/>
        <w:keepLines w:val="0"/>
        <w:pageBreakBefore w:val="0"/>
        <w:kinsoku/>
        <w:wordWrap/>
        <w:overflowPunct/>
        <w:topLinePunct w:val="0"/>
        <w:autoSpaceDE/>
        <w:autoSpaceDN/>
        <w:bidi w:val="0"/>
        <w:adjustRightInd/>
        <w:snapToGrid/>
        <w:spacing w:line="584" w:lineRule="exact"/>
        <w:textAlignment w:val="auto"/>
        <w:rPr>
          <w:rFonts w:ascii="仿宋_GB2312" w:eastAsia="仿宋_GB2312"/>
          <w:sz w:val="32"/>
          <w:szCs w:val="32"/>
        </w:rPr>
      </w:pPr>
      <w:r>
        <w:rPr>
          <w:rFonts w:hint="eastAsia" w:ascii="仿宋_GB2312" w:eastAsia="仿宋_GB2312"/>
          <w:sz w:val="32"/>
          <w:szCs w:val="32"/>
          <w:lang w:eastAsia="zh-CN"/>
        </w:rPr>
        <w:t>3、</w:t>
      </w:r>
      <w:r>
        <w:rPr>
          <w:rFonts w:hint="eastAsia" w:ascii="仿宋_GB2312" w:eastAsia="仿宋_GB2312"/>
          <w:sz w:val="32"/>
          <w:szCs w:val="32"/>
        </w:rPr>
        <w:t>国防教育经费</w:t>
      </w:r>
    </w:p>
    <w:p>
      <w:pPr>
        <w:pStyle w:val="15"/>
        <w:keepNext w:val="0"/>
        <w:keepLines w:val="0"/>
        <w:pageBreakBefore w:val="0"/>
        <w:kinsoku/>
        <w:wordWrap/>
        <w:overflowPunct/>
        <w:topLinePunct w:val="0"/>
        <w:autoSpaceDE/>
        <w:autoSpaceDN/>
        <w:bidi w:val="0"/>
        <w:adjustRightInd/>
        <w:snapToGrid/>
        <w:spacing w:line="584" w:lineRule="exact"/>
        <w:textAlignment w:val="auto"/>
        <w:rPr>
          <w:rFonts w:ascii="仿宋_GB2312" w:eastAsia="仿宋_GB2312"/>
          <w:sz w:val="32"/>
          <w:szCs w:val="32"/>
        </w:rPr>
      </w:pPr>
      <w:r>
        <w:rPr>
          <w:rFonts w:hint="eastAsia" w:ascii="仿宋_GB2312" w:eastAsia="仿宋_GB2312"/>
          <w:sz w:val="32"/>
          <w:szCs w:val="32"/>
        </w:rPr>
        <w:t>绩效目标：通过组织开展丰富多彩的国防教育活动，有利于营造全社会关心国防、热爱国防、建设国防、保卫国防的浓厚氛围，有效提高公民的国防观念和自觉履行国防义务的意识，自觉为双拥共建和国防建设贡献力量。</w:t>
      </w:r>
    </w:p>
    <w:p>
      <w:pPr>
        <w:pStyle w:val="15"/>
        <w:keepNext w:val="0"/>
        <w:keepLines w:val="0"/>
        <w:pageBreakBefore w:val="0"/>
        <w:kinsoku/>
        <w:wordWrap/>
        <w:overflowPunct/>
        <w:topLinePunct w:val="0"/>
        <w:autoSpaceDE/>
        <w:autoSpaceDN/>
        <w:bidi w:val="0"/>
        <w:adjustRightInd/>
        <w:snapToGrid/>
        <w:spacing w:line="584" w:lineRule="exact"/>
        <w:textAlignment w:val="auto"/>
        <w:rPr>
          <w:rFonts w:ascii="仿宋_GB2312" w:eastAsia="仿宋_GB2312"/>
          <w:sz w:val="32"/>
          <w:szCs w:val="32"/>
        </w:rPr>
      </w:pPr>
      <w:r>
        <w:rPr>
          <w:rFonts w:hint="eastAsia" w:ascii="仿宋_GB2312" w:eastAsia="仿宋_GB2312"/>
          <w:sz w:val="32"/>
          <w:szCs w:val="32"/>
        </w:rPr>
        <w:t>绩效指标：数量举办国防宣传活动数量大于等于3场。质量宣传工作合规率100%。时效宣传工作及时性 大于等于90%。成本成本控制小于等于</w:t>
      </w:r>
      <w:r>
        <w:rPr>
          <w:rFonts w:hint="eastAsia" w:ascii="仿宋_GB2312" w:eastAsia="仿宋_GB2312"/>
          <w:sz w:val="32"/>
          <w:szCs w:val="32"/>
          <w:lang w:val="uk-UA"/>
        </w:rPr>
        <w:t>4</w:t>
      </w:r>
      <w:r>
        <w:rPr>
          <w:rFonts w:hint="eastAsia" w:ascii="仿宋_GB2312" w:eastAsia="仿宋_GB2312"/>
          <w:sz w:val="32"/>
          <w:szCs w:val="32"/>
        </w:rPr>
        <w:t>万元。社会效益提高国防教育事业认知大于等于90%。满意度满意的群众数量占总人数的比率大于等于90%。</w:t>
      </w:r>
    </w:p>
    <w:p>
      <w:pPr>
        <w:pStyle w:val="15"/>
        <w:keepNext w:val="0"/>
        <w:keepLines w:val="0"/>
        <w:pageBreakBefore w:val="0"/>
        <w:kinsoku/>
        <w:wordWrap/>
        <w:overflowPunct/>
        <w:topLinePunct w:val="0"/>
        <w:autoSpaceDE/>
        <w:autoSpaceDN/>
        <w:bidi w:val="0"/>
        <w:adjustRightInd/>
        <w:snapToGrid/>
        <w:spacing w:line="584" w:lineRule="exact"/>
        <w:textAlignment w:val="auto"/>
        <w:rPr>
          <w:rFonts w:ascii="仿宋_GB2312" w:eastAsia="仿宋_GB2312"/>
          <w:sz w:val="32"/>
          <w:szCs w:val="32"/>
        </w:rPr>
      </w:pPr>
      <w:r>
        <w:rPr>
          <w:rFonts w:hint="eastAsia" w:ascii="仿宋_GB2312" w:eastAsia="仿宋_GB2312"/>
          <w:sz w:val="32"/>
          <w:szCs w:val="32"/>
          <w:lang w:eastAsia="zh-CN"/>
        </w:rPr>
        <w:t>4、</w:t>
      </w:r>
      <w:r>
        <w:rPr>
          <w:rFonts w:hint="eastAsia" w:ascii="仿宋_GB2312" w:eastAsia="仿宋_GB2312"/>
          <w:sz w:val="32"/>
          <w:szCs w:val="32"/>
        </w:rPr>
        <w:t>对上宣传工作经费</w:t>
      </w:r>
    </w:p>
    <w:p>
      <w:pPr>
        <w:pStyle w:val="15"/>
        <w:keepNext w:val="0"/>
        <w:keepLines w:val="0"/>
        <w:pageBreakBefore w:val="0"/>
        <w:kinsoku/>
        <w:wordWrap/>
        <w:overflowPunct/>
        <w:topLinePunct w:val="0"/>
        <w:autoSpaceDE/>
        <w:autoSpaceDN/>
        <w:bidi w:val="0"/>
        <w:adjustRightInd/>
        <w:snapToGrid/>
        <w:spacing w:line="584" w:lineRule="exact"/>
        <w:textAlignment w:val="auto"/>
        <w:rPr>
          <w:rFonts w:ascii="仿宋_GB2312" w:eastAsia="仿宋_GB2312"/>
          <w:sz w:val="32"/>
          <w:szCs w:val="32"/>
        </w:rPr>
      </w:pPr>
      <w:r>
        <w:rPr>
          <w:rFonts w:hint="eastAsia" w:ascii="仿宋_GB2312" w:eastAsia="仿宋_GB2312"/>
          <w:sz w:val="32"/>
          <w:szCs w:val="32"/>
        </w:rPr>
        <w:t>绩效目标：全面深入多渠道宣传广阳区发展成果和良好形象,年终市委宣传部将对各县（市、区）在中省主要新闻媒体宣传廊坊工作进行打分排名，并作为意识形态考核重要依据。为切实做好此项工作，也为更好地对外宣传广阳区在经济社会发展等方面取得的巨大成就。</w:t>
      </w:r>
    </w:p>
    <w:p>
      <w:pPr>
        <w:pStyle w:val="15"/>
        <w:keepNext w:val="0"/>
        <w:keepLines w:val="0"/>
        <w:pageBreakBefore w:val="0"/>
        <w:kinsoku/>
        <w:wordWrap/>
        <w:overflowPunct/>
        <w:topLinePunct w:val="0"/>
        <w:autoSpaceDE/>
        <w:autoSpaceDN/>
        <w:bidi w:val="0"/>
        <w:adjustRightInd/>
        <w:snapToGrid/>
        <w:spacing w:line="584" w:lineRule="exact"/>
        <w:textAlignment w:val="auto"/>
        <w:rPr>
          <w:rFonts w:ascii="仿宋_GB2312" w:eastAsia="仿宋_GB2312"/>
          <w:sz w:val="32"/>
          <w:szCs w:val="32"/>
        </w:rPr>
      </w:pPr>
      <w:r>
        <w:rPr>
          <w:rFonts w:hint="eastAsia" w:ascii="仿宋_GB2312" w:eastAsia="仿宋_GB2312"/>
          <w:sz w:val="32"/>
          <w:szCs w:val="32"/>
        </w:rPr>
        <w:t>绩效指标：数量省市主流新闻媒体发稿数量大于等于500条。质量产生重要影响的作品数量大于等于12版。时效发稿时效性大于等于30条。成本成本控制小于等于</w:t>
      </w:r>
      <w:r>
        <w:rPr>
          <w:rFonts w:hint="eastAsia" w:ascii="仿宋_GB2312" w:eastAsia="仿宋_GB2312"/>
          <w:sz w:val="32"/>
          <w:szCs w:val="32"/>
          <w:lang w:val="uk-UA"/>
        </w:rPr>
        <w:t>80</w:t>
      </w:r>
      <w:r>
        <w:rPr>
          <w:rFonts w:hint="eastAsia" w:ascii="仿宋_GB2312" w:eastAsia="仿宋_GB2312"/>
          <w:sz w:val="32"/>
          <w:szCs w:val="32"/>
        </w:rPr>
        <w:t>万元。社会效益提高广阳知名度提高。满意度满意群众人数占总人数的比率 大于等于90%。</w:t>
      </w:r>
    </w:p>
    <w:p>
      <w:pPr>
        <w:pStyle w:val="15"/>
        <w:keepNext w:val="0"/>
        <w:keepLines w:val="0"/>
        <w:pageBreakBefore w:val="0"/>
        <w:kinsoku/>
        <w:wordWrap/>
        <w:overflowPunct/>
        <w:topLinePunct w:val="0"/>
        <w:autoSpaceDE/>
        <w:autoSpaceDN/>
        <w:bidi w:val="0"/>
        <w:adjustRightInd/>
        <w:snapToGrid/>
        <w:spacing w:line="584" w:lineRule="exact"/>
        <w:textAlignment w:val="auto"/>
        <w:rPr>
          <w:rFonts w:ascii="仿宋_GB2312" w:eastAsia="仿宋_GB2312"/>
          <w:sz w:val="32"/>
          <w:szCs w:val="32"/>
        </w:rPr>
      </w:pPr>
      <w:r>
        <w:rPr>
          <w:rFonts w:hint="eastAsia" w:ascii="仿宋_GB2312" w:eastAsia="仿宋_GB2312"/>
          <w:sz w:val="32"/>
          <w:szCs w:val="32"/>
          <w:lang w:eastAsia="zh-CN"/>
        </w:rPr>
        <w:t>5、</w:t>
      </w:r>
      <w:r>
        <w:rPr>
          <w:rFonts w:hint="eastAsia" w:ascii="仿宋_GB2312" w:eastAsia="仿宋_GB2312"/>
          <w:sz w:val="32"/>
          <w:szCs w:val="32"/>
        </w:rPr>
        <w:t>党史学习教育专项经费</w:t>
      </w:r>
    </w:p>
    <w:p>
      <w:pPr>
        <w:pStyle w:val="15"/>
        <w:keepNext w:val="0"/>
        <w:keepLines w:val="0"/>
        <w:pageBreakBefore w:val="0"/>
        <w:kinsoku/>
        <w:wordWrap/>
        <w:overflowPunct/>
        <w:topLinePunct w:val="0"/>
        <w:autoSpaceDE/>
        <w:autoSpaceDN/>
        <w:bidi w:val="0"/>
        <w:adjustRightInd/>
        <w:snapToGrid/>
        <w:spacing w:line="584" w:lineRule="exact"/>
        <w:textAlignment w:val="auto"/>
        <w:rPr>
          <w:rFonts w:ascii="仿宋_GB2312" w:eastAsia="仿宋_GB2312"/>
          <w:sz w:val="32"/>
          <w:szCs w:val="32"/>
        </w:rPr>
      </w:pPr>
      <w:r>
        <w:rPr>
          <w:rFonts w:hint="eastAsia" w:ascii="仿宋_GB2312" w:eastAsia="仿宋_GB2312"/>
          <w:sz w:val="32"/>
          <w:szCs w:val="32"/>
        </w:rPr>
        <w:t>绩效目标：坚持以马克思列宁主义、毛泽东思想、邓小平理论、“三个代表”重要思想、科学发展观、习近平新时代中国特色社会主义思想为指导，使广大党员、干部受到全面深刻的政治教育、思想淬炼、精神洗礼，增强历史自觉、历史自信，提升党的创造力、凝聚力、战斗力，最终达到学党史、悟思想、办实事、开新局的目的。</w:t>
      </w:r>
    </w:p>
    <w:p>
      <w:pPr>
        <w:pStyle w:val="15"/>
        <w:keepNext w:val="0"/>
        <w:keepLines w:val="0"/>
        <w:pageBreakBefore w:val="0"/>
        <w:kinsoku/>
        <w:wordWrap/>
        <w:overflowPunct/>
        <w:topLinePunct w:val="0"/>
        <w:autoSpaceDE/>
        <w:autoSpaceDN/>
        <w:bidi w:val="0"/>
        <w:adjustRightInd/>
        <w:snapToGrid/>
        <w:spacing w:line="584" w:lineRule="exact"/>
        <w:textAlignment w:val="auto"/>
        <w:rPr>
          <w:rFonts w:ascii="仿宋_GB2312" w:eastAsia="仿宋_GB2312"/>
          <w:sz w:val="32"/>
          <w:szCs w:val="32"/>
        </w:rPr>
      </w:pPr>
      <w:r>
        <w:rPr>
          <w:rFonts w:hint="eastAsia" w:ascii="仿宋_GB2312" w:eastAsia="仿宋_GB2312"/>
          <w:sz w:val="32"/>
          <w:szCs w:val="32"/>
        </w:rPr>
        <w:t>绩效指标：数量理论学习开展次数大于等于12次。质量工作计划按期完成率100%。时效学教及时性及时。成本成本控制小于等于25万元。社会效益提高领导政治理论水平提高。满意度学习人员满意度大于等于90%。</w:t>
      </w:r>
    </w:p>
    <w:p>
      <w:pPr>
        <w:pStyle w:val="15"/>
        <w:keepNext w:val="0"/>
        <w:keepLines w:val="0"/>
        <w:pageBreakBefore w:val="0"/>
        <w:kinsoku/>
        <w:wordWrap/>
        <w:overflowPunct/>
        <w:topLinePunct w:val="0"/>
        <w:autoSpaceDE/>
        <w:autoSpaceDN/>
        <w:bidi w:val="0"/>
        <w:adjustRightInd/>
        <w:snapToGrid/>
        <w:spacing w:line="584" w:lineRule="exact"/>
        <w:textAlignment w:val="auto"/>
        <w:rPr>
          <w:rFonts w:ascii="仿宋_GB2312" w:eastAsia="仿宋_GB2312"/>
          <w:sz w:val="32"/>
          <w:szCs w:val="32"/>
        </w:rPr>
      </w:pPr>
      <w:r>
        <w:rPr>
          <w:rFonts w:hint="eastAsia" w:ascii="仿宋_GB2312" w:eastAsia="仿宋_GB2312"/>
          <w:sz w:val="32"/>
          <w:szCs w:val="32"/>
          <w:lang w:eastAsia="zh-CN"/>
        </w:rPr>
        <w:t>6、</w:t>
      </w:r>
      <w:r>
        <w:rPr>
          <w:rFonts w:hint="eastAsia" w:ascii="仿宋_GB2312" w:eastAsia="仿宋_GB2312"/>
          <w:sz w:val="32"/>
          <w:szCs w:val="32"/>
        </w:rPr>
        <w:t>十九届六中全会精神宣传经费</w:t>
      </w:r>
    </w:p>
    <w:p>
      <w:pPr>
        <w:pStyle w:val="15"/>
        <w:keepNext w:val="0"/>
        <w:keepLines w:val="0"/>
        <w:pageBreakBefore w:val="0"/>
        <w:kinsoku/>
        <w:wordWrap/>
        <w:overflowPunct/>
        <w:topLinePunct w:val="0"/>
        <w:autoSpaceDE/>
        <w:autoSpaceDN/>
        <w:bidi w:val="0"/>
        <w:adjustRightInd/>
        <w:snapToGrid/>
        <w:spacing w:line="584" w:lineRule="exact"/>
        <w:textAlignment w:val="auto"/>
        <w:rPr>
          <w:rFonts w:ascii="仿宋_GB2312" w:eastAsia="仿宋_GB2312"/>
          <w:sz w:val="32"/>
          <w:szCs w:val="32"/>
        </w:rPr>
      </w:pPr>
      <w:r>
        <w:rPr>
          <w:rFonts w:hint="eastAsia" w:ascii="仿宋_GB2312" w:eastAsia="仿宋_GB2312"/>
          <w:sz w:val="32"/>
          <w:szCs w:val="32"/>
        </w:rPr>
        <w:t>绩效目标：扎实推动党的十九届六中全会精神学习贯彻，引导广大干部群众深刻领会全会精神的丰富内涵与核心要义，持续将党的十九届六中全会精神学习宣传贯彻引向深处。</w:t>
      </w:r>
    </w:p>
    <w:p>
      <w:pPr>
        <w:pStyle w:val="15"/>
        <w:keepNext w:val="0"/>
        <w:keepLines w:val="0"/>
        <w:pageBreakBefore w:val="0"/>
        <w:kinsoku/>
        <w:wordWrap/>
        <w:overflowPunct/>
        <w:topLinePunct w:val="0"/>
        <w:autoSpaceDE/>
        <w:autoSpaceDN/>
        <w:bidi w:val="0"/>
        <w:adjustRightInd/>
        <w:snapToGrid/>
        <w:spacing w:line="584" w:lineRule="exact"/>
        <w:textAlignment w:val="auto"/>
        <w:rPr>
          <w:rFonts w:ascii="仿宋_GB2312" w:eastAsia="仿宋_GB2312"/>
          <w:sz w:val="32"/>
          <w:szCs w:val="32"/>
        </w:rPr>
      </w:pPr>
      <w:r>
        <w:rPr>
          <w:rFonts w:hint="eastAsia" w:ascii="仿宋_GB2312" w:eastAsia="仿宋_GB2312"/>
          <w:sz w:val="32"/>
          <w:szCs w:val="32"/>
        </w:rPr>
        <w:t>绩效指标：数量开展十九届六中全会精神学习次数大于等于6次。质量工作计划按期完成率100%。时效学习及时性及时。成本成本控制小于等于11万元。社会效益提高十九届六中全会学习精神提高。满意度学习人员满意度大于等于90%。</w:t>
      </w:r>
    </w:p>
    <w:p>
      <w:pPr>
        <w:pStyle w:val="15"/>
        <w:keepNext w:val="0"/>
        <w:keepLines w:val="0"/>
        <w:pageBreakBefore w:val="0"/>
        <w:kinsoku/>
        <w:wordWrap/>
        <w:overflowPunct/>
        <w:topLinePunct w:val="0"/>
        <w:autoSpaceDE/>
        <w:autoSpaceDN/>
        <w:bidi w:val="0"/>
        <w:adjustRightInd/>
        <w:snapToGrid/>
        <w:spacing w:line="584" w:lineRule="exact"/>
        <w:textAlignment w:val="auto"/>
        <w:rPr>
          <w:rFonts w:ascii="仿宋_GB2312" w:eastAsia="仿宋_GB2312"/>
          <w:sz w:val="32"/>
          <w:szCs w:val="32"/>
        </w:rPr>
      </w:pPr>
      <w:r>
        <w:rPr>
          <w:rFonts w:hint="eastAsia" w:ascii="仿宋_GB2312" w:eastAsia="仿宋_GB2312"/>
          <w:sz w:val="32"/>
          <w:szCs w:val="32"/>
          <w:lang w:eastAsia="zh-CN"/>
        </w:rPr>
        <w:t>7、</w:t>
      </w:r>
      <w:r>
        <w:rPr>
          <w:rFonts w:hint="eastAsia" w:ascii="仿宋_GB2312" w:eastAsia="仿宋_GB2312"/>
          <w:sz w:val="32"/>
          <w:szCs w:val="32"/>
        </w:rPr>
        <w:t xml:space="preserve"> 原乡镇（公社）老电影放映员生活补助专项资金[区级]</w:t>
      </w:r>
    </w:p>
    <w:p>
      <w:pPr>
        <w:pStyle w:val="15"/>
        <w:keepNext w:val="0"/>
        <w:keepLines w:val="0"/>
        <w:pageBreakBefore w:val="0"/>
        <w:kinsoku/>
        <w:wordWrap/>
        <w:overflowPunct/>
        <w:topLinePunct w:val="0"/>
        <w:autoSpaceDE/>
        <w:autoSpaceDN/>
        <w:bidi w:val="0"/>
        <w:adjustRightInd/>
        <w:snapToGrid/>
        <w:spacing w:line="584" w:lineRule="exact"/>
        <w:textAlignment w:val="auto"/>
        <w:rPr>
          <w:rFonts w:ascii="仿宋_GB2312" w:eastAsia="仿宋_GB2312"/>
          <w:sz w:val="32"/>
          <w:szCs w:val="32"/>
        </w:rPr>
      </w:pPr>
      <w:r>
        <w:rPr>
          <w:rFonts w:hint="eastAsia" w:ascii="仿宋_GB2312" w:eastAsia="仿宋_GB2312"/>
          <w:sz w:val="32"/>
          <w:szCs w:val="32"/>
        </w:rPr>
        <w:t>绩效目标：该项目采取生活补助的形式，妥善解决原乡镇（公社）老放映员的历史遗留问题，妥善解决老放映员的保障和生活困难问题，积极改善民生。</w:t>
      </w:r>
    </w:p>
    <w:p>
      <w:pPr>
        <w:pStyle w:val="15"/>
        <w:keepNext w:val="0"/>
        <w:keepLines w:val="0"/>
        <w:pageBreakBefore w:val="0"/>
        <w:kinsoku/>
        <w:wordWrap/>
        <w:overflowPunct/>
        <w:topLinePunct w:val="0"/>
        <w:autoSpaceDE/>
        <w:autoSpaceDN/>
        <w:bidi w:val="0"/>
        <w:adjustRightInd/>
        <w:snapToGrid/>
        <w:spacing w:line="584" w:lineRule="exact"/>
        <w:textAlignment w:val="auto"/>
        <w:rPr>
          <w:rFonts w:ascii="仿宋_GB2312" w:eastAsia="仿宋_GB2312"/>
          <w:sz w:val="32"/>
          <w:szCs w:val="32"/>
        </w:rPr>
      </w:pPr>
      <w:r>
        <w:rPr>
          <w:rFonts w:hint="eastAsia" w:ascii="仿宋_GB2312" w:eastAsia="仿宋_GB2312"/>
          <w:sz w:val="32"/>
          <w:szCs w:val="32"/>
        </w:rPr>
        <w:t>绩效指标：数量补助人数9人。质量补贴资金到位率100%。时效补助发放及时及时。成本补助资金成本小于等于3万元。社会效益提升老放映员生活保障提升。满意度受益人员满意度大于等于90%。</w:t>
      </w:r>
    </w:p>
    <w:p>
      <w:pPr>
        <w:pStyle w:val="15"/>
        <w:keepNext w:val="0"/>
        <w:keepLines w:val="0"/>
        <w:pageBreakBefore w:val="0"/>
        <w:kinsoku/>
        <w:wordWrap/>
        <w:overflowPunct/>
        <w:topLinePunct w:val="0"/>
        <w:autoSpaceDE/>
        <w:autoSpaceDN/>
        <w:bidi w:val="0"/>
        <w:adjustRightInd/>
        <w:snapToGrid/>
        <w:spacing w:line="584" w:lineRule="exact"/>
        <w:textAlignment w:val="auto"/>
        <w:rPr>
          <w:rFonts w:ascii="仿宋_GB2312" w:eastAsia="仿宋_GB2312"/>
          <w:sz w:val="32"/>
          <w:szCs w:val="32"/>
        </w:rPr>
      </w:pPr>
      <w:r>
        <w:rPr>
          <w:rFonts w:hint="eastAsia" w:ascii="仿宋_GB2312" w:eastAsia="仿宋_GB2312"/>
          <w:sz w:val="32"/>
          <w:szCs w:val="32"/>
          <w:lang w:eastAsia="zh-CN"/>
        </w:rPr>
        <w:t>8、</w:t>
      </w:r>
      <w:r>
        <w:rPr>
          <w:rFonts w:hint="eastAsia" w:ascii="仿宋_GB2312" w:eastAsia="仿宋_GB2312"/>
          <w:sz w:val="32"/>
          <w:szCs w:val="32"/>
        </w:rPr>
        <w:t>原乡镇（公社）老电影放映员生活补助专项资金[省级]绩效目标：该项目采取生活补助的形式，妥善解决原乡镇（公社）老放映员的历史遗留问题，妥善解决老放映员的保障和生活困难问题，积极改善民生。</w:t>
      </w:r>
    </w:p>
    <w:p>
      <w:pPr>
        <w:pStyle w:val="15"/>
        <w:keepNext w:val="0"/>
        <w:keepLines w:val="0"/>
        <w:pageBreakBefore w:val="0"/>
        <w:kinsoku/>
        <w:wordWrap/>
        <w:overflowPunct/>
        <w:topLinePunct w:val="0"/>
        <w:autoSpaceDE/>
        <w:autoSpaceDN/>
        <w:bidi w:val="0"/>
        <w:adjustRightInd/>
        <w:snapToGrid/>
        <w:spacing w:line="584" w:lineRule="exact"/>
        <w:textAlignment w:val="auto"/>
        <w:rPr>
          <w:rFonts w:ascii="仿宋_GB2312" w:eastAsia="仿宋_GB2312"/>
          <w:sz w:val="32"/>
          <w:szCs w:val="32"/>
        </w:rPr>
      </w:pPr>
      <w:r>
        <w:rPr>
          <w:rFonts w:hint="eastAsia" w:ascii="仿宋_GB2312" w:eastAsia="仿宋_GB2312"/>
          <w:sz w:val="32"/>
          <w:szCs w:val="32"/>
        </w:rPr>
        <w:t>绩效指标：数量补助人数9人。质量补贴资金到位率100%。时效补助发放及时6月份1次10月份1次。成本补助资金成本小于等于0.3912万元。社会效益提升老放映员生活保障提升。满意度受益人员满意度大于等于90%。</w:t>
      </w:r>
    </w:p>
    <w:p>
      <w:pPr>
        <w:pStyle w:val="15"/>
        <w:keepNext w:val="0"/>
        <w:keepLines w:val="0"/>
        <w:pageBreakBefore w:val="0"/>
        <w:kinsoku/>
        <w:wordWrap/>
        <w:overflowPunct/>
        <w:topLinePunct w:val="0"/>
        <w:autoSpaceDE/>
        <w:autoSpaceDN/>
        <w:bidi w:val="0"/>
        <w:adjustRightInd/>
        <w:snapToGrid/>
        <w:spacing w:line="584" w:lineRule="exact"/>
        <w:textAlignment w:val="auto"/>
        <w:rPr>
          <w:rFonts w:ascii="仿宋_GB2312" w:eastAsia="仿宋_GB2312"/>
          <w:sz w:val="32"/>
          <w:szCs w:val="32"/>
        </w:rPr>
      </w:pPr>
      <w:r>
        <w:rPr>
          <w:rFonts w:hint="eastAsia" w:ascii="仿宋_GB2312" w:eastAsia="仿宋_GB2312"/>
          <w:sz w:val="32"/>
          <w:szCs w:val="32"/>
          <w:lang w:eastAsia="zh-CN"/>
        </w:rPr>
        <w:t>9、</w:t>
      </w:r>
      <w:r>
        <w:rPr>
          <w:rFonts w:hint="eastAsia" w:ascii="仿宋_GB2312" w:eastAsia="仿宋_GB2312"/>
          <w:sz w:val="32"/>
          <w:szCs w:val="32"/>
        </w:rPr>
        <w:t xml:space="preserve"> 原乡镇（公社）老电影放映员生活补助专项资金[市级]绩效目标：该项目采取生活补助的形式，妥善解决原乡镇（公社）老放映员的历史遗留问题，妥善解决老放映员的保障和生活困难问题，积极改善民生。</w:t>
      </w:r>
    </w:p>
    <w:p>
      <w:pPr>
        <w:pStyle w:val="15"/>
        <w:keepNext w:val="0"/>
        <w:keepLines w:val="0"/>
        <w:pageBreakBefore w:val="0"/>
        <w:kinsoku/>
        <w:wordWrap/>
        <w:overflowPunct/>
        <w:topLinePunct w:val="0"/>
        <w:autoSpaceDE/>
        <w:autoSpaceDN/>
        <w:bidi w:val="0"/>
        <w:adjustRightInd/>
        <w:snapToGrid/>
        <w:spacing w:line="584" w:lineRule="exact"/>
        <w:textAlignment w:val="auto"/>
        <w:rPr>
          <w:rFonts w:ascii="仿宋_GB2312" w:eastAsia="仿宋_GB2312"/>
          <w:sz w:val="32"/>
          <w:szCs w:val="32"/>
        </w:rPr>
      </w:pPr>
      <w:r>
        <w:rPr>
          <w:rFonts w:hint="eastAsia" w:ascii="仿宋_GB2312" w:eastAsia="仿宋_GB2312"/>
          <w:sz w:val="32"/>
          <w:szCs w:val="32"/>
        </w:rPr>
        <w:t>绩效指标：数量补助人数9人。质量补贴资金到位率100%。时效补助发放及时6月份1次10月份1次。成本补助资金成本小于等于0.5868万元。社会效益提升老放映员生活保障提升。满意度受益人员满意度大于等于90%。</w:t>
      </w:r>
    </w:p>
    <w:p>
      <w:pPr>
        <w:pStyle w:val="15"/>
        <w:keepNext w:val="0"/>
        <w:keepLines w:val="0"/>
        <w:pageBreakBefore w:val="0"/>
        <w:kinsoku/>
        <w:wordWrap/>
        <w:overflowPunct/>
        <w:topLinePunct w:val="0"/>
        <w:autoSpaceDE/>
        <w:autoSpaceDN/>
        <w:bidi w:val="0"/>
        <w:adjustRightInd/>
        <w:snapToGrid/>
        <w:spacing w:line="584" w:lineRule="exact"/>
        <w:textAlignment w:val="auto"/>
        <w:rPr>
          <w:rFonts w:ascii="仿宋_GB2312" w:eastAsia="仿宋_GB2312"/>
          <w:sz w:val="32"/>
          <w:szCs w:val="32"/>
        </w:rPr>
      </w:pPr>
      <w:r>
        <w:rPr>
          <w:rFonts w:hint="eastAsia" w:ascii="仿宋_GB2312" w:eastAsia="仿宋_GB2312"/>
          <w:sz w:val="32"/>
          <w:szCs w:val="32"/>
          <w:lang w:eastAsia="zh-CN"/>
        </w:rPr>
        <w:t>10、</w:t>
      </w:r>
      <w:r>
        <w:rPr>
          <w:rFonts w:hint="eastAsia" w:ascii="仿宋_GB2312" w:eastAsia="仿宋_GB2312"/>
          <w:sz w:val="32"/>
          <w:szCs w:val="32"/>
        </w:rPr>
        <w:t>公共文化服务体系建设资金[区级]</w:t>
      </w:r>
    </w:p>
    <w:p>
      <w:pPr>
        <w:pStyle w:val="15"/>
        <w:keepNext w:val="0"/>
        <w:keepLines w:val="0"/>
        <w:pageBreakBefore w:val="0"/>
        <w:kinsoku/>
        <w:wordWrap/>
        <w:overflowPunct/>
        <w:topLinePunct w:val="0"/>
        <w:autoSpaceDE/>
        <w:autoSpaceDN/>
        <w:bidi w:val="0"/>
        <w:adjustRightInd/>
        <w:snapToGrid/>
        <w:spacing w:line="584" w:lineRule="exact"/>
        <w:textAlignment w:val="auto"/>
        <w:rPr>
          <w:rFonts w:ascii="仿宋_GB2312" w:eastAsia="仿宋_GB2312"/>
          <w:sz w:val="32"/>
          <w:szCs w:val="32"/>
        </w:rPr>
      </w:pPr>
      <w:r>
        <w:rPr>
          <w:rFonts w:hint="eastAsia" w:ascii="仿宋_GB2312" w:eastAsia="仿宋_GB2312"/>
          <w:sz w:val="32"/>
          <w:szCs w:val="32"/>
        </w:rPr>
        <w:t>绩效目标：丰富人民群众精神文化生活，加快构建现代公共文化服务体系建设，推进公共文化服务水平的提高，推进公共文化服务体系标准化、均等化发展。</w:t>
      </w:r>
    </w:p>
    <w:p>
      <w:pPr>
        <w:pStyle w:val="15"/>
        <w:keepNext w:val="0"/>
        <w:keepLines w:val="0"/>
        <w:pageBreakBefore w:val="0"/>
        <w:kinsoku/>
        <w:wordWrap/>
        <w:overflowPunct/>
        <w:topLinePunct w:val="0"/>
        <w:autoSpaceDE/>
        <w:autoSpaceDN/>
        <w:bidi w:val="0"/>
        <w:adjustRightInd/>
        <w:snapToGrid/>
        <w:spacing w:line="584" w:lineRule="exact"/>
        <w:textAlignment w:val="auto"/>
        <w:rPr>
          <w:rFonts w:ascii="仿宋_GB2312" w:eastAsia="仿宋_GB2312"/>
          <w:sz w:val="32"/>
          <w:szCs w:val="32"/>
        </w:rPr>
      </w:pPr>
      <w:r>
        <w:rPr>
          <w:rFonts w:hint="eastAsia" w:ascii="仿宋_GB2312" w:eastAsia="仿宋_GB2312"/>
          <w:sz w:val="32"/>
          <w:szCs w:val="32"/>
        </w:rPr>
        <w:t>绩效指标：数量补助农村电影放映、农家书屋行政村数小于等于92村。数量购买图书册数小于等于8924册质量全民阅读率大于等于90%。时效工作按时完成率 12月份。成本成本控制情况小于等于12.53万元。社会效益提升人民群众对精神文化的需求提升。满意度调查中满意和较满意的人数占调查总人数的比率大于等于90%。</w:t>
      </w:r>
    </w:p>
    <w:p>
      <w:pPr>
        <w:pStyle w:val="15"/>
        <w:keepNext w:val="0"/>
        <w:keepLines w:val="0"/>
        <w:pageBreakBefore w:val="0"/>
        <w:kinsoku/>
        <w:wordWrap/>
        <w:overflowPunct/>
        <w:topLinePunct w:val="0"/>
        <w:autoSpaceDE/>
        <w:autoSpaceDN/>
        <w:bidi w:val="0"/>
        <w:adjustRightInd/>
        <w:snapToGrid/>
        <w:spacing w:line="584" w:lineRule="exact"/>
        <w:textAlignment w:val="auto"/>
        <w:rPr>
          <w:rFonts w:ascii="仿宋_GB2312" w:eastAsia="仿宋_GB2312"/>
          <w:sz w:val="32"/>
          <w:szCs w:val="32"/>
        </w:rPr>
      </w:pPr>
      <w:r>
        <w:rPr>
          <w:rFonts w:hint="eastAsia" w:ascii="仿宋_GB2312" w:eastAsia="仿宋_GB2312"/>
          <w:sz w:val="32"/>
          <w:szCs w:val="32"/>
          <w:lang w:eastAsia="zh-CN"/>
        </w:rPr>
        <w:t>11、</w:t>
      </w:r>
      <w:r>
        <w:rPr>
          <w:rFonts w:hint="eastAsia" w:ascii="仿宋_GB2312" w:eastAsia="仿宋_GB2312"/>
          <w:sz w:val="32"/>
          <w:szCs w:val="32"/>
        </w:rPr>
        <w:t xml:space="preserve"> 公共文化服务体系建设资金[中央]</w:t>
      </w:r>
    </w:p>
    <w:p>
      <w:pPr>
        <w:pStyle w:val="15"/>
        <w:keepNext w:val="0"/>
        <w:keepLines w:val="0"/>
        <w:pageBreakBefore w:val="0"/>
        <w:kinsoku/>
        <w:wordWrap/>
        <w:overflowPunct/>
        <w:topLinePunct w:val="0"/>
        <w:autoSpaceDE/>
        <w:autoSpaceDN/>
        <w:bidi w:val="0"/>
        <w:adjustRightInd/>
        <w:snapToGrid/>
        <w:spacing w:line="584" w:lineRule="exact"/>
        <w:textAlignment w:val="auto"/>
        <w:rPr>
          <w:rFonts w:ascii="仿宋_GB2312" w:eastAsia="仿宋_GB2312"/>
          <w:sz w:val="32"/>
          <w:szCs w:val="32"/>
        </w:rPr>
      </w:pPr>
      <w:r>
        <w:rPr>
          <w:rFonts w:hint="eastAsia" w:ascii="仿宋_GB2312" w:eastAsia="仿宋_GB2312"/>
          <w:sz w:val="32"/>
          <w:szCs w:val="32"/>
        </w:rPr>
        <w:t>绩效目标：丰富人民群众精神文化生活，加快构建现代公共文化服务体系建设，推进公共文化服务水平的提高，推进公共文化服务体系标准化、均等化发展。</w:t>
      </w:r>
    </w:p>
    <w:p>
      <w:pPr>
        <w:pStyle w:val="15"/>
        <w:keepNext w:val="0"/>
        <w:keepLines w:val="0"/>
        <w:pageBreakBefore w:val="0"/>
        <w:kinsoku/>
        <w:wordWrap/>
        <w:overflowPunct/>
        <w:topLinePunct w:val="0"/>
        <w:autoSpaceDE/>
        <w:autoSpaceDN/>
        <w:bidi w:val="0"/>
        <w:adjustRightInd/>
        <w:snapToGrid/>
        <w:spacing w:line="584" w:lineRule="exact"/>
        <w:textAlignment w:val="auto"/>
        <w:rPr>
          <w:rFonts w:ascii="仿宋_GB2312" w:eastAsia="仿宋_GB2312"/>
          <w:sz w:val="32"/>
          <w:szCs w:val="32"/>
        </w:rPr>
      </w:pPr>
      <w:r>
        <w:rPr>
          <w:rFonts w:hint="eastAsia" w:ascii="仿宋_GB2312" w:eastAsia="仿宋_GB2312"/>
          <w:sz w:val="32"/>
          <w:szCs w:val="32"/>
        </w:rPr>
        <w:t>绩效指标：数量补助农村电影放映、农家书屋行政村数小于等于151村。数量购买图书册数小于等于8924册。质量全民阅读率大于等于90%。时效工作按时完成率 12月份。成本成本控制情况小于等于33.22万元。社会效益提升人民群众对精神文化 的需求提升。满意度调查中满意和较满意的人数占调查总人数的比率大于等于90%。</w:t>
      </w:r>
    </w:p>
    <w:p>
      <w:pPr>
        <w:pStyle w:val="15"/>
        <w:keepNext w:val="0"/>
        <w:keepLines w:val="0"/>
        <w:pageBreakBefore w:val="0"/>
        <w:kinsoku/>
        <w:wordWrap/>
        <w:overflowPunct/>
        <w:topLinePunct w:val="0"/>
        <w:autoSpaceDE/>
        <w:autoSpaceDN/>
        <w:bidi w:val="0"/>
        <w:adjustRightInd/>
        <w:snapToGrid/>
        <w:spacing w:line="584" w:lineRule="exact"/>
        <w:textAlignment w:val="auto"/>
        <w:rPr>
          <w:rFonts w:ascii="仿宋_GB2312" w:eastAsia="仿宋_GB2312"/>
          <w:sz w:val="32"/>
          <w:szCs w:val="32"/>
        </w:rPr>
      </w:pPr>
      <w:r>
        <w:rPr>
          <w:rFonts w:hint="eastAsia" w:ascii="仿宋_GB2312" w:eastAsia="仿宋_GB2312"/>
          <w:sz w:val="32"/>
          <w:szCs w:val="32"/>
          <w:lang w:eastAsia="zh-CN"/>
        </w:rPr>
        <w:t>12、</w:t>
      </w:r>
      <w:r>
        <w:rPr>
          <w:rFonts w:hint="eastAsia" w:ascii="仿宋_GB2312" w:eastAsia="仿宋_GB2312"/>
          <w:sz w:val="32"/>
          <w:szCs w:val="32"/>
        </w:rPr>
        <w:t>公共文化服务体系建设资金[市级]</w:t>
      </w:r>
    </w:p>
    <w:p>
      <w:pPr>
        <w:pStyle w:val="15"/>
        <w:keepNext w:val="0"/>
        <w:keepLines w:val="0"/>
        <w:pageBreakBefore w:val="0"/>
        <w:kinsoku/>
        <w:wordWrap/>
        <w:overflowPunct/>
        <w:topLinePunct w:val="0"/>
        <w:autoSpaceDE/>
        <w:autoSpaceDN/>
        <w:bidi w:val="0"/>
        <w:adjustRightInd/>
        <w:snapToGrid/>
        <w:spacing w:line="584" w:lineRule="exact"/>
        <w:textAlignment w:val="auto"/>
        <w:rPr>
          <w:rFonts w:ascii="仿宋_GB2312" w:eastAsia="仿宋_GB2312"/>
          <w:sz w:val="32"/>
          <w:szCs w:val="32"/>
        </w:rPr>
      </w:pPr>
      <w:r>
        <w:rPr>
          <w:rFonts w:hint="eastAsia" w:ascii="仿宋_GB2312" w:eastAsia="仿宋_GB2312"/>
          <w:sz w:val="32"/>
          <w:szCs w:val="32"/>
        </w:rPr>
        <w:t>绩效目标：丰富人民群众精神文化生活，加快构建现代公共文化服务体系建设，推进公共文化服务水平的提高，推进公共文化服务体系标准化、均等化发展。</w:t>
      </w:r>
    </w:p>
    <w:p>
      <w:pPr>
        <w:pStyle w:val="15"/>
        <w:keepNext w:val="0"/>
        <w:keepLines w:val="0"/>
        <w:pageBreakBefore w:val="0"/>
        <w:kinsoku/>
        <w:wordWrap/>
        <w:overflowPunct/>
        <w:topLinePunct w:val="0"/>
        <w:autoSpaceDE/>
        <w:autoSpaceDN/>
        <w:bidi w:val="0"/>
        <w:adjustRightInd/>
        <w:snapToGrid/>
        <w:spacing w:line="584" w:lineRule="exact"/>
        <w:textAlignment w:val="auto"/>
        <w:rPr>
          <w:rFonts w:ascii="仿宋_GB2312" w:eastAsia="仿宋_GB2312"/>
          <w:sz w:val="32"/>
          <w:szCs w:val="32"/>
        </w:rPr>
      </w:pPr>
      <w:r>
        <w:rPr>
          <w:rFonts w:hint="eastAsia" w:ascii="仿宋_GB2312" w:eastAsia="仿宋_GB2312"/>
          <w:sz w:val="32"/>
          <w:szCs w:val="32"/>
        </w:rPr>
        <w:t>绩效指标：数量补助农村电影放映、农家书屋行政村数小于等于151村。数量购买图书册数小于等于8924册。质量全民阅读率大于等于90%。时效工作按时完成率 12月份。成本成本控制情况小于等于11.08万元。社会效益提升人民群众对精神文化 的需求提升。满意度调查中满意和较满意的人数占调查总人数的比率大于等于90%。</w:t>
      </w:r>
    </w:p>
    <w:p>
      <w:pPr>
        <w:pStyle w:val="15"/>
        <w:keepNext w:val="0"/>
        <w:keepLines w:val="0"/>
        <w:pageBreakBefore w:val="0"/>
        <w:kinsoku/>
        <w:wordWrap/>
        <w:overflowPunct/>
        <w:topLinePunct w:val="0"/>
        <w:autoSpaceDE/>
        <w:autoSpaceDN/>
        <w:bidi w:val="0"/>
        <w:adjustRightInd/>
        <w:snapToGrid/>
        <w:spacing w:line="584" w:lineRule="exact"/>
        <w:textAlignment w:val="auto"/>
        <w:rPr>
          <w:rFonts w:ascii="仿宋_GB2312" w:hAnsi="楷体" w:eastAsia="仿宋_GB2312"/>
          <w:sz w:val="32"/>
          <w:szCs w:val="32"/>
        </w:rPr>
      </w:pPr>
      <w:r>
        <w:rPr>
          <w:rFonts w:hint="eastAsia" w:ascii="仿宋_GB2312" w:hAnsi="楷体" w:eastAsia="仿宋_GB2312"/>
          <w:sz w:val="32"/>
          <w:szCs w:val="32"/>
          <w:lang w:eastAsia="zh-CN"/>
        </w:rPr>
        <w:t>13、</w:t>
      </w:r>
      <w:r>
        <w:rPr>
          <w:rFonts w:hint="eastAsia" w:ascii="仿宋_GB2312" w:hAnsi="楷体" w:eastAsia="仿宋_GB2312"/>
          <w:sz w:val="32"/>
          <w:szCs w:val="32"/>
        </w:rPr>
        <w:t xml:space="preserve"> 新时代文明实践中心建设补助资金[省级]</w:t>
      </w:r>
    </w:p>
    <w:p>
      <w:pPr>
        <w:pStyle w:val="15"/>
        <w:keepNext w:val="0"/>
        <w:keepLines w:val="0"/>
        <w:pageBreakBefore w:val="0"/>
        <w:kinsoku/>
        <w:wordWrap/>
        <w:overflowPunct/>
        <w:topLinePunct w:val="0"/>
        <w:autoSpaceDE/>
        <w:autoSpaceDN/>
        <w:bidi w:val="0"/>
        <w:adjustRightInd/>
        <w:snapToGrid/>
        <w:spacing w:line="584" w:lineRule="exact"/>
        <w:textAlignment w:val="auto"/>
        <w:rPr>
          <w:rFonts w:ascii="仿宋_GB2312" w:eastAsia="仿宋_GB2312"/>
          <w:sz w:val="32"/>
          <w:szCs w:val="32"/>
        </w:rPr>
      </w:pPr>
      <w:r>
        <w:rPr>
          <w:rFonts w:hint="eastAsia" w:ascii="仿宋_GB2312" w:eastAsia="仿宋_GB2312"/>
          <w:sz w:val="32"/>
          <w:szCs w:val="32"/>
        </w:rPr>
        <w:t>绩效目标：完成本地新时代文明实践中心（所、站）建设任务，统筹整合现有阵地资源，探索形成行之有效的工作机制和运行模式，打通宣传群众、教育群众、关心群众、服务群众的＂最后一公里”。</w:t>
      </w:r>
    </w:p>
    <w:p>
      <w:pPr>
        <w:pStyle w:val="15"/>
        <w:keepNext w:val="0"/>
        <w:keepLines w:val="0"/>
        <w:pageBreakBefore w:val="0"/>
        <w:kinsoku/>
        <w:wordWrap/>
        <w:overflowPunct/>
        <w:topLinePunct w:val="0"/>
        <w:autoSpaceDE/>
        <w:autoSpaceDN/>
        <w:bidi w:val="0"/>
        <w:adjustRightInd/>
        <w:snapToGrid/>
        <w:spacing w:line="584" w:lineRule="exact"/>
        <w:textAlignment w:val="auto"/>
        <w:rPr>
          <w:rFonts w:ascii="仿宋_GB2312" w:eastAsia="仿宋_GB2312"/>
          <w:sz w:val="32"/>
          <w:szCs w:val="32"/>
        </w:rPr>
      </w:pPr>
      <w:r>
        <w:rPr>
          <w:rFonts w:hint="eastAsia" w:ascii="仿宋_GB2312" w:eastAsia="仿宋_GB2312"/>
          <w:sz w:val="32"/>
          <w:szCs w:val="32"/>
        </w:rPr>
        <w:t>绩效指标：数量建设新时代文明实践中心（所、站）180个。数量区级文明实践志愿服务队伍数量大于等于8支。质量大于等于大于等于2个。质量完成区级阵地平台整合显著。时效形成富有地方特色的工作经验完成时间2022年 12月份。成本设备配置经费限于新时代文明实践所及本年度补助资金占比小于等50%。社会效益文明实践志愿服务者骨干培训次数占计划培训次数比率90%。满意度对新时代文明工作满意人数占总人数的比率大于等于82%。</w:t>
      </w:r>
    </w:p>
    <w:p>
      <w:pPr>
        <w:pStyle w:val="15"/>
        <w:keepNext w:val="0"/>
        <w:keepLines w:val="0"/>
        <w:pageBreakBefore w:val="0"/>
        <w:kinsoku/>
        <w:wordWrap/>
        <w:overflowPunct/>
        <w:topLinePunct w:val="0"/>
        <w:autoSpaceDE/>
        <w:autoSpaceDN/>
        <w:bidi w:val="0"/>
        <w:adjustRightInd/>
        <w:snapToGrid/>
        <w:spacing w:line="584" w:lineRule="exact"/>
        <w:textAlignment w:val="auto"/>
        <w:rPr>
          <w:rFonts w:ascii="仿宋_GB2312" w:eastAsia="仿宋_GB2312"/>
          <w:sz w:val="32"/>
          <w:szCs w:val="32"/>
        </w:rPr>
      </w:pPr>
      <w:r>
        <w:rPr>
          <w:rFonts w:hint="eastAsia" w:ascii="仿宋_GB2312" w:eastAsia="仿宋_GB2312"/>
          <w:sz w:val="32"/>
          <w:szCs w:val="32"/>
          <w:lang w:eastAsia="zh-CN"/>
        </w:rPr>
        <w:t>14、</w:t>
      </w:r>
      <w:r>
        <w:rPr>
          <w:rFonts w:hint="eastAsia" w:ascii="仿宋_GB2312" w:eastAsia="仿宋_GB2312"/>
          <w:sz w:val="32"/>
          <w:szCs w:val="32"/>
        </w:rPr>
        <w:t>新时代文明实践中心建设补助资金[中央]</w:t>
      </w:r>
    </w:p>
    <w:p>
      <w:pPr>
        <w:pStyle w:val="15"/>
        <w:keepNext w:val="0"/>
        <w:keepLines w:val="0"/>
        <w:pageBreakBefore w:val="0"/>
        <w:kinsoku/>
        <w:wordWrap/>
        <w:overflowPunct/>
        <w:topLinePunct w:val="0"/>
        <w:autoSpaceDE/>
        <w:autoSpaceDN/>
        <w:bidi w:val="0"/>
        <w:adjustRightInd/>
        <w:snapToGrid/>
        <w:spacing w:line="584" w:lineRule="exact"/>
        <w:textAlignment w:val="auto"/>
        <w:rPr>
          <w:rFonts w:ascii="仿宋_GB2312" w:eastAsia="仿宋_GB2312"/>
          <w:sz w:val="32"/>
          <w:szCs w:val="32"/>
        </w:rPr>
      </w:pPr>
      <w:r>
        <w:rPr>
          <w:rFonts w:hint="eastAsia" w:ascii="仿宋_GB2312" w:eastAsia="仿宋_GB2312"/>
          <w:sz w:val="32"/>
          <w:szCs w:val="32"/>
        </w:rPr>
        <w:t>绩效目标：完成本地新时代文明实践中心（所、站）建设任务，统筹整合现有阵地资源，探索形成行之有效的工作机制和运行模式，打通宣传群众、教育群众、关心群众、服务群众的＂最后一公里”。</w:t>
      </w:r>
    </w:p>
    <w:p>
      <w:pPr>
        <w:pStyle w:val="15"/>
        <w:keepNext w:val="0"/>
        <w:keepLines w:val="0"/>
        <w:pageBreakBefore w:val="0"/>
        <w:kinsoku/>
        <w:wordWrap/>
        <w:overflowPunct/>
        <w:topLinePunct w:val="0"/>
        <w:autoSpaceDE/>
        <w:autoSpaceDN/>
        <w:bidi w:val="0"/>
        <w:adjustRightInd/>
        <w:snapToGrid/>
        <w:spacing w:line="584" w:lineRule="exact"/>
        <w:textAlignment w:val="auto"/>
      </w:pPr>
      <w:r>
        <w:rPr>
          <w:rFonts w:hint="eastAsia" w:ascii="仿宋_GB2312" w:eastAsia="仿宋_GB2312"/>
          <w:sz w:val="32"/>
          <w:szCs w:val="32"/>
        </w:rPr>
        <w:t>绩效指标：数量建设新时代文明实践中心（所、站）180个。数量区级文明实践志愿服务队伍数量大于等于8支。质量大于等于大于等于2个。质量完成区级阵地平台整合显著。时效形成富有地方特色的工作经验完成时间2022年 12月份。成本设备配置经费限于新时代文明实践所及本年度补助资金占比小于等50%。社会效益文明实践志愿服务者骨干培训次数占计划培训次数比率90%。满意度对新时代文明工作满意人数占总人数的比率大于等于82%。</w:t>
      </w:r>
    </w:p>
    <w:p>
      <w:pPr>
        <w:keepNext w:val="0"/>
        <w:keepLines w:val="0"/>
        <w:pageBreakBefore w:val="0"/>
        <w:kinsoku/>
        <w:wordWrap/>
        <w:overflowPunct/>
        <w:topLinePunct w:val="0"/>
        <w:autoSpaceDE/>
        <w:autoSpaceDN/>
        <w:bidi w:val="0"/>
        <w:adjustRightInd/>
        <w:snapToGrid/>
        <w:spacing w:line="584" w:lineRule="exact"/>
        <w:ind w:firstLine="643" w:firstLineChars="200"/>
        <w:textAlignment w:val="auto"/>
        <w:rPr>
          <w:rFonts w:ascii="楷体_GB2312" w:eastAsia="楷体_GB2312" w:cs="Times New Roman"/>
          <w:b/>
          <w:sz w:val="32"/>
          <w:szCs w:val="32"/>
        </w:rPr>
      </w:pPr>
      <w:r>
        <w:rPr>
          <w:rFonts w:hint="eastAsia" w:ascii="楷体_GB2312" w:eastAsia="楷体_GB2312" w:cs="Times New Roman"/>
          <w:b/>
          <w:sz w:val="32"/>
          <w:szCs w:val="32"/>
        </w:rPr>
        <w:t>（三）工作保障措施</w:t>
      </w:r>
    </w:p>
    <w:p>
      <w:pPr>
        <w:keepNext w:val="0"/>
        <w:keepLines w:val="0"/>
        <w:pageBreakBefore w:val="0"/>
        <w:kinsoku/>
        <w:wordWrap/>
        <w:overflowPunct/>
        <w:topLinePunct w:val="0"/>
        <w:autoSpaceDE/>
        <w:autoSpaceDN/>
        <w:bidi w:val="0"/>
        <w:adjustRightInd/>
        <w:snapToGrid/>
        <w:spacing w:line="584" w:lineRule="exact"/>
        <w:ind w:firstLine="640" w:firstLineChars="200"/>
        <w:jc w:val="left"/>
        <w:textAlignment w:val="auto"/>
        <w:rPr>
          <w:rFonts w:ascii="仿宋_GB2312" w:hAnsi="Times New Roman" w:eastAsia="仿宋_GB2312"/>
          <w:sz w:val="32"/>
          <w:szCs w:val="32"/>
        </w:rPr>
      </w:pPr>
      <w:r>
        <w:rPr>
          <w:rFonts w:hint="eastAsia" w:ascii="仿宋_GB2312" w:hAnsi="Times New Roman" w:eastAsia="仿宋_GB2312"/>
          <w:sz w:val="32"/>
          <w:szCs w:val="32"/>
        </w:rPr>
        <w:t>1.加强预算支出管理，确保支出进度达标</w:t>
      </w:r>
    </w:p>
    <w:p>
      <w:pPr>
        <w:keepNext w:val="0"/>
        <w:keepLines w:val="0"/>
        <w:pageBreakBefore w:val="0"/>
        <w:kinsoku/>
        <w:wordWrap/>
        <w:overflowPunct/>
        <w:topLinePunct w:val="0"/>
        <w:autoSpaceDE/>
        <w:autoSpaceDN/>
        <w:bidi w:val="0"/>
        <w:adjustRightInd/>
        <w:snapToGrid/>
        <w:spacing w:line="584" w:lineRule="exact"/>
        <w:ind w:firstLine="640" w:firstLineChars="200"/>
        <w:jc w:val="left"/>
        <w:textAlignment w:val="auto"/>
        <w:rPr>
          <w:rFonts w:ascii="仿宋_GB2312" w:hAnsi="Times New Roman" w:eastAsia="仿宋_GB2312"/>
          <w:sz w:val="32"/>
          <w:szCs w:val="32"/>
        </w:rPr>
      </w:pPr>
      <w:r>
        <w:rPr>
          <w:rFonts w:hint="eastAsia" w:ascii="仿宋_GB2312" w:hAnsi="Times New Roman" w:eastAsia="仿宋_GB2312"/>
          <w:sz w:val="32"/>
          <w:szCs w:val="32"/>
        </w:rPr>
        <w:t>编细编实预算，将项目细化到可执行程度，确保批复即可执行。调整优化支出结构，按规定对“三公”经费和一般性支出进行压减。通过加快履行政府采购手续、尽快启动项目、及时支付资金等措施，督导各单位按年初计划组织开展各项工作活动，及时有序支付资金。加强预算资金支出动态过程管理，及时协调解决预算项目中遇到的困难问题，实时掌握预算支出进度，按照关于支出进度的关键时间节点，对预算资金项目进度进行通报，督促相关单位加快项目执行。</w:t>
      </w:r>
    </w:p>
    <w:p>
      <w:pPr>
        <w:keepNext w:val="0"/>
        <w:keepLines w:val="0"/>
        <w:pageBreakBefore w:val="0"/>
        <w:kinsoku/>
        <w:wordWrap/>
        <w:overflowPunct/>
        <w:topLinePunct w:val="0"/>
        <w:autoSpaceDE/>
        <w:autoSpaceDN/>
        <w:bidi w:val="0"/>
        <w:adjustRightInd/>
        <w:snapToGrid/>
        <w:spacing w:line="584" w:lineRule="exact"/>
        <w:ind w:firstLine="640" w:firstLineChars="200"/>
        <w:jc w:val="left"/>
        <w:textAlignment w:val="auto"/>
        <w:rPr>
          <w:rFonts w:ascii="仿宋_GB2312" w:hAnsi="Times New Roman" w:eastAsia="仿宋_GB2312"/>
          <w:sz w:val="32"/>
          <w:szCs w:val="32"/>
        </w:rPr>
      </w:pPr>
      <w:r>
        <w:rPr>
          <w:rFonts w:hint="eastAsia" w:ascii="仿宋_GB2312" w:hAnsi="Times New Roman" w:eastAsia="仿宋_GB2312"/>
          <w:sz w:val="32"/>
          <w:szCs w:val="32"/>
        </w:rPr>
        <w:t>2.加强内部监督管理，确保资金安全有效</w:t>
      </w:r>
    </w:p>
    <w:p>
      <w:pPr>
        <w:keepNext w:val="0"/>
        <w:keepLines w:val="0"/>
        <w:pageBreakBefore w:val="0"/>
        <w:kinsoku/>
        <w:wordWrap/>
        <w:overflowPunct/>
        <w:topLinePunct w:val="0"/>
        <w:autoSpaceDE/>
        <w:autoSpaceDN/>
        <w:bidi w:val="0"/>
        <w:adjustRightInd/>
        <w:snapToGrid/>
        <w:spacing w:line="584" w:lineRule="exact"/>
        <w:ind w:firstLine="640" w:firstLineChars="200"/>
        <w:jc w:val="left"/>
        <w:textAlignment w:val="auto"/>
        <w:rPr>
          <w:rFonts w:ascii="仿宋_GB2312" w:hAnsi="Times New Roman" w:eastAsia="仿宋_GB2312"/>
          <w:sz w:val="32"/>
          <w:szCs w:val="32"/>
        </w:rPr>
      </w:pPr>
      <w:r>
        <w:rPr>
          <w:rFonts w:hint="eastAsia" w:ascii="仿宋_GB2312" w:hAnsi="Times New Roman" w:eastAsia="仿宋_GB2312"/>
          <w:sz w:val="32"/>
          <w:szCs w:val="32"/>
        </w:rPr>
        <w:t>完善财务管理制度，严格财务资金审批程序，加强固定资产登记、使用和报废处置管理，最大程度发挥国有资产效能。完善内部监督制度，加强对绩效运行情况、重大支出决策、资产处置及其他重要事项决策和执行的督导，对会计资料开展常态化内部审计，配合做好审计、财政监督等外部监督工作。严格落实领导干部重大事项报告制度和离任审计制度，加强对全厅物资采购、工程项目等大额资金使用招投标的全过程监督，确保财政资金安全有效。</w:t>
      </w:r>
    </w:p>
    <w:p>
      <w:pPr>
        <w:keepNext w:val="0"/>
        <w:keepLines w:val="0"/>
        <w:pageBreakBefore w:val="0"/>
        <w:kinsoku/>
        <w:wordWrap/>
        <w:overflowPunct/>
        <w:topLinePunct w:val="0"/>
        <w:autoSpaceDE/>
        <w:autoSpaceDN/>
        <w:bidi w:val="0"/>
        <w:adjustRightInd/>
        <w:snapToGrid/>
        <w:spacing w:line="584" w:lineRule="exact"/>
        <w:ind w:firstLine="640" w:firstLineChars="200"/>
        <w:jc w:val="left"/>
        <w:textAlignment w:val="auto"/>
        <w:rPr>
          <w:rFonts w:ascii="仿宋_GB2312" w:hAnsi="Times New Roman" w:eastAsia="仿宋_GB2312"/>
          <w:sz w:val="32"/>
          <w:szCs w:val="32"/>
        </w:rPr>
      </w:pPr>
      <w:r>
        <w:rPr>
          <w:rFonts w:hint="eastAsia" w:ascii="仿宋_GB2312" w:hAnsi="Times New Roman" w:eastAsia="仿宋_GB2312"/>
          <w:sz w:val="32"/>
          <w:szCs w:val="32"/>
        </w:rPr>
        <w:t>3.加强宣传培训调研，确保绩效目标实现</w:t>
      </w:r>
    </w:p>
    <w:p>
      <w:pPr>
        <w:keepNext w:val="0"/>
        <w:keepLines w:val="0"/>
        <w:pageBreakBefore w:val="0"/>
        <w:kinsoku/>
        <w:wordWrap/>
        <w:overflowPunct/>
        <w:topLinePunct w:val="0"/>
        <w:autoSpaceDE/>
        <w:autoSpaceDN/>
        <w:bidi w:val="0"/>
        <w:adjustRightInd/>
        <w:snapToGrid/>
        <w:spacing w:line="584" w:lineRule="exact"/>
        <w:ind w:firstLine="640" w:firstLineChars="200"/>
        <w:jc w:val="left"/>
        <w:textAlignment w:val="auto"/>
        <w:rPr>
          <w:rFonts w:ascii="Times New Roman" w:hAnsi="Times New Roman" w:eastAsia="方正仿宋_GBK"/>
          <w:sz w:val="28"/>
        </w:rPr>
      </w:pPr>
      <w:r>
        <w:rPr>
          <w:rFonts w:hint="eastAsia" w:ascii="仿宋_GB2312" w:hAnsi="Times New Roman" w:eastAsia="仿宋_GB2312"/>
          <w:sz w:val="32"/>
          <w:szCs w:val="32"/>
        </w:rPr>
        <w:t>加强预算绩效管理专业知识培训，提高预算绩效管理工作人员的业务素质，不断优化财务人员知识结构，促进财务人员严格履行职责，提高财务管理的科学化和规范化水平。加强预算绩效调研工作，将绩效管理方法融入预算编制、执行和监督过程中，强化绩效评价结果应用，提出优化财政资金配置、提高资金使用效益的意见。加大预算绩效宣传力度，强化预算绩效管理意识，为预算绩效管理创造良好的思想基础和舆论环境，促进预算绩效管理水平进一步提升。</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（四）部门整体支出绩效指标</w:t>
      </w: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
      <w:tblGrid>
        <w:gridCol w:w="572"/>
        <w:gridCol w:w="586"/>
        <w:gridCol w:w="1667"/>
        <w:gridCol w:w="5711"/>
        <w:gridCol w:w="2383"/>
        <w:gridCol w:w="578"/>
        <w:gridCol w:w="578"/>
        <w:gridCol w:w="461"/>
        <w:gridCol w:w="226"/>
        <w:gridCol w:w="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26" w:hRule="atLeast"/>
          <w:tblHeader/>
          <w:jc w:val="center"/>
        </w:trPr>
        <w:tc>
          <w:tcPr>
            <w:tcW w:w="208" w:type="pct"/>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一级指标</w:t>
            </w:r>
          </w:p>
        </w:tc>
        <w:tc>
          <w:tcPr>
            <w:tcW w:w="213" w:type="pct"/>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二级</w:t>
            </w:r>
          </w:p>
          <w:p>
            <w:pPr>
              <w:widowControl/>
              <w:adjustRightInd w:val="0"/>
              <w:snapToGrid w:val="0"/>
              <w:jc w:val="center"/>
              <w:rPr>
                <w:rFonts w:ascii="方正书宋_GBK" w:eastAsia="方正书宋_GBK"/>
                <w:b/>
              </w:rPr>
            </w:pPr>
            <w:r>
              <w:rPr>
                <w:rFonts w:ascii="方正书宋_GBK" w:eastAsia="方正书宋_GBK"/>
                <w:b/>
              </w:rPr>
              <w:t>指标</w:t>
            </w:r>
          </w:p>
        </w:tc>
        <w:tc>
          <w:tcPr>
            <w:tcW w:w="606" w:type="pct"/>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三级</w:t>
            </w:r>
          </w:p>
          <w:p>
            <w:pPr>
              <w:widowControl/>
              <w:adjustRightInd w:val="0"/>
              <w:snapToGrid w:val="0"/>
              <w:jc w:val="center"/>
              <w:rPr>
                <w:rFonts w:ascii="方正书宋_GBK" w:eastAsia="方正书宋_GBK"/>
                <w:b/>
              </w:rPr>
            </w:pPr>
            <w:r>
              <w:rPr>
                <w:rFonts w:ascii="方正书宋_GBK" w:eastAsia="方正书宋_GBK"/>
                <w:b/>
              </w:rPr>
              <w:t>指标</w:t>
            </w:r>
          </w:p>
        </w:tc>
        <w:tc>
          <w:tcPr>
            <w:tcW w:w="2077" w:type="pct"/>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评（扣）分标准</w:t>
            </w:r>
          </w:p>
        </w:tc>
        <w:tc>
          <w:tcPr>
            <w:tcW w:w="866" w:type="pct"/>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绩效指标</w:t>
            </w:r>
          </w:p>
          <w:p>
            <w:pPr>
              <w:widowControl/>
              <w:adjustRightInd w:val="0"/>
              <w:snapToGrid w:val="0"/>
              <w:jc w:val="center"/>
              <w:rPr>
                <w:rFonts w:ascii="方正书宋_GBK" w:eastAsia="方正书宋_GBK"/>
                <w:b/>
              </w:rPr>
            </w:pPr>
            <w:r>
              <w:rPr>
                <w:rFonts w:ascii="方正书宋_GBK" w:eastAsia="方正书宋_GBK"/>
                <w:b/>
              </w:rPr>
              <w:t>描述</w:t>
            </w:r>
          </w:p>
        </w:tc>
        <w:tc>
          <w:tcPr>
            <w:tcW w:w="588" w:type="pct"/>
            <w:gridSpan w:val="3"/>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tc>
        <w:tc>
          <w:tcPr>
            <w:tcW w:w="439" w:type="pct"/>
            <w:gridSpan w:val="2"/>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p>
            <w:pPr>
              <w:widowControl/>
              <w:adjustRightInd w:val="0"/>
              <w:snapToGrid w:val="0"/>
              <w:jc w:val="center"/>
              <w:rPr>
                <w:rFonts w:ascii="方正书宋_GBK" w:eastAsia="方正书宋_GBK"/>
                <w:b/>
              </w:rPr>
            </w:pPr>
            <w:r>
              <w:rPr>
                <w:rFonts w:ascii="方正书宋_GBK" w:eastAsia="方正书宋_GBK"/>
                <w:b/>
              </w:rPr>
              <w:t>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33" w:hRule="atLeast"/>
          <w:tblHeader/>
          <w:jc w:val="center"/>
        </w:trPr>
        <w:tc>
          <w:tcPr>
            <w:tcW w:w="208" w:type="pct"/>
            <w:vMerge w:val="continue"/>
            <w:tcBorders>
              <w:tl2br w:val="nil"/>
              <w:tr2bl w:val="nil"/>
            </w:tcBorders>
            <w:vAlign w:val="center"/>
          </w:tcPr>
          <w:p/>
        </w:tc>
        <w:tc>
          <w:tcPr>
            <w:tcW w:w="213" w:type="pct"/>
            <w:vMerge w:val="continue"/>
            <w:tcBorders>
              <w:tl2br w:val="nil"/>
              <w:tr2bl w:val="nil"/>
            </w:tcBorders>
            <w:vAlign w:val="center"/>
          </w:tcPr>
          <w:p/>
        </w:tc>
        <w:tc>
          <w:tcPr>
            <w:tcW w:w="606" w:type="pct"/>
            <w:vMerge w:val="continue"/>
            <w:tcBorders>
              <w:tl2br w:val="nil"/>
              <w:tr2bl w:val="nil"/>
            </w:tcBorders>
            <w:vAlign w:val="center"/>
          </w:tcPr>
          <w:p/>
        </w:tc>
        <w:tc>
          <w:tcPr>
            <w:tcW w:w="2077" w:type="pct"/>
            <w:vMerge w:val="continue"/>
            <w:tcBorders>
              <w:tl2br w:val="nil"/>
              <w:tr2bl w:val="nil"/>
            </w:tcBorders>
            <w:vAlign w:val="center"/>
          </w:tcPr>
          <w:p/>
        </w:tc>
        <w:tc>
          <w:tcPr>
            <w:tcW w:w="866" w:type="pct"/>
            <w:vMerge w:val="continue"/>
            <w:tcBorders>
              <w:tl2br w:val="nil"/>
              <w:tr2bl w:val="nil"/>
            </w:tcBorders>
            <w:vAlign w:val="center"/>
          </w:tcPr>
          <w:p/>
        </w:tc>
        <w:tc>
          <w:tcPr>
            <w:tcW w:w="210" w:type="pc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符号</w:t>
            </w:r>
          </w:p>
        </w:tc>
        <w:tc>
          <w:tcPr>
            <w:tcW w:w="210" w:type="pc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值</w:t>
            </w:r>
          </w:p>
        </w:tc>
        <w:tc>
          <w:tcPr>
            <w:tcW w:w="167" w:type="pc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单位</w:t>
            </w:r>
          </w:p>
        </w:tc>
        <w:tc>
          <w:tcPr>
            <w:tcW w:w="439" w:type="pct"/>
            <w:gridSpan w:val="2"/>
            <w:vMerge w:val="continue"/>
            <w:tcBorders>
              <w:tl2br w:val="nil"/>
              <w:tr2bl w:val="nil"/>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94" w:hRule="atLeast"/>
          <w:jc w:val="center"/>
        </w:trPr>
        <w:tc>
          <w:tcPr>
            <w:tcW w:w="208" w:type="pct"/>
            <w:vMerge w:val="restart"/>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部门产出</w:t>
            </w:r>
          </w:p>
        </w:tc>
        <w:tc>
          <w:tcPr>
            <w:tcW w:w="213" w:type="pct"/>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数量</w:t>
            </w:r>
          </w:p>
        </w:tc>
        <w:tc>
          <w:tcPr>
            <w:tcW w:w="606" w:type="pct"/>
            <w:tcBorders>
              <w:tl2br w:val="nil"/>
              <w:tr2bl w:val="nil"/>
            </w:tcBorders>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保障率</w:t>
            </w:r>
          </w:p>
        </w:tc>
        <w:tc>
          <w:tcPr>
            <w:tcW w:w="2077" w:type="pct"/>
            <w:tcBorders>
              <w:tl2br w:val="nil"/>
              <w:tr2bl w:val="nil"/>
            </w:tcBorders>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实际工作占年初计划的90%得10分，每降低一个百分点扣1分</w:t>
            </w:r>
          </w:p>
        </w:tc>
        <w:tc>
          <w:tcPr>
            <w:tcW w:w="866" w:type="pct"/>
            <w:tcBorders>
              <w:tl2br w:val="nil"/>
              <w:tr2bl w:val="nil"/>
            </w:tcBorders>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实际工作保障率占年初计划的比例</w:t>
            </w:r>
          </w:p>
        </w:tc>
        <w:tc>
          <w:tcPr>
            <w:tcW w:w="210" w:type="pct"/>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w:t>
            </w:r>
          </w:p>
        </w:tc>
        <w:tc>
          <w:tcPr>
            <w:tcW w:w="210" w:type="pct"/>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90</w:t>
            </w:r>
          </w:p>
        </w:tc>
        <w:tc>
          <w:tcPr>
            <w:tcW w:w="249" w:type="pct"/>
            <w:gridSpan w:val="2"/>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w:t>
            </w:r>
          </w:p>
        </w:tc>
        <w:tc>
          <w:tcPr>
            <w:tcW w:w="357"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2021年工作计划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208" w:type="pct"/>
            <w:vMerge w:val="continue"/>
            <w:tcBorders>
              <w:tl2br w:val="nil"/>
              <w:tr2bl w:val="nil"/>
            </w:tcBorders>
            <w:vAlign w:val="center"/>
          </w:tcPr>
          <w:p/>
        </w:tc>
        <w:tc>
          <w:tcPr>
            <w:tcW w:w="213" w:type="pct"/>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质量</w:t>
            </w:r>
          </w:p>
        </w:tc>
        <w:tc>
          <w:tcPr>
            <w:tcW w:w="606" w:type="pct"/>
            <w:tcBorders>
              <w:tl2br w:val="nil"/>
              <w:tr2bl w:val="nil"/>
            </w:tcBorders>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完成率</w:t>
            </w:r>
          </w:p>
        </w:tc>
        <w:tc>
          <w:tcPr>
            <w:tcW w:w="2077" w:type="pct"/>
            <w:tcBorders>
              <w:tl2br w:val="nil"/>
              <w:tr2bl w:val="nil"/>
            </w:tcBorders>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区委工作按时保质完成得10分，否则不得分</w:t>
            </w:r>
          </w:p>
        </w:tc>
        <w:tc>
          <w:tcPr>
            <w:tcW w:w="866" w:type="pct"/>
            <w:tcBorders>
              <w:tl2br w:val="nil"/>
              <w:tr2bl w:val="nil"/>
            </w:tcBorders>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区委工作完成情况占全部应完成的比例</w:t>
            </w:r>
          </w:p>
        </w:tc>
        <w:tc>
          <w:tcPr>
            <w:tcW w:w="210" w:type="pct"/>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w:t>
            </w:r>
          </w:p>
        </w:tc>
        <w:tc>
          <w:tcPr>
            <w:tcW w:w="210" w:type="pct"/>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90</w:t>
            </w:r>
          </w:p>
        </w:tc>
        <w:tc>
          <w:tcPr>
            <w:tcW w:w="249" w:type="pct"/>
            <w:gridSpan w:val="2"/>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w:t>
            </w:r>
          </w:p>
        </w:tc>
        <w:tc>
          <w:tcPr>
            <w:tcW w:w="357"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2021年工作计划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58" w:hRule="atLeast"/>
          <w:jc w:val="center"/>
        </w:trPr>
        <w:tc>
          <w:tcPr>
            <w:tcW w:w="208" w:type="pct"/>
            <w:vMerge w:val="continue"/>
            <w:tcBorders>
              <w:tl2br w:val="nil"/>
              <w:tr2bl w:val="nil"/>
            </w:tcBorders>
            <w:vAlign w:val="center"/>
          </w:tcPr>
          <w:p/>
        </w:tc>
        <w:tc>
          <w:tcPr>
            <w:tcW w:w="213" w:type="pct"/>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成本</w:t>
            </w:r>
          </w:p>
        </w:tc>
        <w:tc>
          <w:tcPr>
            <w:tcW w:w="606" w:type="pct"/>
            <w:tcBorders>
              <w:tl2br w:val="nil"/>
              <w:tr2bl w:val="nil"/>
            </w:tcBorders>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成本控制</w:t>
            </w:r>
          </w:p>
        </w:tc>
        <w:tc>
          <w:tcPr>
            <w:tcW w:w="2077" w:type="pct"/>
            <w:tcBorders>
              <w:tl2br w:val="nil"/>
              <w:tr2bl w:val="nil"/>
            </w:tcBorders>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实际成本占计划成本的比实际成本低于预算资金得20分，每增加10万元扣1分</w:t>
            </w:r>
          </w:p>
        </w:tc>
        <w:tc>
          <w:tcPr>
            <w:tcW w:w="866" w:type="pct"/>
            <w:tcBorders>
              <w:tl2br w:val="nil"/>
              <w:tr2bl w:val="nil"/>
            </w:tcBorders>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实际成本占计划成本的比例</w:t>
            </w:r>
          </w:p>
        </w:tc>
        <w:tc>
          <w:tcPr>
            <w:tcW w:w="210" w:type="pct"/>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w:t>
            </w:r>
          </w:p>
        </w:tc>
        <w:tc>
          <w:tcPr>
            <w:tcW w:w="210" w:type="pct"/>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90</w:t>
            </w:r>
          </w:p>
        </w:tc>
        <w:tc>
          <w:tcPr>
            <w:tcW w:w="249" w:type="pct"/>
            <w:gridSpan w:val="2"/>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w:t>
            </w:r>
          </w:p>
        </w:tc>
        <w:tc>
          <w:tcPr>
            <w:tcW w:w="357"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2021年工作计划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208" w:type="pct"/>
            <w:vMerge w:val="continue"/>
            <w:tcBorders>
              <w:tl2br w:val="nil"/>
              <w:tr2bl w:val="nil"/>
            </w:tcBorders>
            <w:vAlign w:val="center"/>
          </w:tcPr>
          <w:p/>
        </w:tc>
        <w:tc>
          <w:tcPr>
            <w:tcW w:w="213" w:type="pct"/>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时效</w:t>
            </w:r>
          </w:p>
        </w:tc>
        <w:tc>
          <w:tcPr>
            <w:tcW w:w="606" w:type="pct"/>
            <w:tcBorders>
              <w:tl2br w:val="nil"/>
              <w:tr2bl w:val="nil"/>
            </w:tcBorders>
            <w:vAlign w:val="center"/>
          </w:tcPr>
          <w:p>
            <w:pPr>
              <w:widowControl/>
              <w:adjustRightInd w:val="0"/>
              <w:snapToGrid w:val="0"/>
              <w:rPr>
                <w:rFonts w:hint="eastAsia" w:ascii="仿宋_GB2312" w:hAnsi="仿宋_GB2312" w:eastAsia="仿宋_GB2312" w:cs="仿宋_GB2312"/>
                <w:lang w:eastAsia="zh-CN"/>
              </w:rPr>
            </w:pPr>
            <w:r>
              <w:rPr>
                <w:rFonts w:hint="eastAsia" w:ascii="仿宋_GB2312" w:hAnsi="仿宋_GB2312" w:eastAsia="仿宋_GB2312" w:cs="仿宋_GB2312"/>
                <w:lang w:eastAsia="zh-CN"/>
              </w:rPr>
              <w:t>及时保障</w:t>
            </w:r>
          </w:p>
        </w:tc>
        <w:tc>
          <w:tcPr>
            <w:tcW w:w="2077"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及时保障区委大院所有办公需要得10分，否则不得分</w:t>
            </w:r>
          </w:p>
        </w:tc>
        <w:tc>
          <w:tcPr>
            <w:tcW w:w="866"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保障时效性</w:t>
            </w:r>
          </w:p>
        </w:tc>
        <w:tc>
          <w:tcPr>
            <w:tcW w:w="210" w:type="pct"/>
            <w:tcBorders>
              <w:tl2br w:val="nil"/>
              <w:tr2bl w:val="nil"/>
            </w:tcBorders>
            <w:vAlign w:val="center"/>
          </w:tcPr>
          <w:p>
            <w:pPr>
              <w:widowControl/>
              <w:adjustRightInd w:val="0"/>
              <w:snapToGrid w:val="0"/>
              <w:jc w:val="center"/>
              <w:rPr>
                <w:rFonts w:hint="eastAsia" w:ascii="仿宋_GB2312" w:hAnsi="仿宋_GB2312" w:eastAsia="仿宋_GB2312" w:cs="仿宋_GB2312"/>
                <w:lang w:eastAsia="zh-CN"/>
              </w:rPr>
            </w:pPr>
            <w:r>
              <w:rPr>
                <w:rFonts w:hint="eastAsia" w:ascii="仿宋_GB2312" w:hAnsi="仿宋_GB2312" w:eastAsia="仿宋_GB2312" w:cs="仿宋_GB2312"/>
                <w:lang w:eastAsia="zh-CN"/>
              </w:rPr>
              <w:t>文字描述</w:t>
            </w:r>
          </w:p>
        </w:tc>
        <w:tc>
          <w:tcPr>
            <w:tcW w:w="210" w:type="pct"/>
            <w:tcBorders>
              <w:tl2br w:val="nil"/>
              <w:tr2bl w:val="nil"/>
            </w:tcBorders>
            <w:vAlign w:val="center"/>
          </w:tcPr>
          <w:p>
            <w:pPr>
              <w:widowControl/>
              <w:adjustRightInd w:val="0"/>
              <w:snapToGrid w:val="0"/>
              <w:jc w:val="center"/>
              <w:rPr>
                <w:rFonts w:hint="eastAsia" w:ascii="仿宋_GB2312" w:hAnsi="仿宋_GB2312" w:eastAsia="仿宋_GB2312" w:cs="仿宋_GB2312"/>
              </w:rPr>
            </w:pPr>
          </w:p>
        </w:tc>
        <w:tc>
          <w:tcPr>
            <w:tcW w:w="249" w:type="pct"/>
            <w:gridSpan w:val="2"/>
            <w:tcBorders>
              <w:tl2br w:val="nil"/>
              <w:tr2bl w:val="nil"/>
            </w:tcBorders>
            <w:vAlign w:val="center"/>
          </w:tcPr>
          <w:p>
            <w:pPr>
              <w:widowControl/>
              <w:adjustRightInd w:val="0"/>
              <w:snapToGrid w:val="0"/>
              <w:jc w:val="center"/>
              <w:rPr>
                <w:rFonts w:hint="eastAsia" w:ascii="仿宋_GB2312" w:hAnsi="仿宋_GB2312" w:eastAsia="仿宋_GB2312" w:cs="仿宋_GB2312"/>
                <w:lang w:eastAsia="zh-CN"/>
              </w:rPr>
            </w:pPr>
            <w:r>
              <w:rPr>
                <w:rFonts w:hint="eastAsia" w:ascii="仿宋_GB2312" w:hAnsi="仿宋_GB2312" w:eastAsia="仿宋_GB2312" w:cs="仿宋_GB2312"/>
                <w:lang w:eastAsia="zh-CN"/>
              </w:rPr>
              <w:t>及时保障</w:t>
            </w:r>
          </w:p>
        </w:tc>
        <w:tc>
          <w:tcPr>
            <w:tcW w:w="357"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2021年工作计划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208" w:type="pct"/>
            <w:vMerge w:val="restart"/>
            <w:tcBorders>
              <w:tl2br w:val="nil"/>
              <w:tr2bl w:val="nil"/>
            </w:tcBorders>
            <w:vAlign w:val="center"/>
          </w:tcPr>
          <w:p>
            <w:pPr>
              <w:adjustRightInd w:val="0"/>
              <w:snapToGrid w:val="0"/>
              <w:jc w:val="center"/>
              <w:rPr>
                <w:rFonts w:ascii="方正书宋_GBK" w:eastAsia="方正书宋_GBK"/>
              </w:rPr>
            </w:pPr>
            <w:r>
              <w:rPr>
                <w:rFonts w:ascii="方正书宋_GBK" w:eastAsia="方正书宋_GBK"/>
              </w:rPr>
              <w:t>部门</w:t>
            </w:r>
            <w:r>
              <w:rPr>
                <w:rFonts w:hint="eastAsia" w:ascii="方正书宋_GBK" w:eastAsia="方正书宋_GBK"/>
              </w:rPr>
              <w:t>效果</w:t>
            </w:r>
          </w:p>
        </w:tc>
        <w:tc>
          <w:tcPr>
            <w:tcW w:w="213" w:type="pct"/>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社会</w:t>
            </w:r>
          </w:p>
          <w:p>
            <w:pPr>
              <w:widowControl/>
              <w:adjustRightInd w:val="0"/>
              <w:snapToGrid w:val="0"/>
              <w:jc w:val="center"/>
              <w:rPr>
                <w:rFonts w:ascii="方正书宋_GBK" w:eastAsia="方正书宋_GBK"/>
              </w:rPr>
            </w:pPr>
            <w:r>
              <w:rPr>
                <w:rFonts w:ascii="方正书宋_GBK" w:eastAsia="方正书宋_GBK"/>
              </w:rPr>
              <w:t>效益</w:t>
            </w:r>
          </w:p>
        </w:tc>
        <w:tc>
          <w:tcPr>
            <w:tcW w:w="606" w:type="pct"/>
            <w:tcBorders>
              <w:tl2br w:val="nil"/>
              <w:tr2bl w:val="nil"/>
            </w:tcBorders>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任务完成情况</w:t>
            </w:r>
          </w:p>
        </w:tc>
        <w:tc>
          <w:tcPr>
            <w:tcW w:w="2077" w:type="pct"/>
            <w:tcBorders>
              <w:tl2br w:val="nil"/>
              <w:tr2bl w:val="nil"/>
            </w:tcBorders>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完成任务数较去年有所提高得10分，否则不得分</w:t>
            </w:r>
          </w:p>
        </w:tc>
        <w:tc>
          <w:tcPr>
            <w:tcW w:w="866" w:type="pct"/>
            <w:tcBorders>
              <w:tl2br w:val="nil"/>
              <w:tr2bl w:val="nil"/>
            </w:tcBorders>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任务完成有所提高</w:t>
            </w:r>
          </w:p>
        </w:tc>
        <w:tc>
          <w:tcPr>
            <w:tcW w:w="210" w:type="pct"/>
            <w:tcBorders>
              <w:tl2br w:val="nil"/>
              <w:tr2bl w:val="nil"/>
            </w:tcBorders>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lang w:eastAsia="zh-CN"/>
              </w:rPr>
              <w:t>文字描述</w:t>
            </w:r>
          </w:p>
        </w:tc>
        <w:tc>
          <w:tcPr>
            <w:tcW w:w="210" w:type="pct"/>
            <w:tcBorders>
              <w:tl2br w:val="nil"/>
              <w:tr2bl w:val="nil"/>
            </w:tcBorders>
            <w:vAlign w:val="center"/>
          </w:tcPr>
          <w:p>
            <w:pPr>
              <w:widowControl/>
              <w:adjustRightInd w:val="0"/>
              <w:snapToGrid w:val="0"/>
              <w:jc w:val="center"/>
              <w:rPr>
                <w:rFonts w:hint="eastAsia" w:ascii="仿宋_GB2312" w:hAnsi="仿宋_GB2312" w:eastAsia="仿宋_GB2312" w:cs="仿宋_GB2312"/>
              </w:rPr>
            </w:pPr>
          </w:p>
        </w:tc>
        <w:tc>
          <w:tcPr>
            <w:tcW w:w="249" w:type="pct"/>
            <w:gridSpan w:val="2"/>
            <w:tcBorders>
              <w:tl2br w:val="nil"/>
              <w:tr2bl w:val="nil"/>
            </w:tcBorders>
            <w:vAlign w:val="center"/>
          </w:tcPr>
          <w:p>
            <w:pPr>
              <w:widowControl/>
              <w:adjustRightInd w:val="0"/>
              <w:snapToGrid w:val="0"/>
              <w:jc w:val="center"/>
              <w:rPr>
                <w:rFonts w:hint="eastAsia" w:ascii="仿宋_GB2312" w:hAnsi="仿宋_GB2312" w:eastAsia="仿宋_GB2312" w:cs="仿宋_GB2312"/>
                <w:lang w:eastAsia="zh-CN"/>
              </w:rPr>
            </w:pPr>
            <w:r>
              <w:rPr>
                <w:rFonts w:hint="eastAsia" w:ascii="仿宋_GB2312" w:hAnsi="仿宋_GB2312" w:eastAsia="仿宋_GB2312" w:cs="仿宋_GB2312"/>
                <w:lang w:eastAsia="zh-CN"/>
              </w:rPr>
              <w:t>任务数提高</w:t>
            </w:r>
          </w:p>
        </w:tc>
        <w:tc>
          <w:tcPr>
            <w:tcW w:w="357"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2021年工作计划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208" w:type="pct"/>
            <w:vMerge w:val="continue"/>
            <w:tcBorders>
              <w:tl2br w:val="nil"/>
              <w:tr2bl w:val="nil"/>
            </w:tcBorders>
            <w:vAlign w:val="center"/>
          </w:tcPr>
          <w:p/>
        </w:tc>
        <w:tc>
          <w:tcPr>
            <w:tcW w:w="213" w:type="pct"/>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经济</w:t>
            </w:r>
          </w:p>
          <w:p>
            <w:pPr>
              <w:widowControl/>
              <w:adjustRightInd w:val="0"/>
              <w:snapToGrid w:val="0"/>
              <w:jc w:val="center"/>
              <w:rPr>
                <w:rFonts w:ascii="方正书宋_GBK" w:eastAsia="方正书宋_GBK"/>
              </w:rPr>
            </w:pPr>
            <w:r>
              <w:rPr>
                <w:rFonts w:hint="eastAsia" w:ascii="方正书宋_GBK" w:eastAsia="方正书宋_GBK"/>
              </w:rPr>
              <w:t>效益</w:t>
            </w:r>
          </w:p>
        </w:tc>
        <w:tc>
          <w:tcPr>
            <w:tcW w:w="606" w:type="pct"/>
            <w:tcBorders>
              <w:tl2br w:val="nil"/>
              <w:tr2bl w:val="nil"/>
            </w:tcBorders>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经济效益指标</w:t>
            </w:r>
          </w:p>
        </w:tc>
        <w:tc>
          <w:tcPr>
            <w:tcW w:w="2077" w:type="pct"/>
            <w:tcBorders>
              <w:tl2br w:val="nil"/>
              <w:tr2bl w:val="nil"/>
            </w:tcBorders>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办公购置设备费用低于政府采购协议价格得10分，否则不得分</w:t>
            </w:r>
          </w:p>
        </w:tc>
        <w:tc>
          <w:tcPr>
            <w:tcW w:w="866" w:type="pct"/>
            <w:tcBorders>
              <w:tl2br w:val="nil"/>
              <w:tr2bl w:val="nil"/>
            </w:tcBorders>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办公设备购置价格与政府采购协议价格的对比</w:t>
            </w:r>
          </w:p>
        </w:tc>
        <w:tc>
          <w:tcPr>
            <w:tcW w:w="210" w:type="pct"/>
            <w:tcBorders>
              <w:tl2br w:val="nil"/>
              <w:tr2bl w:val="nil"/>
            </w:tcBorders>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lang w:eastAsia="zh-CN"/>
              </w:rPr>
              <w:t>文字描述</w:t>
            </w:r>
          </w:p>
        </w:tc>
        <w:tc>
          <w:tcPr>
            <w:tcW w:w="210" w:type="pct"/>
            <w:tcBorders>
              <w:tl2br w:val="nil"/>
              <w:tr2bl w:val="nil"/>
            </w:tcBorders>
            <w:vAlign w:val="center"/>
          </w:tcPr>
          <w:p>
            <w:pPr>
              <w:spacing w:line="300" w:lineRule="exact"/>
              <w:jc w:val="left"/>
              <w:rPr>
                <w:rFonts w:hint="eastAsia" w:ascii="仿宋_GB2312" w:hAnsi="仿宋_GB2312" w:eastAsia="仿宋_GB2312" w:cs="仿宋_GB2312"/>
              </w:rPr>
            </w:pPr>
          </w:p>
        </w:tc>
        <w:tc>
          <w:tcPr>
            <w:tcW w:w="249" w:type="pct"/>
            <w:gridSpan w:val="2"/>
            <w:tcBorders>
              <w:tl2br w:val="nil"/>
              <w:tr2bl w:val="nil"/>
            </w:tcBorders>
            <w:vAlign w:val="center"/>
          </w:tcPr>
          <w:p>
            <w:pPr>
              <w:widowControl/>
              <w:adjustRightInd w:val="0"/>
              <w:snapToGrid w:val="0"/>
              <w:rPr>
                <w:rFonts w:hint="eastAsia" w:ascii="仿宋_GB2312" w:hAnsi="仿宋_GB2312" w:eastAsia="仿宋_GB2312" w:cs="仿宋_GB2312"/>
                <w:lang w:eastAsia="zh-CN"/>
              </w:rPr>
            </w:pPr>
            <w:r>
              <w:rPr>
                <w:rFonts w:hint="eastAsia" w:ascii="仿宋_GB2312" w:hAnsi="仿宋_GB2312" w:eastAsia="仿宋_GB2312" w:cs="仿宋_GB2312"/>
                <w:lang w:eastAsia="zh-CN"/>
              </w:rPr>
              <w:t>不高于政府采购协议</w:t>
            </w:r>
          </w:p>
        </w:tc>
        <w:tc>
          <w:tcPr>
            <w:tcW w:w="357"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政府采购相关规定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208" w:type="pct"/>
            <w:vMerge w:val="continue"/>
            <w:tcBorders>
              <w:tl2br w:val="nil"/>
              <w:tr2bl w:val="nil"/>
            </w:tcBorders>
            <w:vAlign w:val="center"/>
          </w:tcPr>
          <w:p/>
        </w:tc>
        <w:tc>
          <w:tcPr>
            <w:tcW w:w="213" w:type="pct"/>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生态</w:t>
            </w:r>
          </w:p>
          <w:p>
            <w:pPr>
              <w:widowControl/>
              <w:adjustRightInd w:val="0"/>
              <w:snapToGrid w:val="0"/>
              <w:jc w:val="center"/>
              <w:rPr>
                <w:rFonts w:ascii="方正书宋_GBK" w:eastAsia="方正书宋_GBK"/>
              </w:rPr>
            </w:pPr>
            <w:r>
              <w:rPr>
                <w:rFonts w:hint="eastAsia" w:ascii="方正书宋_GBK" w:eastAsia="方正书宋_GBK"/>
              </w:rPr>
              <w:t>效益</w:t>
            </w:r>
          </w:p>
        </w:tc>
        <w:tc>
          <w:tcPr>
            <w:tcW w:w="606" w:type="pct"/>
            <w:tcBorders>
              <w:tl2br w:val="nil"/>
              <w:tr2bl w:val="nil"/>
            </w:tcBorders>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维护良好工作环境</w:t>
            </w:r>
          </w:p>
        </w:tc>
        <w:tc>
          <w:tcPr>
            <w:tcW w:w="2077" w:type="pct"/>
            <w:tcBorders>
              <w:tl2br w:val="nil"/>
              <w:tr2bl w:val="nil"/>
            </w:tcBorders>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保障区委各部门正常工作，营造良好工作环境得10分，否则不得分</w:t>
            </w:r>
          </w:p>
        </w:tc>
        <w:tc>
          <w:tcPr>
            <w:tcW w:w="866" w:type="pct"/>
            <w:tcBorders>
              <w:tl2br w:val="nil"/>
              <w:tr2bl w:val="nil"/>
            </w:tcBorders>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保障良好工作环境</w:t>
            </w:r>
          </w:p>
        </w:tc>
        <w:tc>
          <w:tcPr>
            <w:tcW w:w="210" w:type="pct"/>
            <w:tcBorders>
              <w:tl2br w:val="nil"/>
              <w:tr2bl w:val="nil"/>
            </w:tcBorders>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lang w:eastAsia="zh-CN"/>
              </w:rPr>
              <w:t>文字描述</w:t>
            </w:r>
          </w:p>
        </w:tc>
        <w:tc>
          <w:tcPr>
            <w:tcW w:w="210" w:type="pct"/>
            <w:tcBorders>
              <w:tl2br w:val="nil"/>
              <w:tr2bl w:val="nil"/>
            </w:tcBorders>
            <w:vAlign w:val="center"/>
          </w:tcPr>
          <w:p>
            <w:pPr>
              <w:widowControl/>
              <w:adjustRightInd w:val="0"/>
              <w:snapToGrid w:val="0"/>
              <w:rPr>
                <w:rFonts w:hint="eastAsia" w:ascii="仿宋_GB2312" w:hAnsi="仿宋_GB2312" w:eastAsia="仿宋_GB2312" w:cs="仿宋_GB2312"/>
              </w:rPr>
            </w:pPr>
          </w:p>
        </w:tc>
        <w:tc>
          <w:tcPr>
            <w:tcW w:w="249" w:type="pct"/>
            <w:gridSpan w:val="2"/>
            <w:tcBorders>
              <w:tl2br w:val="nil"/>
              <w:tr2bl w:val="nil"/>
            </w:tcBorders>
            <w:vAlign w:val="center"/>
          </w:tcPr>
          <w:p>
            <w:pPr>
              <w:widowControl/>
              <w:adjustRightInd w:val="0"/>
              <w:snapToGrid w:val="0"/>
              <w:rPr>
                <w:rFonts w:hint="eastAsia" w:ascii="仿宋_GB2312" w:hAnsi="仿宋_GB2312" w:eastAsia="仿宋_GB2312" w:cs="仿宋_GB2312"/>
                <w:lang w:eastAsia="zh-CN"/>
              </w:rPr>
            </w:pPr>
            <w:r>
              <w:rPr>
                <w:rFonts w:hint="eastAsia" w:ascii="仿宋_GB2312" w:hAnsi="仿宋_GB2312" w:eastAsia="仿宋_GB2312" w:cs="仿宋_GB2312"/>
                <w:lang w:eastAsia="zh-CN"/>
              </w:rPr>
              <w:t>环境提升</w:t>
            </w:r>
          </w:p>
        </w:tc>
        <w:tc>
          <w:tcPr>
            <w:tcW w:w="357"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2021年工作计划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770" w:hRule="atLeast"/>
          <w:jc w:val="center"/>
        </w:trPr>
        <w:tc>
          <w:tcPr>
            <w:tcW w:w="208" w:type="pct"/>
            <w:vMerge w:val="continue"/>
            <w:tcBorders>
              <w:tl2br w:val="nil"/>
              <w:tr2bl w:val="nil"/>
            </w:tcBorders>
            <w:vAlign w:val="center"/>
          </w:tcPr>
          <w:p/>
        </w:tc>
        <w:tc>
          <w:tcPr>
            <w:tcW w:w="213" w:type="pct"/>
            <w:tcBorders>
              <w:tl2br w:val="nil"/>
              <w:tr2bl w:val="nil"/>
            </w:tcBorders>
            <w:vAlign w:val="center"/>
          </w:tcPr>
          <w:p>
            <w:pPr>
              <w:adjustRightInd w:val="0"/>
              <w:snapToGrid w:val="0"/>
              <w:jc w:val="center"/>
              <w:rPr>
                <w:rFonts w:ascii="方正书宋_GBK" w:eastAsia="方正书宋_GBK"/>
              </w:rPr>
            </w:pPr>
            <w:r>
              <w:rPr>
                <w:rFonts w:hint="eastAsia" w:ascii="方正书宋_GBK" w:eastAsia="方正书宋_GBK"/>
              </w:rPr>
              <w:t>可持续影响</w:t>
            </w:r>
          </w:p>
        </w:tc>
        <w:tc>
          <w:tcPr>
            <w:tcW w:w="606" w:type="pct"/>
            <w:tcBorders>
              <w:tl2br w:val="nil"/>
              <w:tr2bl w:val="nil"/>
            </w:tcBorders>
            <w:noWrap/>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持续保障</w:t>
            </w:r>
          </w:p>
        </w:tc>
        <w:tc>
          <w:tcPr>
            <w:tcW w:w="2077" w:type="pct"/>
            <w:tcBorders>
              <w:tl2br w:val="nil"/>
              <w:tr2bl w:val="nil"/>
            </w:tcBorders>
            <w:noWrap/>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维持全年区委正常工作得20分，否则不得分</w:t>
            </w:r>
          </w:p>
        </w:tc>
        <w:tc>
          <w:tcPr>
            <w:tcW w:w="866" w:type="pct"/>
            <w:tcBorders>
              <w:tl2br w:val="nil"/>
              <w:tr2bl w:val="nil"/>
            </w:tcBorders>
            <w:noWrap/>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持续保障工作</w:t>
            </w:r>
          </w:p>
        </w:tc>
        <w:tc>
          <w:tcPr>
            <w:tcW w:w="210" w:type="pct"/>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lang w:eastAsia="zh-CN"/>
              </w:rPr>
              <w:t>文字描述</w:t>
            </w:r>
          </w:p>
        </w:tc>
        <w:tc>
          <w:tcPr>
            <w:tcW w:w="210" w:type="pct"/>
            <w:tcBorders>
              <w:tl2br w:val="nil"/>
              <w:tr2bl w:val="nil"/>
            </w:tcBorders>
            <w:vAlign w:val="center"/>
          </w:tcPr>
          <w:p>
            <w:pPr>
              <w:widowControl/>
              <w:adjustRightInd w:val="0"/>
              <w:snapToGrid w:val="0"/>
              <w:jc w:val="center"/>
              <w:rPr>
                <w:rFonts w:hint="eastAsia" w:ascii="仿宋_GB2312" w:hAnsi="仿宋_GB2312" w:eastAsia="仿宋_GB2312" w:cs="仿宋_GB2312"/>
              </w:rPr>
            </w:pPr>
          </w:p>
        </w:tc>
        <w:tc>
          <w:tcPr>
            <w:tcW w:w="249" w:type="pct"/>
            <w:gridSpan w:val="2"/>
            <w:tcBorders>
              <w:tl2br w:val="nil"/>
              <w:tr2bl w:val="nil"/>
            </w:tcBorders>
            <w:vAlign w:val="center"/>
          </w:tcPr>
          <w:p>
            <w:pPr>
              <w:widowControl/>
              <w:adjustRightInd w:val="0"/>
              <w:snapToGrid w:val="0"/>
              <w:jc w:val="center"/>
              <w:rPr>
                <w:rFonts w:hint="eastAsia" w:ascii="仿宋_GB2312" w:hAnsi="仿宋_GB2312" w:eastAsia="仿宋_GB2312" w:cs="仿宋_GB2312"/>
                <w:lang w:eastAsia="zh-CN"/>
              </w:rPr>
            </w:pPr>
            <w:r>
              <w:rPr>
                <w:rFonts w:hint="eastAsia" w:ascii="仿宋_GB2312" w:hAnsi="仿宋_GB2312" w:eastAsia="仿宋_GB2312" w:cs="仿宋_GB2312"/>
                <w:lang w:eastAsia="zh-CN"/>
              </w:rPr>
              <w:t>及时保障</w:t>
            </w:r>
          </w:p>
        </w:tc>
        <w:tc>
          <w:tcPr>
            <w:tcW w:w="357"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2021年工作计划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4" w:hRule="atLeast"/>
          <w:jc w:val="center"/>
        </w:trPr>
        <w:tc>
          <w:tcPr>
            <w:tcW w:w="208" w:type="pct"/>
            <w:vMerge w:val="continue"/>
            <w:tcBorders>
              <w:tl2br w:val="nil"/>
              <w:tr2bl w:val="nil"/>
            </w:tcBorders>
            <w:vAlign w:val="center"/>
          </w:tcPr>
          <w:p/>
        </w:tc>
        <w:tc>
          <w:tcPr>
            <w:tcW w:w="213" w:type="pct"/>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满意度</w:t>
            </w:r>
          </w:p>
        </w:tc>
        <w:tc>
          <w:tcPr>
            <w:tcW w:w="606" w:type="pct"/>
            <w:tcBorders>
              <w:tl2br w:val="nil"/>
              <w:tr2bl w:val="nil"/>
            </w:tcBorders>
            <w:noWrap/>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2077" w:type="pct"/>
            <w:tcBorders>
              <w:tl2br w:val="nil"/>
              <w:tr2bl w:val="nil"/>
            </w:tcBorders>
            <w:noWrap/>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调查问卷满意度大于95%得20分，每降低一个百分点扣2分</w:t>
            </w:r>
          </w:p>
        </w:tc>
        <w:tc>
          <w:tcPr>
            <w:tcW w:w="866" w:type="pct"/>
            <w:tcBorders>
              <w:tl2br w:val="nil"/>
              <w:tr2bl w:val="nil"/>
            </w:tcBorders>
            <w:noWrap/>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满意人数占调查问卷总人数的比例</w:t>
            </w:r>
          </w:p>
        </w:tc>
        <w:tc>
          <w:tcPr>
            <w:tcW w:w="210" w:type="pct"/>
            <w:tcBorders>
              <w:tl2br w:val="nil"/>
              <w:tr2bl w:val="nil"/>
            </w:tcBorders>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w:t>
            </w:r>
          </w:p>
        </w:tc>
        <w:tc>
          <w:tcPr>
            <w:tcW w:w="210" w:type="pct"/>
            <w:tcBorders>
              <w:tl2br w:val="nil"/>
              <w:tr2bl w:val="nil"/>
            </w:tcBorders>
            <w:vAlign w:val="center"/>
          </w:tcPr>
          <w:p>
            <w:pPr>
              <w:spacing w:line="300" w:lineRule="exact"/>
              <w:jc w:val="lef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95</w:t>
            </w:r>
          </w:p>
        </w:tc>
        <w:tc>
          <w:tcPr>
            <w:tcW w:w="249" w:type="pct"/>
            <w:gridSpan w:val="2"/>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w:t>
            </w:r>
          </w:p>
        </w:tc>
        <w:tc>
          <w:tcPr>
            <w:tcW w:w="357"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2021年工作计划</w:t>
            </w:r>
          </w:p>
        </w:tc>
      </w:tr>
    </w:tbl>
    <w:p>
      <w:pPr>
        <w:spacing w:line="584" w:lineRule="exact"/>
        <w:ind w:firstLine="640" w:firstLineChars="200"/>
        <w:rPr>
          <w:rFonts w:ascii="Times New Roman" w:hAnsi="Times New Roman" w:eastAsia="黑体" w:cs="Times New Roman"/>
          <w:sz w:val="32"/>
          <w:szCs w:val="32"/>
        </w:rPr>
      </w:pP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第二部分 资金绩效目标</w:t>
      </w:r>
    </w:p>
    <w:p>
      <w:pPr>
        <w:ind w:firstLine="560"/>
        <w:jc w:val="left"/>
        <w:outlineLvl w:val="3"/>
        <w:rPr>
          <w:rFonts w:hint="eastAsia" w:ascii="仿宋_GB2312" w:hAnsi="仿宋_GB2312" w:eastAsia="仿宋_GB2312" w:cs="仿宋_GB2312"/>
        </w:rPr>
      </w:pPr>
      <w:bookmarkStart w:id="0" w:name="_Toc_4_4_0000000004"/>
      <w:r>
        <w:rPr>
          <w:rFonts w:hint="eastAsia" w:ascii="仿宋_GB2312" w:hAnsi="仿宋_GB2312" w:eastAsia="仿宋_GB2312" w:cs="仿宋_GB2312"/>
          <w:color w:val="000000"/>
          <w:sz w:val="28"/>
        </w:rPr>
        <w:t>1.政务管理经费绩效目标表</w:t>
      </w:r>
      <w:bookmarkEnd w:id="0"/>
    </w:p>
    <w:tbl>
      <w:tblPr>
        <w:tblStyle w:val="11"/>
        <w:tblW w:w="5000"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8"/>
        <w:gridCol w:w="12140"/>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Align w:val="center"/>
          </w:tcPr>
          <w:p>
            <w:pPr>
              <w:pStyle w:val="19"/>
              <w:rPr>
                <w:rFonts w:hint="eastAsia" w:ascii="仿宋_GB2312" w:hAnsi="仿宋_GB2312" w:eastAsia="仿宋_GB2312" w:cs="仿宋_GB2312"/>
              </w:rPr>
            </w:pPr>
            <w:r>
              <w:rPr>
                <w:rFonts w:hint="eastAsia" w:ascii="仿宋_GB2312" w:hAnsi="仿宋_GB2312" w:eastAsia="仿宋_GB2312" w:cs="仿宋_GB2312"/>
              </w:rPr>
              <w:t>绩效目标</w:t>
            </w:r>
          </w:p>
        </w:tc>
        <w:tc>
          <w:tcPr>
            <w:tcW w:w="4355"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1.目标内容1满足开展工作所需的经费开支，为区委大院各单位各部门的正常办公秩序提供保障，实现高效规范开展工作，提高服务质量。</w:t>
            </w:r>
          </w:p>
        </w:tc>
      </w:tr>
    </w:tbl>
    <w:p>
      <w:pPr>
        <w:spacing w:line="2" w:lineRule="exact"/>
        <w:jc w:val="center"/>
        <w:rPr>
          <w:rFonts w:hint="eastAsia" w:ascii="仿宋_GB2312" w:hAnsi="仿宋_GB2312" w:eastAsia="仿宋_GB2312" w:cs="仿宋_GB2312"/>
        </w:rPr>
      </w:pPr>
      <w:r>
        <w:rPr>
          <w:rFonts w:hint="eastAsia" w:ascii="仿宋_GB2312" w:hAnsi="仿宋_GB2312" w:eastAsia="仿宋_GB2312" w:cs="仿宋_GB2312"/>
          <w:color w:val="000000"/>
        </w:rPr>
        <w:t xml:space="preserve"> </w:t>
      </w:r>
    </w:p>
    <w:tbl>
      <w:tblPr>
        <w:tblStyle w:val="11"/>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8"/>
        <w:gridCol w:w="1798"/>
        <w:gridCol w:w="1876"/>
        <w:gridCol w:w="4073"/>
        <w:gridCol w:w="1798"/>
        <w:gridCol w:w="25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45" w:type="pct"/>
            <w:vAlign w:val="center"/>
          </w:tcPr>
          <w:p>
            <w:pPr>
              <w:pStyle w:val="19"/>
              <w:rPr>
                <w:rFonts w:hint="eastAsia" w:ascii="仿宋_GB2312" w:hAnsi="仿宋_GB2312" w:eastAsia="仿宋_GB2312" w:cs="仿宋_GB2312"/>
              </w:rPr>
            </w:pPr>
            <w:r>
              <w:rPr>
                <w:rFonts w:hint="eastAsia" w:ascii="仿宋_GB2312" w:hAnsi="仿宋_GB2312" w:eastAsia="仿宋_GB2312" w:cs="仿宋_GB2312"/>
              </w:rPr>
              <w:t>一级指标</w:t>
            </w:r>
          </w:p>
        </w:tc>
        <w:tc>
          <w:tcPr>
            <w:tcW w:w="645" w:type="pct"/>
            <w:vAlign w:val="center"/>
          </w:tcPr>
          <w:p>
            <w:pPr>
              <w:pStyle w:val="19"/>
              <w:rPr>
                <w:rFonts w:hint="eastAsia" w:ascii="仿宋_GB2312" w:hAnsi="仿宋_GB2312" w:eastAsia="仿宋_GB2312" w:cs="仿宋_GB2312"/>
              </w:rPr>
            </w:pPr>
            <w:r>
              <w:rPr>
                <w:rFonts w:hint="eastAsia" w:ascii="仿宋_GB2312" w:hAnsi="仿宋_GB2312" w:eastAsia="仿宋_GB2312" w:cs="仿宋_GB2312"/>
              </w:rPr>
              <w:t>二级指标</w:t>
            </w:r>
          </w:p>
        </w:tc>
        <w:tc>
          <w:tcPr>
            <w:tcW w:w="673" w:type="pct"/>
            <w:vAlign w:val="center"/>
          </w:tcPr>
          <w:p>
            <w:pPr>
              <w:pStyle w:val="19"/>
              <w:rPr>
                <w:rFonts w:hint="eastAsia" w:ascii="仿宋_GB2312" w:hAnsi="仿宋_GB2312" w:eastAsia="仿宋_GB2312" w:cs="仿宋_GB2312"/>
              </w:rPr>
            </w:pPr>
            <w:r>
              <w:rPr>
                <w:rFonts w:hint="eastAsia" w:ascii="仿宋_GB2312" w:hAnsi="仿宋_GB2312" w:eastAsia="仿宋_GB2312" w:cs="仿宋_GB2312"/>
              </w:rPr>
              <w:t>三级指标</w:t>
            </w:r>
          </w:p>
        </w:tc>
        <w:tc>
          <w:tcPr>
            <w:tcW w:w="1461" w:type="pct"/>
            <w:vAlign w:val="center"/>
          </w:tcPr>
          <w:p>
            <w:pPr>
              <w:pStyle w:val="19"/>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645" w:type="pct"/>
            <w:vAlign w:val="center"/>
          </w:tcPr>
          <w:p>
            <w:pPr>
              <w:pStyle w:val="19"/>
              <w:rPr>
                <w:rFonts w:hint="eastAsia" w:ascii="仿宋_GB2312" w:hAnsi="仿宋_GB2312" w:eastAsia="仿宋_GB2312" w:cs="仿宋_GB2312"/>
              </w:rPr>
            </w:pPr>
            <w:r>
              <w:rPr>
                <w:rFonts w:hint="eastAsia" w:ascii="仿宋_GB2312" w:hAnsi="仿宋_GB2312" w:eastAsia="仿宋_GB2312" w:cs="仿宋_GB2312"/>
              </w:rPr>
              <w:t>指标值</w:t>
            </w:r>
          </w:p>
        </w:tc>
        <w:tc>
          <w:tcPr>
            <w:tcW w:w="931" w:type="pct"/>
            <w:vAlign w:val="center"/>
          </w:tcPr>
          <w:p>
            <w:pPr>
              <w:pStyle w:val="19"/>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restart"/>
            <w:vAlign w:val="center"/>
          </w:tcPr>
          <w:p>
            <w:pPr>
              <w:pStyle w:val="21"/>
              <w:rPr>
                <w:rFonts w:hint="eastAsia" w:ascii="仿宋_GB2312" w:hAnsi="仿宋_GB2312" w:eastAsia="仿宋_GB2312" w:cs="仿宋_GB2312"/>
              </w:rPr>
            </w:pPr>
            <w:r>
              <w:rPr>
                <w:rFonts w:hint="eastAsia" w:ascii="仿宋_GB2312" w:hAnsi="仿宋_GB2312" w:eastAsia="仿宋_GB2312" w:cs="仿宋_GB2312"/>
              </w:rPr>
              <w:t>产出指标</w:t>
            </w:r>
          </w:p>
        </w:tc>
        <w:tc>
          <w:tcPr>
            <w:tcW w:w="645"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数量指标</w:t>
            </w:r>
          </w:p>
        </w:tc>
        <w:tc>
          <w:tcPr>
            <w:tcW w:w="673"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保障办公人数　</w:t>
            </w:r>
          </w:p>
        </w:tc>
        <w:tc>
          <w:tcPr>
            <w:tcW w:w="1461"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保障办公人数　</w:t>
            </w:r>
          </w:p>
        </w:tc>
        <w:tc>
          <w:tcPr>
            <w:tcW w:w="645"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≥200人</w:t>
            </w:r>
          </w:p>
        </w:tc>
        <w:tc>
          <w:tcPr>
            <w:tcW w:w="931"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2022年工作计划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vAlign w:val="center"/>
          </w:tcPr>
          <w:p>
            <w:pPr>
              <w:rPr>
                <w:rFonts w:hint="eastAsia" w:ascii="仿宋_GB2312" w:hAnsi="仿宋_GB2312" w:eastAsia="仿宋_GB2312" w:cs="仿宋_GB2312"/>
              </w:rPr>
            </w:pPr>
          </w:p>
        </w:tc>
        <w:tc>
          <w:tcPr>
            <w:tcW w:w="645"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数量指标</w:t>
            </w:r>
          </w:p>
        </w:tc>
        <w:tc>
          <w:tcPr>
            <w:tcW w:w="673"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保障办公面积</w:t>
            </w:r>
          </w:p>
        </w:tc>
        <w:tc>
          <w:tcPr>
            <w:tcW w:w="1461"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保障办公面积</w:t>
            </w:r>
          </w:p>
        </w:tc>
        <w:tc>
          <w:tcPr>
            <w:tcW w:w="645"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≥9000平方米</w:t>
            </w:r>
          </w:p>
        </w:tc>
        <w:tc>
          <w:tcPr>
            <w:tcW w:w="931"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2022年工作计划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vAlign w:val="center"/>
          </w:tcPr>
          <w:p>
            <w:pPr>
              <w:rPr>
                <w:rFonts w:hint="eastAsia" w:ascii="仿宋_GB2312" w:hAnsi="仿宋_GB2312" w:eastAsia="仿宋_GB2312" w:cs="仿宋_GB2312"/>
              </w:rPr>
            </w:pPr>
          </w:p>
        </w:tc>
        <w:tc>
          <w:tcPr>
            <w:tcW w:w="645"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质量指标</w:t>
            </w:r>
          </w:p>
        </w:tc>
        <w:tc>
          <w:tcPr>
            <w:tcW w:w="673"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采购验收合格率　</w:t>
            </w:r>
          </w:p>
        </w:tc>
        <w:tc>
          <w:tcPr>
            <w:tcW w:w="1461"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购买设备、物品、服务通过验收　</w:t>
            </w:r>
          </w:p>
        </w:tc>
        <w:tc>
          <w:tcPr>
            <w:tcW w:w="645"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100百分比　</w:t>
            </w:r>
          </w:p>
        </w:tc>
        <w:tc>
          <w:tcPr>
            <w:tcW w:w="931"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2022年工作计划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vAlign w:val="center"/>
          </w:tcPr>
          <w:p>
            <w:pPr>
              <w:rPr>
                <w:rFonts w:hint="eastAsia" w:ascii="仿宋_GB2312" w:hAnsi="仿宋_GB2312" w:eastAsia="仿宋_GB2312" w:cs="仿宋_GB2312"/>
              </w:rPr>
            </w:pPr>
          </w:p>
        </w:tc>
        <w:tc>
          <w:tcPr>
            <w:tcW w:w="645"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时效指标</w:t>
            </w:r>
          </w:p>
        </w:tc>
        <w:tc>
          <w:tcPr>
            <w:tcW w:w="673"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采购、服务执行进度　</w:t>
            </w:r>
          </w:p>
        </w:tc>
        <w:tc>
          <w:tcPr>
            <w:tcW w:w="1461"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各采购、服务事项执行进度符合年度计划及合同约定　</w:t>
            </w:r>
          </w:p>
        </w:tc>
        <w:tc>
          <w:tcPr>
            <w:tcW w:w="645"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按照年度计划和合同约定执行　</w:t>
            </w:r>
          </w:p>
        </w:tc>
        <w:tc>
          <w:tcPr>
            <w:tcW w:w="931"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2022年工作计划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vAlign w:val="center"/>
          </w:tcPr>
          <w:p>
            <w:pPr>
              <w:rPr>
                <w:rFonts w:hint="eastAsia" w:ascii="仿宋_GB2312" w:hAnsi="仿宋_GB2312" w:eastAsia="仿宋_GB2312" w:cs="仿宋_GB2312"/>
              </w:rPr>
            </w:pPr>
          </w:p>
        </w:tc>
        <w:tc>
          <w:tcPr>
            <w:tcW w:w="645"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成本指标</w:t>
            </w:r>
          </w:p>
        </w:tc>
        <w:tc>
          <w:tcPr>
            <w:tcW w:w="673"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成本控制率　</w:t>
            </w:r>
          </w:p>
        </w:tc>
        <w:tc>
          <w:tcPr>
            <w:tcW w:w="1461"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控制成本开支　</w:t>
            </w:r>
          </w:p>
        </w:tc>
        <w:tc>
          <w:tcPr>
            <w:tcW w:w="645"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≤350万元</w:t>
            </w:r>
          </w:p>
        </w:tc>
        <w:tc>
          <w:tcPr>
            <w:tcW w:w="931"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2022年工作计划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restart"/>
            <w:vAlign w:val="center"/>
          </w:tcPr>
          <w:p>
            <w:pPr>
              <w:pStyle w:val="21"/>
              <w:rPr>
                <w:rFonts w:hint="eastAsia" w:ascii="仿宋_GB2312" w:hAnsi="仿宋_GB2312" w:eastAsia="仿宋_GB2312" w:cs="仿宋_GB2312"/>
              </w:rPr>
            </w:pPr>
            <w:r>
              <w:rPr>
                <w:rFonts w:hint="eastAsia" w:ascii="仿宋_GB2312" w:hAnsi="仿宋_GB2312" w:eastAsia="仿宋_GB2312" w:cs="仿宋_GB2312"/>
              </w:rPr>
              <w:t>效益指标</w:t>
            </w:r>
          </w:p>
        </w:tc>
        <w:tc>
          <w:tcPr>
            <w:tcW w:w="645"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673"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区委大院后勤保障</w:t>
            </w:r>
          </w:p>
        </w:tc>
        <w:tc>
          <w:tcPr>
            <w:tcW w:w="1461"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日常办公井然有序</w:t>
            </w:r>
          </w:p>
        </w:tc>
        <w:tc>
          <w:tcPr>
            <w:tcW w:w="645"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及时到位</w:t>
            </w:r>
          </w:p>
        </w:tc>
        <w:tc>
          <w:tcPr>
            <w:tcW w:w="931"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2022年工作计划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vAlign w:val="center"/>
          </w:tcPr>
          <w:p>
            <w:pPr>
              <w:rPr>
                <w:rFonts w:hint="eastAsia" w:ascii="仿宋_GB2312" w:hAnsi="仿宋_GB2312" w:eastAsia="仿宋_GB2312" w:cs="仿宋_GB2312"/>
              </w:rPr>
            </w:pPr>
          </w:p>
        </w:tc>
        <w:tc>
          <w:tcPr>
            <w:tcW w:w="645"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可持续影响指标</w:t>
            </w:r>
          </w:p>
        </w:tc>
        <w:tc>
          <w:tcPr>
            <w:tcW w:w="673"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日常办公正常运转</w:t>
            </w:r>
          </w:p>
        </w:tc>
        <w:tc>
          <w:tcPr>
            <w:tcW w:w="1461"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得到持续保障　</w:t>
            </w:r>
          </w:p>
        </w:tc>
        <w:tc>
          <w:tcPr>
            <w:tcW w:w="645"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100百分比　</w:t>
            </w:r>
          </w:p>
        </w:tc>
        <w:tc>
          <w:tcPr>
            <w:tcW w:w="931"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2022年工作计划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Align w:val="center"/>
          </w:tcPr>
          <w:p>
            <w:pPr>
              <w:pStyle w:val="21"/>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645"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673"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工作人员满意度</w:t>
            </w:r>
          </w:p>
        </w:tc>
        <w:tc>
          <w:tcPr>
            <w:tcW w:w="1461"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工作人员对办公环境的整体评价</w:t>
            </w:r>
          </w:p>
        </w:tc>
        <w:tc>
          <w:tcPr>
            <w:tcW w:w="645"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≥95百分比</w:t>
            </w:r>
          </w:p>
        </w:tc>
        <w:tc>
          <w:tcPr>
            <w:tcW w:w="931"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2022年工作计划</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docGrid w:linePitch="312" w:charSpace="0"/>
        </w:sectPr>
      </w:pPr>
    </w:p>
    <w:p>
      <w:pPr>
        <w:jc w:val="center"/>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ind w:firstLine="560"/>
        <w:jc w:val="left"/>
        <w:outlineLvl w:val="3"/>
        <w:rPr>
          <w:rFonts w:hint="eastAsia" w:ascii="仿宋_GB2312" w:hAnsi="仿宋_GB2312" w:eastAsia="仿宋_GB2312" w:cs="仿宋_GB2312"/>
        </w:rPr>
      </w:pPr>
      <w:bookmarkStart w:id="1" w:name="_Toc_4_4_0000000005"/>
      <w:r>
        <w:rPr>
          <w:rFonts w:hint="eastAsia" w:ascii="仿宋_GB2312" w:hAnsi="仿宋_GB2312" w:eastAsia="仿宋_GB2312" w:cs="仿宋_GB2312"/>
          <w:color w:val="000000"/>
          <w:sz w:val="28"/>
        </w:rPr>
        <w:t>2.保安保洁等临时人员经费绩效目标表</w:t>
      </w:r>
      <w:bookmarkEnd w:id="1"/>
    </w:p>
    <w:tbl>
      <w:tblPr>
        <w:tblStyle w:val="11"/>
        <w:tblW w:w="5000"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8"/>
        <w:gridCol w:w="12140"/>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Align w:val="center"/>
          </w:tcPr>
          <w:p>
            <w:pPr>
              <w:pStyle w:val="19"/>
              <w:rPr>
                <w:rFonts w:hint="eastAsia" w:ascii="仿宋_GB2312" w:hAnsi="仿宋_GB2312" w:eastAsia="仿宋_GB2312" w:cs="仿宋_GB2312"/>
              </w:rPr>
            </w:pPr>
            <w:r>
              <w:rPr>
                <w:rFonts w:hint="eastAsia" w:ascii="仿宋_GB2312" w:hAnsi="仿宋_GB2312" w:eastAsia="仿宋_GB2312" w:cs="仿宋_GB2312"/>
              </w:rPr>
              <w:t>绩效目标</w:t>
            </w:r>
          </w:p>
        </w:tc>
        <w:tc>
          <w:tcPr>
            <w:tcW w:w="4355"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1.及时发放区委办保安保洁临时人员工资</w:t>
            </w:r>
          </w:p>
          <w:p>
            <w:pPr>
              <w:pStyle w:val="20"/>
              <w:rPr>
                <w:rFonts w:hint="eastAsia" w:ascii="仿宋_GB2312" w:hAnsi="仿宋_GB2312" w:eastAsia="仿宋_GB2312" w:cs="仿宋_GB2312"/>
              </w:rPr>
            </w:pPr>
            <w:r>
              <w:rPr>
                <w:rFonts w:hint="eastAsia" w:ascii="仿宋_GB2312" w:hAnsi="仿宋_GB2312" w:eastAsia="仿宋_GB2312" w:cs="仿宋_GB2312"/>
              </w:rPr>
              <w:t>2.做到专款专用</w:t>
            </w:r>
          </w:p>
          <w:p>
            <w:pPr>
              <w:pStyle w:val="20"/>
              <w:rPr>
                <w:rFonts w:hint="eastAsia" w:ascii="仿宋_GB2312" w:hAnsi="仿宋_GB2312" w:eastAsia="仿宋_GB2312" w:cs="仿宋_GB2312"/>
              </w:rPr>
            </w:pPr>
            <w:r>
              <w:rPr>
                <w:rFonts w:hint="eastAsia" w:ascii="仿宋_GB2312" w:hAnsi="仿宋_GB2312" w:eastAsia="仿宋_GB2312" w:cs="仿宋_GB2312"/>
              </w:rPr>
              <w:t>3.确保区委大院各部门的正常运转，同时保障临时人员满意度。</w:t>
            </w:r>
          </w:p>
        </w:tc>
      </w:tr>
    </w:tbl>
    <w:p>
      <w:pPr>
        <w:spacing w:line="2" w:lineRule="exact"/>
        <w:jc w:val="center"/>
        <w:rPr>
          <w:rFonts w:hint="eastAsia" w:ascii="仿宋_GB2312" w:hAnsi="仿宋_GB2312" w:eastAsia="仿宋_GB2312" w:cs="仿宋_GB2312"/>
        </w:rPr>
      </w:pPr>
      <w:r>
        <w:rPr>
          <w:rFonts w:hint="eastAsia" w:ascii="仿宋_GB2312" w:hAnsi="仿宋_GB2312" w:eastAsia="仿宋_GB2312" w:cs="仿宋_GB2312"/>
          <w:color w:val="000000"/>
        </w:rPr>
        <w:t xml:space="preserve"> </w:t>
      </w:r>
    </w:p>
    <w:tbl>
      <w:tblPr>
        <w:tblStyle w:val="11"/>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8"/>
        <w:gridCol w:w="1798"/>
        <w:gridCol w:w="1876"/>
        <w:gridCol w:w="4073"/>
        <w:gridCol w:w="1798"/>
        <w:gridCol w:w="25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45" w:type="pct"/>
            <w:vAlign w:val="center"/>
          </w:tcPr>
          <w:p>
            <w:pPr>
              <w:pStyle w:val="19"/>
              <w:rPr>
                <w:rFonts w:hint="eastAsia" w:ascii="仿宋_GB2312" w:hAnsi="仿宋_GB2312" w:eastAsia="仿宋_GB2312" w:cs="仿宋_GB2312"/>
              </w:rPr>
            </w:pPr>
            <w:r>
              <w:rPr>
                <w:rFonts w:hint="eastAsia" w:ascii="仿宋_GB2312" w:hAnsi="仿宋_GB2312" w:eastAsia="仿宋_GB2312" w:cs="仿宋_GB2312"/>
              </w:rPr>
              <w:t>一级指标</w:t>
            </w:r>
          </w:p>
        </w:tc>
        <w:tc>
          <w:tcPr>
            <w:tcW w:w="645" w:type="pct"/>
            <w:vAlign w:val="center"/>
          </w:tcPr>
          <w:p>
            <w:pPr>
              <w:pStyle w:val="19"/>
              <w:rPr>
                <w:rFonts w:hint="eastAsia" w:ascii="仿宋_GB2312" w:hAnsi="仿宋_GB2312" w:eastAsia="仿宋_GB2312" w:cs="仿宋_GB2312"/>
              </w:rPr>
            </w:pPr>
            <w:r>
              <w:rPr>
                <w:rFonts w:hint="eastAsia" w:ascii="仿宋_GB2312" w:hAnsi="仿宋_GB2312" w:eastAsia="仿宋_GB2312" w:cs="仿宋_GB2312"/>
              </w:rPr>
              <w:t>二级指标</w:t>
            </w:r>
          </w:p>
        </w:tc>
        <w:tc>
          <w:tcPr>
            <w:tcW w:w="673" w:type="pct"/>
            <w:vAlign w:val="center"/>
          </w:tcPr>
          <w:p>
            <w:pPr>
              <w:pStyle w:val="19"/>
              <w:rPr>
                <w:rFonts w:hint="eastAsia" w:ascii="仿宋_GB2312" w:hAnsi="仿宋_GB2312" w:eastAsia="仿宋_GB2312" w:cs="仿宋_GB2312"/>
              </w:rPr>
            </w:pPr>
            <w:r>
              <w:rPr>
                <w:rFonts w:hint="eastAsia" w:ascii="仿宋_GB2312" w:hAnsi="仿宋_GB2312" w:eastAsia="仿宋_GB2312" w:cs="仿宋_GB2312"/>
              </w:rPr>
              <w:t>三级指标</w:t>
            </w:r>
          </w:p>
        </w:tc>
        <w:tc>
          <w:tcPr>
            <w:tcW w:w="1461" w:type="pct"/>
            <w:vAlign w:val="center"/>
          </w:tcPr>
          <w:p>
            <w:pPr>
              <w:pStyle w:val="19"/>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645" w:type="pct"/>
            <w:vAlign w:val="center"/>
          </w:tcPr>
          <w:p>
            <w:pPr>
              <w:pStyle w:val="19"/>
              <w:rPr>
                <w:rFonts w:hint="eastAsia" w:ascii="仿宋_GB2312" w:hAnsi="仿宋_GB2312" w:eastAsia="仿宋_GB2312" w:cs="仿宋_GB2312"/>
              </w:rPr>
            </w:pPr>
            <w:r>
              <w:rPr>
                <w:rFonts w:hint="eastAsia" w:ascii="仿宋_GB2312" w:hAnsi="仿宋_GB2312" w:eastAsia="仿宋_GB2312" w:cs="仿宋_GB2312"/>
              </w:rPr>
              <w:t>指标值</w:t>
            </w:r>
          </w:p>
        </w:tc>
        <w:tc>
          <w:tcPr>
            <w:tcW w:w="931" w:type="pct"/>
            <w:vAlign w:val="center"/>
          </w:tcPr>
          <w:p>
            <w:pPr>
              <w:pStyle w:val="19"/>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restart"/>
            <w:vAlign w:val="center"/>
          </w:tcPr>
          <w:p>
            <w:pPr>
              <w:pStyle w:val="21"/>
              <w:rPr>
                <w:rFonts w:hint="eastAsia" w:ascii="仿宋_GB2312" w:hAnsi="仿宋_GB2312" w:eastAsia="仿宋_GB2312" w:cs="仿宋_GB2312"/>
              </w:rPr>
            </w:pPr>
            <w:r>
              <w:rPr>
                <w:rFonts w:hint="eastAsia" w:ascii="仿宋_GB2312" w:hAnsi="仿宋_GB2312" w:eastAsia="仿宋_GB2312" w:cs="仿宋_GB2312"/>
              </w:rPr>
              <w:t>产出指标</w:t>
            </w:r>
          </w:p>
        </w:tc>
        <w:tc>
          <w:tcPr>
            <w:tcW w:w="645"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数量指标</w:t>
            </w:r>
          </w:p>
        </w:tc>
        <w:tc>
          <w:tcPr>
            <w:tcW w:w="673"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保安人数</w:t>
            </w:r>
          </w:p>
        </w:tc>
        <w:tc>
          <w:tcPr>
            <w:tcW w:w="1461"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保安人数与预算及合同规定相符</w:t>
            </w:r>
          </w:p>
        </w:tc>
        <w:tc>
          <w:tcPr>
            <w:tcW w:w="645"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9人</w:t>
            </w:r>
          </w:p>
        </w:tc>
        <w:tc>
          <w:tcPr>
            <w:tcW w:w="931"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2022年工作计划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vAlign w:val="center"/>
          </w:tcPr>
          <w:p>
            <w:pPr>
              <w:rPr>
                <w:rFonts w:hint="eastAsia" w:ascii="仿宋_GB2312" w:hAnsi="仿宋_GB2312" w:eastAsia="仿宋_GB2312" w:cs="仿宋_GB2312"/>
              </w:rPr>
            </w:pPr>
          </w:p>
        </w:tc>
        <w:tc>
          <w:tcPr>
            <w:tcW w:w="645"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数量指标</w:t>
            </w:r>
          </w:p>
        </w:tc>
        <w:tc>
          <w:tcPr>
            <w:tcW w:w="673"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保洁人数</w:t>
            </w:r>
          </w:p>
        </w:tc>
        <w:tc>
          <w:tcPr>
            <w:tcW w:w="1461"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保洁人数与预算及合同规定相符</w:t>
            </w:r>
          </w:p>
        </w:tc>
        <w:tc>
          <w:tcPr>
            <w:tcW w:w="645"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37人</w:t>
            </w:r>
          </w:p>
        </w:tc>
        <w:tc>
          <w:tcPr>
            <w:tcW w:w="931"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2022年工作计划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vAlign w:val="center"/>
          </w:tcPr>
          <w:p>
            <w:pPr>
              <w:rPr>
                <w:rFonts w:hint="eastAsia" w:ascii="仿宋_GB2312" w:hAnsi="仿宋_GB2312" w:eastAsia="仿宋_GB2312" w:cs="仿宋_GB2312"/>
              </w:rPr>
            </w:pPr>
          </w:p>
        </w:tc>
        <w:tc>
          <w:tcPr>
            <w:tcW w:w="645"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时效指标</w:t>
            </w:r>
          </w:p>
        </w:tc>
        <w:tc>
          <w:tcPr>
            <w:tcW w:w="673"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保安保洁服务进度　</w:t>
            </w:r>
          </w:p>
        </w:tc>
        <w:tc>
          <w:tcPr>
            <w:tcW w:w="1461"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保安保洁符合年度计划和合同约定　</w:t>
            </w:r>
          </w:p>
        </w:tc>
        <w:tc>
          <w:tcPr>
            <w:tcW w:w="645"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按照年度计划和合同约定执行</w:t>
            </w:r>
          </w:p>
        </w:tc>
        <w:tc>
          <w:tcPr>
            <w:tcW w:w="931"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2022年工作计划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vAlign w:val="center"/>
          </w:tcPr>
          <w:p>
            <w:pPr>
              <w:rPr>
                <w:rFonts w:hint="eastAsia" w:ascii="仿宋_GB2312" w:hAnsi="仿宋_GB2312" w:eastAsia="仿宋_GB2312" w:cs="仿宋_GB2312"/>
              </w:rPr>
            </w:pPr>
          </w:p>
        </w:tc>
        <w:tc>
          <w:tcPr>
            <w:tcW w:w="645"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质量指标</w:t>
            </w:r>
          </w:p>
        </w:tc>
        <w:tc>
          <w:tcPr>
            <w:tcW w:w="673"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保安保洁服务验收合格率</w:t>
            </w:r>
          </w:p>
        </w:tc>
        <w:tc>
          <w:tcPr>
            <w:tcW w:w="1461"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保安保洁服务符合合同约定，通过验收</w:t>
            </w:r>
          </w:p>
        </w:tc>
        <w:tc>
          <w:tcPr>
            <w:tcW w:w="645"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100%</w:t>
            </w:r>
          </w:p>
        </w:tc>
        <w:tc>
          <w:tcPr>
            <w:tcW w:w="931"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2022年工作计划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vAlign w:val="center"/>
          </w:tcPr>
          <w:p>
            <w:pPr>
              <w:rPr>
                <w:rFonts w:hint="eastAsia" w:ascii="仿宋_GB2312" w:hAnsi="仿宋_GB2312" w:eastAsia="仿宋_GB2312" w:cs="仿宋_GB2312"/>
              </w:rPr>
            </w:pPr>
          </w:p>
        </w:tc>
        <w:tc>
          <w:tcPr>
            <w:tcW w:w="645"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质量指标</w:t>
            </w:r>
          </w:p>
        </w:tc>
        <w:tc>
          <w:tcPr>
            <w:tcW w:w="673"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保安保洁人员到岗率</w:t>
            </w:r>
          </w:p>
        </w:tc>
        <w:tc>
          <w:tcPr>
            <w:tcW w:w="1461"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保安保洁人员到岗情况满足办公管理需求</w:t>
            </w:r>
          </w:p>
        </w:tc>
        <w:tc>
          <w:tcPr>
            <w:tcW w:w="645"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100%</w:t>
            </w:r>
          </w:p>
        </w:tc>
        <w:tc>
          <w:tcPr>
            <w:tcW w:w="931"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2022年工作计划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vAlign w:val="center"/>
          </w:tcPr>
          <w:p>
            <w:pPr>
              <w:rPr>
                <w:rFonts w:hint="eastAsia" w:ascii="仿宋_GB2312" w:hAnsi="仿宋_GB2312" w:eastAsia="仿宋_GB2312" w:cs="仿宋_GB2312"/>
              </w:rPr>
            </w:pPr>
          </w:p>
        </w:tc>
        <w:tc>
          <w:tcPr>
            <w:tcW w:w="645"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成本指标</w:t>
            </w:r>
          </w:p>
        </w:tc>
        <w:tc>
          <w:tcPr>
            <w:tcW w:w="673"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成本控制率</w:t>
            </w:r>
          </w:p>
        </w:tc>
        <w:tc>
          <w:tcPr>
            <w:tcW w:w="1461"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成本控制率</w:t>
            </w:r>
          </w:p>
        </w:tc>
        <w:tc>
          <w:tcPr>
            <w:tcW w:w="645"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≤120万元</w:t>
            </w:r>
          </w:p>
        </w:tc>
        <w:tc>
          <w:tcPr>
            <w:tcW w:w="931"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2022年工作计划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restart"/>
            <w:vAlign w:val="center"/>
          </w:tcPr>
          <w:p>
            <w:pPr>
              <w:pStyle w:val="21"/>
              <w:rPr>
                <w:rFonts w:hint="eastAsia" w:ascii="仿宋_GB2312" w:hAnsi="仿宋_GB2312" w:eastAsia="仿宋_GB2312" w:cs="仿宋_GB2312"/>
              </w:rPr>
            </w:pPr>
            <w:r>
              <w:rPr>
                <w:rFonts w:hint="eastAsia" w:ascii="仿宋_GB2312" w:hAnsi="仿宋_GB2312" w:eastAsia="仿宋_GB2312" w:cs="仿宋_GB2312"/>
              </w:rPr>
              <w:t>效益指标</w:t>
            </w:r>
          </w:p>
        </w:tc>
        <w:tc>
          <w:tcPr>
            <w:tcW w:w="645"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673"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推动各项工作的开展</w:t>
            </w:r>
          </w:p>
        </w:tc>
        <w:tc>
          <w:tcPr>
            <w:tcW w:w="1461"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做好后勤保障工作，推动区委各项工作开展</w:t>
            </w:r>
          </w:p>
        </w:tc>
        <w:tc>
          <w:tcPr>
            <w:tcW w:w="645"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100%</w:t>
            </w:r>
          </w:p>
        </w:tc>
        <w:tc>
          <w:tcPr>
            <w:tcW w:w="931"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2022年工作计划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vAlign w:val="center"/>
          </w:tcPr>
          <w:p>
            <w:pPr>
              <w:rPr>
                <w:rFonts w:hint="eastAsia" w:ascii="仿宋_GB2312" w:hAnsi="仿宋_GB2312" w:eastAsia="仿宋_GB2312" w:cs="仿宋_GB2312"/>
              </w:rPr>
            </w:pPr>
          </w:p>
        </w:tc>
        <w:tc>
          <w:tcPr>
            <w:tcW w:w="645"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可持续影响指标</w:t>
            </w:r>
          </w:p>
        </w:tc>
        <w:tc>
          <w:tcPr>
            <w:tcW w:w="673"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持续维护机关后勤工作正常运转　</w:t>
            </w:r>
          </w:p>
        </w:tc>
        <w:tc>
          <w:tcPr>
            <w:tcW w:w="1461"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持续维护机关后勤工作的正常运转　</w:t>
            </w:r>
          </w:p>
        </w:tc>
        <w:tc>
          <w:tcPr>
            <w:tcW w:w="645"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100%</w:t>
            </w:r>
          </w:p>
        </w:tc>
        <w:tc>
          <w:tcPr>
            <w:tcW w:w="931"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2022年工作计划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Align w:val="center"/>
          </w:tcPr>
          <w:p>
            <w:pPr>
              <w:pStyle w:val="21"/>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645"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673"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工作人员满意度</w:t>
            </w:r>
          </w:p>
        </w:tc>
        <w:tc>
          <w:tcPr>
            <w:tcW w:w="1461"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工作人员满意人数占全部人员比例</w:t>
            </w:r>
          </w:p>
        </w:tc>
        <w:tc>
          <w:tcPr>
            <w:tcW w:w="645"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≥95%</w:t>
            </w:r>
          </w:p>
        </w:tc>
        <w:tc>
          <w:tcPr>
            <w:tcW w:w="931"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2022年工作计划</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docGrid w:linePitch="312" w:charSpace="0"/>
        </w:sectPr>
      </w:pPr>
    </w:p>
    <w:p>
      <w:pPr>
        <w:jc w:val="center"/>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ind w:firstLine="560"/>
        <w:jc w:val="left"/>
        <w:outlineLvl w:val="3"/>
        <w:rPr>
          <w:rFonts w:hint="eastAsia" w:ascii="仿宋_GB2312" w:hAnsi="仿宋_GB2312" w:eastAsia="仿宋_GB2312" w:cs="仿宋_GB2312"/>
        </w:rPr>
      </w:pPr>
      <w:bookmarkStart w:id="2" w:name="_Toc_4_4_0000000006"/>
      <w:r>
        <w:rPr>
          <w:rFonts w:hint="eastAsia" w:ascii="仿宋_GB2312" w:hAnsi="仿宋_GB2312" w:eastAsia="仿宋_GB2312" w:cs="仿宋_GB2312"/>
          <w:color w:val="000000"/>
          <w:sz w:val="28"/>
        </w:rPr>
        <w:t>3.职工活动中心改建项目经费绩效目标表</w:t>
      </w:r>
      <w:bookmarkEnd w:id="2"/>
    </w:p>
    <w:tbl>
      <w:tblPr>
        <w:tblStyle w:val="11"/>
        <w:tblW w:w="5000"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8"/>
        <w:gridCol w:w="12140"/>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Align w:val="center"/>
          </w:tcPr>
          <w:p>
            <w:pPr>
              <w:pStyle w:val="19"/>
              <w:rPr>
                <w:rFonts w:hint="eastAsia" w:ascii="仿宋_GB2312" w:hAnsi="仿宋_GB2312" w:eastAsia="仿宋_GB2312" w:cs="仿宋_GB2312"/>
              </w:rPr>
            </w:pPr>
            <w:r>
              <w:rPr>
                <w:rFonts w:hint="eastAsia" w:ascii="仿宋_GB2312" w:hAnsi="仿宋_GB2312" w:eastAsia="仿宋_GB2312" w:cs="仿宋_GB2312"/>
              </w:rPr>
              <w:t>绩效目标</w:t>
            </w:r>
          </w:p>
        </w:tc>
        <w:tc>
          <w:tcPr>
            <w:tcW w:w="4355"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1.目标内容1:消除安全隐患，改善区委大院职工办公环境，确保区委职工活动中心的正常使用</w:t>
            </w:r>
          </w:p>
        </w:tc>
      </w:tr>
    </w:tbl>
    <w:p>
      <w:pPr>
        <w:spacing w:line="2" w:lineRule="exact"/>
        <w:jc w:val="center"/>
        <w:rPr>
          <w:rFonts w:hint="eastAsia" w:ascii="仿宋_GB2312" w:hAnsi="仿宋_GB2312" w:eastAsia="仿宋_GB2312" w:cs="仿宋_GB2312"/>
        </w:rPr>
      </w:pPr>
      <w:r>
        <w:rPr>
          <w:rFonts w:hint="eastAsia" w:ascii="仿宋_GB2312" w:hAnsi="仿宋_GB2312" w:eastAsia="仿宋_GB2312" w:cs="仿宋_GB2312"/>
          <w:color w:val="000000"/>
        </w:rPr>
        <w:t xml:space="preserve"> </w:t>
      </w:r>
    </w:p>
    <w:tbl>
      <w:tblPr>
        <w:tblStyle w:val="11"/>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8"/>
        <w:gridCol w:w="1798"/>
        <w:gridCol w:w="1876"/>
        <w:gridCol w:w="4073"/>
        <w:gridCol w:w="1798"/>
        <w:gridCol w:w="25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45" w:type="pct"/>
            <w:vAlign w:val="center"/>
          </w:tcPr>
          <w:p>
            <w:pPr>
              <w:pStyle w:val="19"/>
              <w:rPr>
                <w:rFonts w:hint="eastAsia" w:ascii="仿宋_GB2312" w:hAnsi="仿宋_GB2312" w:eastAsia="仿宋_GB2312" w:cs="仿宋_GB2312"/>
              </w:rPr>
            </w:pPr>
            <w:r>
              <w:rPr>
                <w:rFonts w:hint="eastAsia" w:ascii="仿宋_GB2312" w:hAnsi="仿宋_GB2312" w:eastAsia="仿宋_GB2312" w:cs="仿宋_GB2312"/>
              </w:rPr>
              <w:t>一级指标</w:t>
            </w:r>
          </w:p>
        </w:tc>
        <w:tc>
          <w:tcPr>
            <w:tcW w:w="645" w:type="pct"/>
            <w:vAlign w:val="center"/>
          </w:tcPr>
          <w:p>
            <w:pPr>
              <w:pStyle w:val="19"/>
              <w:rPr>
                <w:rFonts w:hint="eastAsia" w:ascii="仿宋_GB2312" w:hAnsi="仿宋_GB2312" w:eastAsia="仿宋_GB2312" w:cs="仿宋_GB2312"/>
              </w:rPr>
            </w:pPr>
            <w:r>
              <w:rPr>
                <w:rFonts w:hint="eastAsia" w:ascii="仿宋_GB2312" w:hAnsi="仿宋_GB2312" w:eastAsia="仿宋_GB2312" w:cs="仿宋_GB2312"/>
              </w:rPr>
              <w:t>二级指标</w:t>
            </w:r>
          </w:p>
        </w:tc>
        <w:tc>
          <w:tcPr>
            <w:tcW w:w="673" w:type="pct"/>
            <w:vAlign w:val="center"/>
          </w:tcPr>
          <w:p>
            <w:pPr>
              <w:pStyle w:val="19"/>
              <w:rPr>
                <w:rFonts w:hint="eastAsia" w:ascii="仿宋_GB2312" w:hAnsi="仿宋_GB2312" w:eastAsia="仿宋_GB2312" w:cs="仿宋_GB2312"/>
              </w:rPr>
            </w:pPr>
            <w:r>
              <w:rPr>
                <w:rFonts w:hint="eastAsia" w:ascii="仿宋_GB2312" w:hAnsi="仿宋_GB2312" w:eastAsia="仿宋_GB2312" w:cs="仿宋_GB2312"/>
              </w:rPr>
              <w:t>三级指标</w:t>
            </w:r>
          </w:p>
        </w:tc>
        <w:tc>
          <w:tcPr>
            <w:tcW w:w="1461" w:type="pct"/>
            <w:vAlign w:val="center"/>
          </w:tcPr>
          <w:p>
            <w:pPr>
              <w:pStyle w:val="19"/>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645" w:type="pct"/>
            <w:vAlign w:val="center"/>
          </w:tcPr>
          <w:p>
            <w:pPr>
              <w:pStyle w:val="19"/>
              <w:rPr>
                <w:rFonts w:hint="eastAsia" w:ascii="仿宋_GB2312" w:hAnsi="仿宋_GB2312" w:eastAsia="仿宋_GB2312" w:cs="仿宋_GB2312"/>
              </w:rPr>
            </w:pPr>
            <w:r>
              <w:rPr>
                <w:rFonts w:hint="eastAsia" w:ascii="仿宋_GB2312" w:hAnsi="仿宋_GB2312" w:eastAsia="仿宋_GB2312" w:cs="仿宋_GB2312"/>
              </w:rPr>
              <w:t>指标值</w:t>
            </w:r>
          </w:p>
        </w:tc>
        <w:tc>
          <w:tcPr>
            <w:tcW w:w="931" w:type="pct"/>
            <w:vAlign w:val="center"/>
          </w:tcPr>
          <w:p>
            <w:pPr>
              <w:pStyle w:val="19"/>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restart"/>
            <w:vAlign w:val="center"/>
          </w:tcPr>
          <w:p>
            <w:pPr>
              <w:pStyle w:val="21"/>
              <w:rPr>
                <w:rFonts w:hint="eastAsia" w:ascii="仿宋_GB2312" w:hAnsi="仿宋_GB2312" w:eastAsia="仿宋_GB2312" w:cs="仿宋_GB2312"/>
              </w:rPr>
            </w:pPr>
            <w:r>
              <w:rPr>
                <w:rFonts w:hint="eastAsia" w:ascii="仿宋_GB2312" w:hAnsi="仿宋_GB2312" w:eastAsia="仿宋_GB2312" w:cs="仿宋_GB2312"/>
              </w:rPr>
              <w:t>产出指标</w:t>
            </w:r>
          </w:p>
        </w:tc>
        <w:tc>
          <w:tcPr>
            <w:tcW w:w="645"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数量指标</w:t>
            </w:r>
          </w:p>
        </w:tc>
        <w:tc>
          <w:tcPr>
            <w:tcW w:w="673"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建设场馆数量</w:t>
            </w:r>
          </w:p>
        </w:tc>
        <w:tc>
          <w:tcPr>
            <w:tcW w:w="1461"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反映建设场馆数量情况</w:t>
            </w:r>
          </w:p>
        </w:tc>
        <w:tc>
          <w:tcPr>
            <w:tcW w:w="645"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1个</w:t>
            </w:r>
          </w:p>
        </w:tc>
        <w:tc>
          <w:tcPr>
            <w:tcW w:w="931"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区委职工活动中心工程工程量清单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vAlign w:val="center"/>
          </w:tcPr>
          <w:p>
            <w:pPr>
              <w:rPr>
                <w:rFonts w:hint="eastAsia" w:ascii="仿宋_GB2312" w:hAnsi="仿宋_GB2312" w:eastAsia="仿宋_GB2312" w:cs="仿宋_GB2312"/>
              </w:rPr>
            </w:pPr>
          </w:p>
        </w:tc>
        <w:tc>
          <w:tcPr>
            <w:tcW w:w="645"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质量指标</w:t>
            </w:r>
          </w:p>
        </w:tc>
        <w:tc>
          <w:tcPr>
            <w:tcW w:w="673"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设备质量合格率</w:t>
            </w:r>
          </w:p>
        </w:tc>
        <w:tc>
          <w:tcPr>
            <w:tcW w:w="1461"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反映购置设备质量情况</w:t>
            </w:r>
          </w:p>
        </w:tc>
        <w:tc>
          <w:tcPr>
            <w:tcW w:w="645"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100百分比</w:t>
            </w:r>
          </w:p>
        </w:tc>
        <w:tc>
          <w:tcPr>
            <w:tcW w:w="931"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设备检验标准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vAlign w:val="center"/>
          </w:tcPr>
          <w:p>
            <w:pPr>
              <w:rPr>
                <w:rFonts w:hint="eastAsia" w:ascii="仿宋_GB2312" w:hAnsi="仿宋_GB2312" w:eastAsia="仿宋_GB2312" w:cs="仿宋_GB2312"/>
              </w:rPr>
            </w:pPr>
          </w:p>
        </w:tc>
        <w:tc>
          <w:tcPr>
            <w:tcW w:w="645"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时效指标</w:t>
            </w:r>
          </w:p>
        </w:tc>
        <w:tc>
          <w:tcPr>
            <w:tcW w:w="673"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工程时限</w:t>
            </w:r>
          </w:p>
        </w:tc>
        <w:tc>
          <w:tcPr>
            <w:tcW w:w="1461"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反映工程施工时限</w:t>
            </w:r>
          </w:p>
        </w:tc>
        <w:tc>
          <w:tcPr>
            <w:tcW w:w="645"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≤90天</w:t>
            </w:r>
          </w:p>
        </w:tc>
        <w:tc>
          <w:tcPr>
            <w:tcW w:w="931"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区委职工活动中心工程计划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vAlign w:val="center"/>
          </w:tcPr>
          <w:p>
            <w:pPr>
              <w:rPr>
                <w:rFonts w:hint="eastAsia" w:ascii="仿宋_GB2312" w:hAnsi="仿宋_GB2312" w:eastAsia="仿宋_GB2312" w:cs="仿宋_GB2312"/>
              </w:rPr>
            </w:pPr>
          </w:p>
        </w:tc>
        <w:tc>
          <w:tcPr>
            <w:tcW w:w="645"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成本指标</w:t>
            </w:r>
          </w:p>
        </w:tc>
        <w:tc>
          <w:tcPr>
            <w:tcW w:w="673"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工程成本</w:t>
            </w:r>
          </w:p>
        </w:tc>
        <w:tc>
          <w:tcPr>
            <w:tcW w:w="1461"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反映整个工程的成本</w:t>
            </w:r>
          </w:p>
        </w:tc>
        <w:tc>
          <w:tcPr>
            <w:tcW w:w="645"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≤290万元</w:t>
            </w:r>
          </w:p>
        </w:tc>
        <w:tc>
          <w:tcPr>
            <w:tcW w:w="931"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区委职工活动中心预算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restart"/>
            <w:vAlign w:val="center"/>
          </w:tcPr>
          <w:p>
            <w:pPr>
              <w:pStyle w:val="21"/>
              <w:rPr>
                <w:rFonts w:hint="eastAsia" w:ascii="仿宋_GB2312" w:hAnsi="仿宋_GB2312" w:eastAsia="仿宋_GB2312" w:cs="仿宋_GB2312"/>
              </w:rPr>
            </w:pPr>
            <w:r>
              <w:rPr>
                <w:rFonts w:hint="eastAsia" w:ascii="仿宋_GB2312" w:hAnsi="仿宋_GB2312" w:eastAsia="仿宋_GB2312" w:cs="仿宋_GB2312"/>
              </w:rPr>
              <w:t>效益指标</w:t>
            </w:r>
          </w:p>
        </w:tc>
        <w:tc>
          <w:tcPr>
            <w:tcW w:w="645"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673"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提高干部素质</w:t>
            </w:r>
          </w:p>
        </w:tc>
        <w:tc>
          <w:tcPr>
            <w:tcW w:w="1461"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反映干部素质提高情况</w:t>
            </w:r>
          </w:p>
        </w:tc>
        <w:tc>
          <w:tcPr>
            <w:tcW w:w="645"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提升</w:t>
            </w:r>
          </w:p>
        </w:tc>
        <w:tc>
          <w:tcPr>
            <w:tcW w:w="931"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区委职工活动中心工程计划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vAlign w:val="center"/>
          </w:tcPr>
          <w:p>
            <w:pPr>
              <w:rPr>
                <w:rFonts w:hint="eastAsia" w:ascii="仿宋_GB2312" w:hAnsi="仿宋_GB2312" w:eastAsia="仿宋_GB2312" w:cs="仿宋_GB2312"/>
              </w:rPr>
            </w:pPr>
          </w:p>
        </w:tc>
        <w:tc>
          <w:tcPr>
            <w:tcW w:w="645"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可持续影响指标</w:t>
            </w:r>
          </w:p>
        </w:tc>
        <w:tc>
          <w:tcPr>
            <w:tcW w:w="673"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活动中心使用年限</w:t>
            </w:r>
          </w:p>
        </w:tc>
        <w:tc>
          <w:tcPr>
            <w:tcW w:w="1461"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反映活动中新工程使用年限情况</w:t>
            </w:r>
          </w:p>
        </w:tc>
        <w:tc>
          <w:tcPr>
            <w:tcW w:w="645"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≥4年</w:t>
            </w:r>
          </w:p>
        </w:tc>
        <w:tc>
          <w:tcPr>
            <w:tcW w:w="931"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区委职工活动中心工程计划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Align w:val="center"/>
          </w:tcPr>
          <w:p>
            <w:pPr>
              <w:pStyle w:val="21"/>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645"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673"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使用人员满意度</w:t>
            </w:r>
          </w:p>
        </w:tc>
        <w:tc>
          <w:tcPr>
            <w:tcW w:w="1461"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反映使用人员满意情况</w:t>
            </w:r>
          </w:p>
        </w:tc>
        <w:tc>
          <w:tcPr>
            <w:tcW w:w="645"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≥95百分比</w:t>
            </w:r>
          </w:p>
        </w:tc>
        <w:tc>
          <w:tcPr>
            <w:tcW w:w="931"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满意度调查</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docGrid w:linePitch="312" w:charSpace="0"/>
        </w:sectPr>
      </w:pPr>
    </w:p>
    <w:p>
      <w:pPr>
        <w:jc w:val="center"/>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ind w:firstLine="560"/>
        <w:jc w:val="left"/>
        <w:outlineLvl w:val="3"/>
        <w:rPr>
          <w:rFonts w:hint="eastAsia" w:ascii="仿宋_GB2312" w:hAnsi="仿宋_GB2312" w:eastAsia="仿宋_GB2312" w:cs="仿宋_GB2312"/>
        </w:rPr>
      </w:pPr>
      <w:bookmarkStart w:id="3" w:name="_Toc_4_4_0000000007"/>
      <w:r>
        <w:rPr>
          <w:rFonts w:hint="eastAsia" w:ascii="仿宋_GB2312" w:hAnsi="仿宋_GB2312" w:eastAsia="仿宋_GB2312" w:cs="仿宋_GB2312"/>
          <w:color w:val="000000"/>
          <w:sz w:val="28"/>
        </w:rPr>
        <w:t>4.”三八“国际劳动妇女节活动经费绩效目标表</w:t>
      </w:r>
      <w:bookmarkEnd w:id="3"/>
    </w:p>
    <w:tbl>
      <w:tblPr>
        <w:tblStyle w:val="11"/>
        <w:tblW w:w="5000"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243"/>
        <w:gridCol w:w="12695"/>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46" w:type="pct"/>
            <w:vAlign w:val="center"/>
          </w:tcPr>
          <w:p>
            <w:pPr>
              <w:pStyle w:val="19"/>
              <w:rPr>
                <w:rFonts w:hint="eastAsia" w:ascii="仿宋_GB2312" w:hAnsi="仿宋_GB2312" w:eastAsia="仿宋_GB2312" w:cs="仿宋_GB2312"/>
              </w:rPr>
            </w:pPr>
            <w:r>
              <w:rPr>
                <w:rFonts w:hint="eastAsia" w:ascii="仿宋_GB2312" w:hAnsi="仿宋_GB2312" w:eastAsia="仿宋_GB2312" w:cs="仿宋_GB2312"/>
              </w:rPr>
              <w:t>绩效目标</w:t>
            </w:r>
          </w:p>
        </w:tc>
        <w:tc>
          <w:tcPr>
            <w:tcW w:w="4554"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1.本着合理、节俭、实用相结合原则，高质量、高标准开展庆祝2022年度三八国际劳动妇女节暨表彰大会、“木兰有约”、“三八维权周”等系列活动。</w:t>
            </w:r>
          </w:p>
        </w:tc>
      </w:tr>
    </w:tbl>
    <w:p>
      <w:pPr>
        <w:spacing w:line="2" w:lineRule="exact"/>
        <w:jc w:val="center"/>
        <w:rPr>
          <w:rFonts w:hint="eastAsia" w:ascii="仿宋_GB2312" w:hAnsi="仿宋_GB2312" w:eastAsia="仿宋_GB2312" w:cs="仿宋_GB2312"/>
        </w:rPr>
      </w:pPr>
      <w:r>
        <w:rPr>
          <w:rFonts w:hint="eastAsia" w:ascii="仿宋_GB2312" w:hAnsi="仿宋_GB2312" w:eastAsia="仿宋_GB2312" w:cs="仿宋_GB2312"/>
          <w:color w:val="000000"/>
        </w:rPr>
        <w:t xml:space="preserve"> </w:t>
      </w:r>
    </w:p>
    <w:tbl>
      <w:tblPr>
        <w:tblStyle w:val="11"/>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243"/>
        <w:gridCol w:w="1274"/>
        <w:gridCol w:w="1845"/>
        <w:gridCol w:w="3117"/>
        <w:gridCol w:w="1700"/>
        <w:gridCol w:w="47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446" w:type="pct"/>
            <w:vAlign w:val="center"/>
          </w:tcPr>
          <w:p>
            <w:pPr>
              <w:pStyle w:val="19"/>
              <w:rPr>
                <w:rFonts w:hint="eastAsia" w:ascii="仿宋_GB2312" w:hAnsi="仿宋_GB2312" w:eastAsia="仿宋_GB2312" w:cs="仿宋_GB2312"/>
              </w:rPr>
            </w:pPr>
            <w:r>
              <w:rPr>
                <w:rFonts w:hint="eastAsia" w:ascii="仿宋_GB2312" w:hAnsi="仿宋_GB2312" w:eastAsia="仿宋_GB2312" w:cs="仿宋_GB2312"/>
              </w:rPr>
              <w:t>一级指标</w:t>
            </w:r>
          </w:p>
        </w:tc>
        <w:tc>
          <w:tcPr>
            <w:tcW w:w="457" w:type="pct"/>
            <w:vAlign w:val="center"/>
          </w:tcPr>
          <w:p>
            <w:pPr>
              <w:pStyle w:val="19"/>
              <w:rPr>
                <w:rFonts w:hint="eastAsia" w:ascii="仿宋_GB2312" w:hAnsi="仿宋_GB2312" w:eastAsia="仿宋_GB2312" w:cs="仿宋_GB2312"/>
              </w:rPr>
            </w:pPr>
            <w:r>
              <w:rPr>
                <w:rFonts w:hint="eastAsia" w:ascii="仿宋_GB2312" w:hAnsi="仿宋_GB2312" w:eastAsia="仿宋_GB2312" w:cs="仿宋_GB2312"/>
              </w:rPr>
              <w:t>二级指标</w:t>
            </w:r>
          </w:p>
        </w:tc>
        <w:tc>
          <w:tcPr>
            <w:tcW w:w="662" w:type="pct"/>
            <w:vAlign w:val="center"/>
          </w:tcPr>
          <w:p>
            <w:pPr>
              <w:pStyle w:val="19"/>
              <w:rPr>
                <w:rFonts w:hint="eastAsia" w:ascii="仿宋_GB2312" w:hAnsi="仿宋_GB2312" w:eastAsia="仿宋_GB2312" w:cs="仿宋_GB2312"/>
              </w:rPr>
            </w:pPr>
            <w:r>
              <w:rPr>
                <w:rFonts w:hint="eastAsia" w:ascii="仿宋_GB2312" w:hAnsi="仿宋_GB2312" w:eastAsia="仿宋_GB2312" w:cs="仿宋_GB2312"/>
              </w:rPr>
              <w:t>三级指标</w:t>
            </w:r>
          </w:p>
        </w:tc>
        <w:tc>
          <w:tcPr>
            <w:tcW w:w="1118" w:type="pct"/>
            <w:vAlign w:val="center"/>
          </w:tcPr>
          <w:p>
            <w:pPr>
              <w:pStyle w:val="19"/>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610" w:type="pct"/>
            <w:vAlign w:val="center"/>
          </w:tcPr>
          <w:p>
            <w:pPr>
              <w:pStyle w:val="19"/>
              <w:rPr>
                <w:rFonts w:hint="eastAsia" w:ascii="仿宋_GB2312" w:hAnsi="仿宋_GB2312" w:eastAsia="仿宋_GB2312" w:cs="仿宋_GB2312"/>
              </w:rPr>
            </w:pPr>
            <w:r>
              <w:rPr>
                <w:rFonts w:hint="eastAsia" w:ascii="仿宋_GB2312" w:hAnsi="仿宋_GB2312" w:eastAsia="仿宋_GB2312" w:cs="仿宋_GB2312"/>
              </w:rPr>
              <w:t>指标值</w:t>
            </w:r>
          </w:p>
        </w:tc>
        <w:tc>
          <w:tcPr>
            <w:tcW w:w="1707" w:type="pct"/>
            <w:vAlign w:val="center"/>
          </w:tcPr>
          <w:p>
            <w:pPr>
              <w:pStyle w:val="19"/>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46" w:type="pct"/>
            <w:vMerge w:val="restart"/>
            <w:vAlign w:val="center"/>
          </w:tcPr>
          <w:p>
            <w:pPr>
              <w:pStyle w:val="21"/>
              <w:rPr>
                <w:rFonts w:hint="eastAsia" w:ascii="仿宋_GB2312" w:hAnsi="仿宋_GB2312" w:eastAsia="仿宋_GB2312" w:cs="仿宋_GB2312"/>
              </w:rPr>
            </w:pPr>
            <w:r>
              <w:rPr>
                <w:rFonts w:hint="eastAsia" w:ascii="仿宋_GB2312" w:hAnsi="仿宋_GB2312" w:eastAsia="仿宋_GB2312" w:cs="仿宋_GB2312"/>
              </w:rPr>
              <w:t>产出指标</w:t>
            </w:r>
          </w:p>
        </w:tc>
        <w:tc>
          <w:tcPr>
            <w:tcW w:w="457"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数量指标</w:t>
            </w:r>
          </w:p>
        </w:tc>
        <w:tc>
          <w:tcPr>
            <w:tcW w:w="662"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组织参加活动人次</w:t>
            </w:r>
          </w:p>
        </w:tc>
        <w:tc>
          <w:tcPr>
            <w:tcW w:w="1118"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组织参加活动人次</w:t>
            </w:r>
          </w:p>
        </w:tc>
        <w:tc>
          <w:tcPr>
            <w:tcW w:w="610"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≥80人次</w:t>
            </w:r>
          </w:p>
        </w:tc>
        <w:tc>
          <w:tcPr>
            <w:tcW w:w="1707"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《廊坊市广阳区妇女联合会2021年度工作总结及2022年度工作谋划》（廊广妇呈[2021]8号)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46" w:type="pct"/>
            <w:vMerge w:val="continue"/>
            <w:vAlign w:val="center"/>
          </w:tcPr>
          <w:p>
            <w:pPr>
              <w:rPr>
                <w:rFonts w:hint="eastAsia" w:ascii="仿宋_GB2312" w:hAnsi="仿宋_GB2312" w:eastAsia="仿宋_GB2312" w:cs="仿宋_GB2312"/>
              </w:rPr>
            </w:pPr>
          </w:p>
        </w:tc>
        <w:tc>
          <w:tcPr>
            <w:tcW w:w="457"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质量指标</w:t>
            </w:r>
          </w:p>
        </w:tc>
        <w:tc>
          <w:tcPr>
            <w:tcW w:w="662"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活动完成率</w:t>
            </w:r>
          </w:p>
        </w:tc>
        <w:tc>
          <w:tcPr>
            <w:tcW w:w="1118"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“三八”国际劳动妇女节活动完成率</w:t>
            </w:r>
          </w:p>
        </w:tc>
        <w:tc>
          <w:tcPr>
            <w:tcW w:w="610"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100%</w:t>
            </w:r>
          </w:p>
        </w:tc>
        <w:tc>
          <w:tcPr>
            <w:tcW w:w="1707"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《廊坊市广阳区妇女联合会2021年度工作总结及2022年度工作谋划》（廊广妇呈[2021]8号)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46" w:type="pct"/>
            <w:vMerge w:val="continue"/>
            <w:vAlign w:val="center"/>
          </w:tcPr>
          <w:p>
            <w:pPr>
              <w:rPr>
                <w:rFonts w:hint="eastAsia" w:ascii="仿宋_GB2312" w:hAnsi="仿宋_GB2312" w:eastAsia="仿宋_GB2312" w:cs="仿宋_GB2312"/>
              </w:rPr>
            </w:pPr>
          </w:p>
        </w:tc>
        <w:tc>
          <w:tcPr>
            <w:tcW w:w="457"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时效指标</w:t>
            </w:r>
          </w:p>
        </w:tc>
        <w:tc>
          <w:tcPr>
            <w:tcW w:w="662"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活动完成时间</w:t>
            </w:r>
          </w:p>
        </w:tc>
        <w:tc>
          <w:tcPr>
            <w:tcW w:w="1118"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“三八节”、“木兰有约”、“三八维权周”等系列活动完成时间。</w:t>
            </w:r>
          </w:p>
        </w:tc>
        <w:tc>
          <w:tcPr>
            <w:tcW w:w="610"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2022年12月底前完成</w:t>
            </w:r>
          </w:p>
        </w:tc>
        <w:tc>
          <w:tcPr>
            <w:tcW w:w="1707"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《廊坊市广阳区妇女联合会2021年度工作总结及2022年度工作谋划》（廊广妇呈[2021]8号)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46" w:type="pct"/>
            <w:vMerge w:val="continue"/>
            <w:vAlign w:val="center"/>
          </w:tcPr>
          <w:p>
            <w:pPr>
              <w:rPr>
                <w:rFonts w:hint="eastAsia" w:ascii="仿宋_GB2312" w:hAnsi="仿宋_GB2312" w:eastAsia="仿宋_GB2312" w:cs="仿宋_GB2312"/>
              </w:rPr>
            </w:pPr>
          </w:p>
        </w:tc>
        <w:tc>
          <w:tcPr>
            <w:tcW w:w="457"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成本指标</w:t>
            </w:r>
          </w:p>
        </w:tc>
        <w:tc>
          <w:tcPr>
            <w:tcW w:w="662"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活动经费金额</w:t>
            </w:r>
          </w:p>
        </w:tc>
        <w:tc>
          <w:tcPr>
            <w:tcW w:w="1118"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各项活动费用金额</w:t>
            </w:r>
          </w:p>
        </w:tc>
        <w:tc>
          <w:tcPr>
            <w:tcW w:w="610"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≤5万</w:t>
            </w:r>
          </w:p>
        </w:tc>
        <w:tc>
          <w:tcPr>
            <w:tcW w:w="1707"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《廊坊市广阳区妇女联合会2021年度工作总结及2022年度工作谋划》（廊广妇呈[2021]8号)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46" w:type="pct"/>
            <w:vMerge w:val="restart"/>
            <w:vAlign w:val="center"/>
          </w:tcPr>
          <w:p>
            <w:pPr>
              <w:pStyle w:val="21"/>
              <w:rPr>
                <w:rFonts w:hint="eastAsia" w:ascii="仿宋_GB2312" w:hAnsi="仿宋_GB2312" w:eastAsia="仿宋_GB2312" w:cs="仿宋_GB2312"/>
              </w:rPr>
            </w:pPr>
            <w:r>
              <w:rPr>
                <w:rFonts w:hint="eastAsia" w:ascii="仿宋_GB2312" w:hAnsi="仿宋_GB2312" w:eastAsia="仿宋_GB2312" w:cs="仿宋_GB2312"/>
              </w:rPr>
              <w:t>效益指标</w:t>
            </w:r>
          </w:p>
        </w:tc>
        <w:tc>
          <w:tcPr>
            <w:tcW w:w="457"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662"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丰富广大妇女儿童群众生活</w:t>
            </w:r>
          </w:p>
        </w:tc>
        <w:tc>
          <w:tcPr>
            <w:tcW w:w="1118"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丰富广大妇女儿童群众生活</w:t>
            </w:r>
          </w:p>
        </w:tc>
        <w:tc>
          <w:tcPr>
            <w:tcW w:w="610"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丰富</w:t>
            </w:r>
          </w:p>
        </w:tc>
        <w:tc>
          <w:tcPr>
            <w:tcW w:w="1707"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《廊坊市广阳区妇女联合会2021年度工作总结及2022年度工作谋划》（廊广妇呈[2021]8号)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46" w:type="pct"/>
            <w:vMerge w:val="continue"/>
            <w:vAlign w:val="center"/>
          </w:tcPr>
          <w:p>
            <w:pPr>
              <w:rPr>
                <w:rFonts w:hint="eastAsia" w:ascii="仿宋_GB2312" w:hAnsi="仿宋_GB2312" w:eastAsia="仿宋_GB2312" w:cs="仿宋_GB2312"/>
              </w:rPr>
            </w:pPr>
          </w:p>
        </w:tc>
        <w:tc>
          <w:tcPr>
            <w:tcW w:w="457"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可持续影响指标</w:t>
            </w:r>
          </w:p>
        </w:tc>
        <w:tc>
          <w:tcPr>
            <w:tcW w:w="662"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提升妇女儿童生活幸福指数</w:t>
            </w:r>
          </w:p>
        </w:tc>
        <w:tc>
          <w:tcPr>
            <w:tcW w:w="1118"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提升妇女儿童生活幸福指数</w:t>
            </w:r>
          </w:p>
        </w:tc>
        <w:tc>
          <w:tcPr>
            <w:tcW w:w="610"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提升</w:t>
            </w:r>
          </w:p>
        </w:tc>
        <w:tc>
          <w:tcPr>
            <w:tcW w:w="1707"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《廊坊市广阳区妇女联合会2021年度工作总结及2022年度工作谋划》（廊广妇呈[2021]8号)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46" w:type="pct"/>
            <w:vAlign w:val="center"/>
          </w:tcPr>
          <w:p>
            <w:pPr>
              <w:pStyle w:val="21"/>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457"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662"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服务对象满意度</w:t>
            </w:r>
          </w:p>
        </w:tc>
        <w:tc>
          <w:tcPr>
            <w:tcW w:w="1118"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参与活动妇女儿童满意度</w:t>
            </w:r>
          </w:p>
        </w:tc>
        <w:tc>
          <w:tcPr>
            <w:tcW w:w="610"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≥95%</w:t>
            </w:r>
          </w:p>
        </w:tc>
        <w:tc>
          <w:tcPr>
            <w:tcW w:w="1707"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参与活动妇女儿童满意度调查问卷</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docGrid w:linePitch="312" w:charSpace="0"/>
        </w:sectPr>
      </w:pPr>
    </w:p>
    <w:p>
      <w:pPr>
        <w:jc w:val="center"/>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ind w:firstLine="560"/>
        <w:jc w:val="left"/>
        <w:outlineLvl w:val="3"/>
        <w:rPr>
          <w:rFonts w:hint="eastAsia" w:ascii="仿宋_GB2312" w:hAnsi="仿宋_GB2312" w:eastAsia="仿宋_GB2312" w:cs="仿宋_GB2312"/>
        </w:rPr>
      </w:pPr>
      <w:bookmarkStart w:id="4" w:name="_Toc_4_4_0000000008"/>
      <w:r>
        <w:rPr>
          <w:rFonts w:hint="eastAsia" w:ascii="仿宋_GB2312" w:hAnsi="仿宋_GB2312" w:eastAsia="仿宋_GB2312" w:cs="仿宋_GB2312"/>
          <w:color w:val="000000"/>
          <w:sz w:val="28"/>
        </w:rPr>
        <w:t>5.妇女之家建设专项资金[省级]绩效目标表</w:t>
      </w:r>
      <w:bookmarkEnd w:id="4"/>
    </w:p>
    <w:tbl>
      <w:tblPr>
        <w:tblStyle w:val="11"/>
        <w:tblW w:w="5000"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817"/>
        <w:gridCol w:w="13121"/>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 w:type="pct"/>
            <w:vAlign w:val="center"/>
          </w:tcPr>
          <w:p>
            <w:pPr>
              <w:pStyle w:val="19"/>
              <w:rPr>
                <w:rFonts w:hint="eastAsia" w:ascii="仿宋_GB2312" w:hAnsi="仿宋_GB2312" w:eastAsia="仿宋_GB2312" w:cs="仿宋_GB2312"/>
              </w:rPr>
            </w:pPr>
            <w:r>
              <w:rPr>
                <w:rFonts w:hint="eastAsia" w:ascii="仿宋_GB2312" w:hAnsi="仿宋_GB2312" w:eastAsia="仿宋_GB2312" w:cs="仿宋_GB2312"/>
              </w:rPr>
              <w:t>绩效目标</w:t>
            </w:r>
          </w:p>
        </w:tc>
        <w:tc>
          <w:tcPr>
            <w:tcW w:w="4707"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1.本着合理、节俭、实用相结合的原则，高质量、高标准创建省级“示范妇女之家”</w:t>
            </w:r>
          </w:p>
        </w:tc>
      </w:tr>
    </w:tbl>
    <w:p>
      <w:pPr>
        <w:spacing w:line="2" w:lineRule="exact"/>
        <w:jc w:val="center"/>
        <w:rPr>
          <w:rFonts w:hint="eastAsia" w:ascii="仿宋_GB2312" w:hAnsi="仿宋_GB2312" w:eastAsia="仿宋_GB2312" w:cs="仿宋_GB2312"/>
        </w:rPr>
      </w:pPr>
      <w:r>
        <w:rPr>
          <w:rFonts w:hint="eastAsia" w:ascii="仿宋_GB2312" w:hAnsi="仿宋_GB2312" w:eastAsia="仿宋_GB2312" w:cs="仿宋_GB2312"/>
          <w:color w:val="000000"/>
        </w:rPr>
        <w:t xml:space="preserve"> </w:t>
      </w:r>
    </w:p>
    <w:tbl>
      <w:tblPr>
        <w:tblStyle w:val="11"/>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816"/>
        <w:gridCol w:w="1419"/>
        <w:gridCol w:w="3234"/>
        <w:gridCol w:w="4073"/>
        <w:gridCol w:w="772"/>
        <w:gridCol w:w="36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93" w:type="pct"/>
            <w:vAlign w:val="center"/>
          </w:tcPr>
          <w:p>
            <w:pPr>
              <w:pStyle w:val="19"/>
              <w:rPr>
                <w:rFonts w:hint="eastAsia" w:ascii="仿宋_GB2312" w:hAnsi="仿宋_GB2312" w:eastAsia="仿宋_GB2312" w:cs="仿宋_GB2312"/>
              </w:rPr>
            </w:pPr>
            <w:r>
              <w:rPr>
                <w:rFonts w:hint="eastAsia" w:ascii="仿宋_GB2312" w:hAnsi="仿宋_GB2312" w:eastAsia="仿宋_GB2312" w:cs="仿宋_GB2312"/>
              </w:rPr>
              <w:t>一级指标</w:t>
            </w:r>
          </w:p>
        </w:tc>
        <w:tc>
          <w:tcPr>
            <w:tcW w:w="509" w:type="pct"/>
            <w:vAlign w:val="center"/>
          </w:tcPr>
          <w:p>
            <w:pPr>
              <w:pStyle w:val="19"/>
              <w:rPr>
                <w:rFonts w:hint="eastAsia" w:ascii="仿宋_GB2312" w:hAnsi="仿宋_GB2312" w:eastAsia="仿宋_GB2312" w:cs="仿宋_GB2312"/>
              </w:rPr>
            </w:pPr>
            <w:r>
              <w:rPr>
                <w:rFonts w:hint="eastAsia" w:ascii="仿宋_GB2312" w:hAnsi="仿宋_GB2312" w:eastAsia="仿宋_GB2312" w:cs="仿宋_GB2312"/>
              </w:rPr>
              <w:t>二级指标</w:t>
            </w:r>
          </w:p>
        </w:tc>
        <w:tc>
          <w:tcPr>
            <w:tcW w:w="1160" w:type="pct"/>
            <w:vAlign w:val="center"/>
          </w:tcPr>
          <w:p>
            <w:pPr>
              <w:pStyle w:val="19"/>
              <w:rPr>
                <w:rFonts w:hint="eastAsia" w:ascii="仿宋_GB2312" w:hAnsi="仿宋_GB2312" w:eastAsia="仿宋_GB2312" w:cs="仿宋_GB2312"/>
              </w:rPr>
            </w:pPr>
            <w:r>
              <w:rPr>
                <w:rFonts w:hint="eastAsia" w:ascii="仿宋_GB2312" w:hAnsi="仿宋_GB2312" w:eastAsia="仿宋_GB2312" w:cs="仿宋_GB2312"/>
              </w:rPr>
              <w:t>三级指标</w:t>
            </w:r>
          </w:p>
        </w:tc>
        <w:tc>
          <w:tcPr>
            <w:tcW w:w="1461" w:type="pct"/>
            <w:vAlign w:val="center"/>
          </w:tcPr>
          <w:p>
            <w:pPr>
              <w:pStyle w:val="19"/>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277" w:type="pct"/>
            <w:vAlign w:val="center"/>
          </w:tcPr>
          <w:p>
            <w:pPr>
              <w:pStyle w:val="19"/>
              <w:rPr>
                <w:rFonts w:hint="eastAsia" w:ascii="仿宋_GB2312" w:hAnsi="仿宋_GB2312" w:eastAsia="仿宋_GB2312" w:cs="仿宋_GB2312"/>
              </w:rPr>
            </w:pPr>
            <w:r>
              <w:rPr>
                <w:rFonts w:hint="eastAsia" w:ascii="仿宋_GB2312" w:hAnsi="仿宋_GB2312" w:eastAsia="仿宋_GB2312" w:cs="仿宋_GB2312"/>
              </w:rPr>
              <w:t>指标值</w:t>
            </w:r>
          </w:p>
        </w:tc>
        <w:tc>
          <w:tcPr>
            <w:tcW w:w="1300" w:type="pct"/>
            <w:vAlign w:val="center"/>
          </w:tcPr>
          <w:p>
            <w:pPr>
              <w:pStyle w:val="19"/>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 w:type="pct"/>
            <w:vMerge w:val="restart"/>
            <w:vAlign w:val="center"/>
          </w:tcPr>
          <w:p>
            <w:pPr>
              <w:pStyle w:val="21"/>
              <w:rPr>
                <w:rFonts w:hint="eastAsia" w:ascii="仿宋_GB2312" w:hAnsi="仿宋_GB2312" w:eastAsia="仿宋_GB2312" w:cs="仿宋_GB2312"/>
              </w:rPr>
            </w:pPr>
            <w:r>
              <w:rPr>
                <w:rFonts w:hint="eastAsia" w:ascii="仿宋_GB2312" w:hAnsi="仿宋_GB2312" w:eastAsia="仿宋_GB2312" w:cs="仿宋_GB2312"/>
              </w:rPr>
              <w:t>产出指标</w:t>
            </w:r>
          </w:p>
        </w:tc>
        <w:tc>
          <w:tcPr>
            <w:tcW w:w="509"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数量指标</w:t>
            </w:r>
          </w:p>
        </w:tc>
        <w:tc>
          <w:tcPr>
            <w:tcW w:w="1160"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达到河北省“妇女之家”建设标准的省级“示范妇女之家”数量</w:t>
            </w:r>
          </w:p>
        </w:tc>
        <w:tc>
          <w:tcPr>
            <w:tcW w:w="1461"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达到河北省“示范妇女之家”建设标准的省级示范妇女之家“数量</w:t>
            </w:r>
          </w:p>
        </w:tc>
        <w:tc>
          <w:tcPr>
            <w:tcW w:w="277"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1个</w:t>
            </w:r>
          </w:p>
        </w:tc>
        <w:tc>
          <w:tcPr>
            <w:tcW w:w="1300"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廊坊市财政局关于提前下达2022年省级妇女之家建设专项资金的通知（廊财行【2021】23号）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 w:type="pct"/>
            <w:vMerge w:val="continue"/>
            <w:vAlign w:val="center"/>
          </w:tcPr>
          <w:p>
            <w:pPr>
              <w:rPr>
                <w:rFonts w:hint="eastAsia" w:ascii="仿宋_GB2312" w:hAnsi="仿宋_GB2312" w:eastAsia="仿宋_GB2312" w:cs="仿宋_GB2312"/>
              </w:rPr>
            </w:pPr>
          </w:p>
        </w:tc>
        <w:tc>
          <w:tcPr>
            <w:tcW w:w="509"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质量指标</w:t>
            </w:r>
          </w:p>
        </w:tc>
        <w:tc>
          <w:tcPr>
            <w:tcW w:w="1160"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验收合格率</w:t>
            </w:r>
          </w:p>
        </w:tc>
        <w:tc>
          <w:tcPr>
            <w:tcW w:w="1461"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省级“示范妇女之家”建设合格率</w:t>
            </w:r>
          </w:p>
        </w:tc>
        <w:tc>
          <w:tcPr>
            <w:tcW w:w="277"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100%</w:t>
            </w:r>
          </w:p>
        </w:tc>
        <w:tc>
          <w:tcPr>
            <w:tcW w:w="1300"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验收竣工单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 w:type="pct"/>
            <w:vMerge w:val="continue"/>
            <w:vAlign w:val="center"/>
          </w:tcPr>
          <w:p>
            <w:pPr>
              <w:rPr>
                <w:rFonts w:hint="eastAsia" w:ascii="仿宋_GB2312" w:hAnsi="仿宋_GB2312" w:eastAsia="仿宋_GB2312" w:cs="仿宋_GB2312"/>
              </w:rPr>
            </w:pPr>
          </w:p>
        </w:tc>
        <w:tc>
          <w:tcPr>
            <w:tcW w:w="509"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时效指标</w:t>
            </w:r>
          </w:p>
        </w:tc>
        <w:tc>
          <w:tcPr>
            <w:tcW w:w="1160"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完成省级“示范妇女之家”建设任务的时间</w:t>
            </w:r>
          </w:p>
        </w:tc>
        <w:tc>
          <w:tcPr>
            <w:tcW w:w="1461"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完成省级“示范妇女之家”建设任务的时间</w:t>
            </w:r>
          </w:p>
        </w:tc>
        <w:tc>
          <w:tcPr>
            <w:tcW w:w="277"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9月底前</w:t>
            </w:r>
          </w:p>
        </w:tc>
        <w:tc>
          <w:tcPr>
            <w:tcW w:w="1300"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廊坊市财政局关于提前下达2022年省级妇女之家建设专项资金的通知（廊财行【2021】23号）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 w:type="pct"/>
            <w:vMerge w:val="continue"/>
            <w:vAlign w:val="center"/>
          </w:tcPr>
          <w:p>
            <w:pPr>
              <w:rPr>
                <w:rFonts w:hint="eastAsia" w:ascii="仿宋_GB2312" w:hAnsi="仿宋_GB2312" w:eastAsia="仿宋_GB2312" w:cs="仿宋_GB2312"/>
              </w:rPr>
            </w:pPr>
          </w:p>
        </w:tc>
        <w:tc>
          <w:tcPr>
            <w:tcW w:w="509"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成本指标</w:t>
            </w:r>
          </w:p>
        </w:tc>
        <w:tc>
          <w:tcPr>
            <w:tcW w:w="1160"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建设每个省级“示范妇女之家”支出的资金</w:t>
            </w:r>
          </w:p>
        </w:tc>
        <w:tc>
          <w:tcPr>
            <w:tcW w:w="1461"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建设每个省级“示范妇女之家”支出的资金</w:t>
            </w:r>
          </w:p>
        </w:tc>
        <w:tc>
          <w:tcPr>
            <w:tcW w:w="277"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≤8.5万元</w:t>
            </w:r>
          </w:p>
        </w:tc>
        <w:tc>
          <w:tcPr>
            <w:tcW w:w="1300"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廊坊市财政局关于提前下达2022年省级妇女之家建设专项资金的通知（廊财行【2021】23号）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 w:type="pct"/>
            <w:vMerge w:val="restart"/>
            <w:vAlign w:val="center"/>
          </w:tcPr>
          <w:p>
            <w:pPr>
              <w:pStyle w:val="21"/>
              <w:rPr>
                <w:rFonts w:hint="eastAsia" w:ascii="仿宋_GB2312" w:hAnsi="仿宋_GB2312" w:eastAsia="仿宋_GB2312" w:cs="仿宋_GB2312"/>
              </w:rPr>
            </w:pPr>
            <w:r>
              <w:rPr>
                <w:rFonts w:hint="eastAsia" w:ascii="仿宋_GB2312" w:hAnsi="仿宋_GB2312" w:eastAsia="仿宋_GB2312" w:cs="仿宋_GB2312"/>
              </w:rPr>
              <w:t>效益指标</w:t>
            </w:r>
          </w:p>
        </w:tc>
        <w:tc>
          <w:tcPr>
            <w:tcW w:w="509"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160"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充分发挥妇联作为党和政府联系广大妇女群众的桥梁纽带作用</w:t>
            </w:r>
          </w:p>
        </w:tc>
        <w:tc>
          <w:tcPr>
            <w:tcW w:w="1461"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充分发挥妇联作为党和政府联系广大妇女群众的桥梁纽带作用</w:t>
            </w:r>
          </w:p>
        </w:tc>
        <w:tc>
          <w:tcPr>
            <w:tcW w:w="277"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吸引</w:t>
            </w:r>
          </w:p>
        </w:tc>
        <w:tc>
          <w:tcPr>
            <w:tcW w:w="1300" w:type="pct"/>
            <w:vAlign w:val="center"/>
          </w:tcPr>
          <w:p>
            <w:pPr>
              <w:pStyle w:val="20"/>
              <w:rPr>
                <w:rFonts w:hint="eastAsia" w:ascii="仿宋_GB2312" w:hAnsi="仿宋_GB2312" w:eastAsia="仿宋_GB2312" w:cs="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 w:type="pct"/>
            <w:vMerge w:val="continue"/>
            <w:vAlign w:val="center"/>
          </w:tcPr>
          <w:p>
            <w:pPr>
              <w:rPr>
                <w:rFonts w:hint="eastAsia" w:ascii="仿宋_GB2312" w:hAnsi="仿宋_GB2312" w:eastAsia="仿宋_GB2312" w:cs="仿宋_GB2312"/>
              </w:rPr>
            </w:pPr>
          </w:p>
        </w:tc>
        <w:tc>
          <w:tcPr>
            <w:tcW w:w="509"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可持续影响指标</w:t>
            </w:r>
          </w:p>
        </w:tc>
        <w:tc>
          <w:tcPr>
            <w:tcW w:w="1160"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建设省级“示范妇女之家”，吸引更多的姐妹们参与到妇女之家建设</w:t>
            </w:r>
          </w:p>
        </w:tc>
        <w:tc>
          <w:tcPr>
            <w:tcW w:w="1461"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完善村街、社区妇女之家建设，吸引更多的姐妹们参与到妇女之家建设</w:t>
            </w:r>
          </w:p>
        </w:tc>
        <w:tc>
          <w:tcPr>
            <w:tcW w:w="277"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充分发挥</w:t>
            </w:r>
          </w:p>
        </w:tc>
        <w:tc>
          <w:tcPr>
            <w:tcW w:w="1300" w:type="pct"/>
            <w:vAlign w:val="center"/>
          </w:tcPr>
          <w:p>
            <w:pPr>
              <w:pStyle w:val="20"/>
              <w:rPr>
                <w:rFonts w:hint="eastAsia" w:ascii="仿宋_GB2312" w:hAnsi="仿宋_GB2312" w:eastAsia="仿宋_GB2312" w:cs="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 w:type="pct"/>
            <w:vAlign w:val="center"/>
          </w:tcPr>
          <w:p>
            <w:pPr>
              <w:pStyle w:val="21"/>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509"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160"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服务对象满意率</w:t>
            </w:r>
          </w:p>
        </w:tc>
        <w:tc>
          <w:tcPr>
            <w:tcW w:w="1461"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各个村街、社区妇女之家负责人</w:t>
            </w:r>
          </w:p>
        </w:tc>
        <w:tc>
          <w:tcPr>
            <w:tcW w:w="277"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≥85%</w:t>
            </w:r>
          </w:p>
        </w:tc>
        <w:tc>
          <w:tcPr>
            <w:tcW w:w="1300"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各个村街、社区妇女之家负责人满意度调查问卷</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docGrid w:linePitch="312" w:charSpace="0"/>
        </w:sectPr>
      </w:pPr>
    </w:p>
    <w:p>
      <w:pPr>
        <w:jc w:val="center"/>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ind w:firstLine="560"/>
        <w:jc w:val="left"/>
        <w:outlineLvl w:val="3"/>
        <w:rPr>
          <w:rFonts w:hint="eastAsia" w:ascii="仿宋_GB2312" w:hAnsi="仿宋_GB2312" w:eastAsia="仿宋_GB2312" w:cs="仿宋_GB2312"/>
        </w:rPr>
      </w:pPr>
      <w:bookmarkStart w:id="5" w:name="_Toc_4_4_0000000009"/>
      <w:r>
        <w:rPr>
          <w:rFonts w:hint="eastAsia" w:ascii="仿宋_GB2312" w:hAnsi="仿宋_GB2312" w:eastAsia="仿宋_GB2312" w:cs="仿宋_GB2312"/>
          <w:color w:val="000000"/>
          <w:sz w:val="28"/>
        </w:rPr>
        <w:t>6.2021年公共文化服务体系建设(农村文化建设）市级补助资金绩效目标表</w:t>
      </w:r>
      <w:bookmarkEnd w:id="5"/>
    </w:p>
    <w:tbl>
      <w:tblPr>
        <w:tblStyle w:val="11"/>
        <w:tblW w:w="5000"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75"/>
        <w:gridCol w:w="1326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2" w:type="pct"/>
            <w:vAlign w:val="center"/>
          </w:tcPr>
          <w:p>
            <w:pPr>
              <w:pStyle w:val="19"/>
              <w:rPr>
                <w:rFonts w:hint="eastAsia" w:ascii="仿宋_GB2312" w:hAnsi="仿宋_GB2312" w:eastAsia="仿宋_GB2312" w:cs="仿宋_GB2312"/>
              </w:rPr>
            </w:pPr>
            <w:r>
              <w:rPr>
                <w:rFonts w:hint="eastAsia" w:ascii="仿宋_GB2312" w:hAnsi="仿宋_GB2312" w:eastAsia="仿宋_GB2312" w:cs="仿宋_GB2312"/>
              </w:rPr>
              <w:t>绩效目标</w:t>
            </w:r>
          </w:p>
        </w:tc>
        <w:tc>
          <w:tcPr>
            <w:tcW w:w="4758"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1.丰富人民群众精神文化生活，加快构建现代公共文化服务体系建设.</w:t>
            </w:r>
          </w:p>
          <w:p>
            <w:pPr>
              <w:pStyle w:val="20"/>
              <w:rPr>
                <w:rFonts w:hint="eastAsia" w:ascii="仿宋_GB2312" w:hAnsi="仿宋_GB2312" w:eastAsia="仿宋_GB2312" w:cs="仿宋_GB2312"/>
              </w:rPr>
            </w:pPr>
            <w:r>
              <w:rPr>
                <w:rFonts w:hint="eastAsia" w:ascii="仿宋_GB2312" w:hAnsi="仿宋_GB2312" w:eastAsia="仿宋_GB2312" w:cs="仿宋_GB2312"/>
              </w:rPr>
              <w:t>2.推进公共文化服务水平的提高.</w:t>
            </w:r>
          </w:p>
          <w:p>
            <w:pPr>
              <w:pStyle w:val="20"/>
              <w:rPr>
                <w:rFonts w:hint="eastAsia" w:ascii="仿宋_GB2312" w:hAnsi="仿宋_GB2312" w:eastAsia="仿宋_GB2312" w:cs="仿宋_GB2312"/>
              </w:rPr>
            </w:pPr>
            <w:r>
              <w:rPr>
                <w:rFonts w:hint="eastAsia" w:ascii="仿宋_GB2312" w:hAnsi="仿宋_GB2312" w:eastAsia="仿宋_GB2312" w:cs="仿宋_GB2312"/>
              </w:rPr>
              <w:t>3.推进公共文化服务体系标准化、均等化发展.</w:t>
            </w:r>
          </w:p>
        </w:tc>
      </w:tr>
    </w:tbl>
    <w:p>
      <w:pPr>
        <w:spacing w:line="2" w:lineRule="exact"/>
        <w:jc w:val="center"/>
        <w:rPr>
          <w:rFonts w:hint="eastAsia" w:ascii="仿宋_GB2312" w:hAnsi="仿宋_GB2312" w:eastAsia="仿宋_GB2312" w:cs="仿宋_GB2312"/>
        </w:rPr>
      </w:pPr>
      <w:r>
        <w:rPr>
          <w:rFonts w:hint="eastAsia" w:ascii="仿宋_GB2312" w:hAnsi="仿宋_GB2312" w:eastAsia="仿宋_GB2312" w:cs="仿宋_GB2312"/>
          <w:color w:val="000000"/>
        </w:rPr>
        <w:t xml:space="preserve"> </w:t>
      </w:r>
    </w:p>
    <w:tbl>
      <w:tblPr>
        <w:tblStyle w:val="11"/>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77"/>
        <w:gridCol w:w="1700"/>
        <w:gridCol w:w="2127"/>
        <w:gridCol w:w="3827"/>
        <w:gridCol w:w="1277"/>
        <w:gridCol w:w="433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3" w:type="pct"/>
            <w:vAlign w:val="center"/>
          </w:tcPr>
          <w:p>
            <w:pPr>
              <w:pStyle w:val="19"/>
              <w:rPr>
                <w:rFonts w:hint="eastAsia" w:ascii="仿宋_GB2312" w:hAnsi="仿宋_GB2312" w:eastAsia="仿宋_GB2312" w:cs="仿宋_GB2312"/>
              </w:rPr>
            </w:pPr>
            <w:r>
              <w:rPr>
                <w:rFonts w:hint="eastAsia" w:ascii="仿宋_GB2312" w:hAnsi="仿宋_GB2312" w:eastAsia="仿宋_GB2312" w:cs="仿宋_GB2312"/>
              </w:rPr>
              <w:t>一级指标</w:t>
            </w:r>
          </w:p>
        </w:tc>
        <w:tc>
          <w:tcPr>
            <w:tcW w:w="610" w:type="pct"/>
            <w:vAlign w:val="center"/>
          </w:tcPr>
          <w:p>
            <w:pPr>
              <w:pStyle w:val="19"/>
              <w:rPr>
                <w:rFonts w:hint="eastAsia" w:ascii="仿宋_GB2312" w:hAnsi="仿宋_GB2312" w:eastAsia="仿宋_GB2312" w:cs="仿宋_GB2312"/>
              </w:rPr>
            </w:pPr>
            <w:r>
              <w:rPr>
                <w:rFonts w:hint="eastAsia" w:ascii="仿宋_GB2312" w:hAnsi="仿宋_GB2312" w:eastAsia="仿宋_GB2312" w:cs="仿宋_GB2312"/>
              </w:rPr>
              <w:t>二级指标</w:t>
            </w:r>
          </w:p>
        </w:tc>
        <w:tc>
          <w:tcPr>
            <w:tcW w:w="763" w:type="pct"/>
            <w:vAlign w:val="center"/>
          </w:tcPr>
          <w:p>
            <w:pPr>
              <w:pStyle w:val="19"/>
              <w:rPr>
                <w:rFonts w:hint="eastAsia" w:ascii="仿宋_GB2312" w:hAnsi="仿宋_GB2312" w:eastAsia="仿宋_GB2312" w:cs="仿宋_GB2312"/>
              </w:rPr>
            </w:pPr>
            <w:r>
              <w:rPr>
                <w:rFonts w:hint="eastAsia" w:ascii="仿宋_GB2312" w:hAnsi="仿宋_GB2312" w:eastAsia="仿宋_GB2312" w:cs="仿宋_GB2312"/>
              </w:rPr>
              <w:t>三级指标</w:t>
            </w:r>
          </w:p>
        </w:tc>
        <w:tc>
          <w:tcPr>
            <w:tcW w:w="1373" w:type="pct"/>
            <w:vAlign w:val="center"/>
          </w:tcPr>
          <w:p>
            <w:pPr>
              <w:pStyle w:val="19"/>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458" w:type="pct"/>
            <w:vAlign w:val="center"/>
          </w:tcPr>
          <w:p>
            <w:pPr>
              <w:pStyle w:val="19"/>
              <w:rPr>
                <w:rFonts w:hint="eastAsia" w:ascii="仿宋_GB2312" w:hAnsi="仿宋_GB2312" w:eastAsia="仿宋_GB2312" w:cs="仿宋_GB2312"/>
              </w:rPr>
            </w:pPr>
            <w:r>
              <w:rPr>
                <w:rFonts w:hint="eastAsia" w:ascii="仿宋_GB2312" w:hAnsi="仿宋_GB2312" w:eastAsia="仿宋_GB2312" w:cs="仿宋_GB2312"/>
              </w:rPr>
              <w:t>指标值</w:t>
            </w:r>
          </w:p>
        </w:tc>
        <w:tc>
          <w:tcPr>
            <w:tcW w:w="1554" w:type="pct"/>
            <w:vAlign w:val="center"/>
          </w:tcPr>
          <w:p>
            <w:pPr>
              <w:pStyle w:val="19"/>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3" w:type="pct"/>
            <w:vMerge w:val="restart"/>
            <w:vAlign w:val="center"/>
          </w:tcPr>
          <w:p>
            <w:pPr>
              <w:pStyle w:val="21"/>
              <w:rPr>
                <w:rFonts w:hint="eastAsia" w:ascii="仿宋_GB2312" w:hAnsi="仿宋_GB2312" w:eastAsia="仿宋_GB2312" w:cs="仿宋_GB2312"/>
              </w:rPr>
            </w:pPr>
            <w:r>
              <w:rPr>
                <w:rFonts w:hint="eastAsia" w:ascii="仿宋_GB2312" w:hAnsi="仿宋_GB2312" w:eastAsia="仿宋_GB2312" w:cs="仿宋_GB2312"/>
              </w:rPr>
              <w:t>产出指标</w:t>
            </w:r>
          </w:p>
        </w:tc>
        <w:tc>
          <w:tcPr>
            <w:tcW w:w="610"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数量指标</w:t>
            </w:r>
          </w:p>
        </w:tc>
        <w:tc>
          <w:tcPr>
            <w:tcW w:w="763"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送公益流动文化服务进基层完成率</w:t>
            </w:r>
          </w:p>
        </w:tc>
        <w:tc>
          <w:tcPr>
            <w:tcW w:w="1373"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年度内送公益文艺展览、演出的实际场次数占计划场次数比率</w:t>
            </w:r>
          </w:p>
        </w:tc>
        <w:tc>
          <w:tcPr>
            <w:tcW w:w="458"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≥90%</w:t>
            </w:r>
          </w:p>
        </w:tc>
        <w:tc>
          <w:tcPr>
            <w:tcW w:w="1554"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《中央补助地方公共文化服务体系建设专项资金管理暂行办法》的通知（财教【2015】527号）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3" w:type="pct"/>
            <w:vMerge w:val="continue"/>
            <w:vAlign w:val="center"/>
          </w:tcPr>
          <w:p>
            <w:pPr>
              <w:rPr>
                <w:rFonts w:hint="eastAsia" w:ascii="仿宋_GB2312" w:hAnsi="仿宋_GB2312" w:eastAsia="仿宋_GB2312" w:cs="仿宋_GB2312"/>
              </w:rPr>
            </w:pPr>
          </w:p>
        </w:tc>
        <w:tc>
          <w:tcPr>
            <w:tcW w:w="610"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质量指标</w:t>
            </w:r>
          </w:p>
        </w:tc>
        <w:tc>
          <w:tcPr>
            <w:tcW w:w="763"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文化设施达标率</w:t>
            </w:r>
          </w:p>
        </w:tc>
        <w:tc>
          <w:tcPr>
            <w:tcW w:w="1373"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实际文化设施达标数量占文化设施总数的比率</w:t>
            </w:r>
          </w:p>
        </w:tc>
        <w:tc>
          <w:tcPr>
            <w:tcW w:w="458"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≥90%</w:t>
            </w:r>
          </w:p>
        </w:tc>
        <w:tc>
          <w:tcPr>
            <w:tcW w:w="1554"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《中央补助地方公共文化服务体系建设专项资金管理暂行办法》的通知（财教【2015】527号）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3" w:type="pct"/>
            <w:vMerge w:val="continue"/>
            <w:vAlign w:val="center"/>
          </w:tcPr>
          <w:p>
            <w:pPr>
              <w:rPr>
                <w:rFonts w:hint="eastAsia" w:ascii="仿宋_GB2312" w:hAnsi="仿宋_GB2312" w:eastAsia="仿宋_GB2312" w:cs="仿宋_GB2312"/>
              </w:rPr>
            </w:pPr>
          </w:p>
        </w:tc>
        <w:tc>
          <w:tcPr>
            <w:tcW w:w="610"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时效指标</w:t>
            </w:r>
          </w:p>
        </w:tc>
        <w:tc>
          <w:tcPr>
            <w:tcW w:w="763"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年度内提供文化服务完成率</w:t>
            </w:r>
          </w:p>
        </w:tc>
        <w:tc>
          <w:tcPr>
            <w:tcW w:w="1373"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年度内提供文化服务完成数量占总计划数量的比率</w:t>
            </w:r>
          </w:p>
        </w:tc>
        <w:tc>
          <w:tcPr>
            <w:tcW w:w="458"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≥90%</w:t>
            </w:r>
          </w:p>
        </w:tc>
        <w:tc>
          <w:tcPr>
            <w:tcW w:w="1554"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《中央补助地方公共文化服务体系建设专项资金管理暂行办法》的通知（财教【2015】527号）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3" w:type="pct"/>
            <w:vMerge w:val="continue"/>
            <w:vAlign w:val="center"/>
          </w:tcPr>
          <w:p>
            <w:pPr>
              <w:rPr>
                <w:rFonts w:hint="eastAsia" w:ascii="仿宋_GB2312" w:hAnsi="仿宋_GB2312" w:eastAsia="仿宋_GB2312" w:cs="仿宋_GB2312"/>
              </w:rPr>
            </w:pPr>
          </w:p>
        </w:tc>
        <w:tc>
          <w:tcPr>
            <w:tcW w:w="610"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成本指标</w:t>
            </w:r>
          </w:p>
        </w:tc>
        <w:tc>
          <w:tcPr>
            <w:tcW w:w="763"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成本控制</w:t>
            </w:r>
          </w:p>
        </w:tc>
        <w:tc>
          <w:tcPr>
            <w:tcW w:w="1373"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成本控制情况</w:t>
            </w:r>
          </w:p>
        </w:tc>
        <w:tc>
          <w:tcPr>
            <w:tcW w:w="458"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≤1.48万元</w:t>
            </w:r>
          </w:p>
        </w:tc>
        <w:tc>
          <w:tcPr>
            <w:tcW w:w="1554"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《中央补助地方公共文化服务体系建设专项资金管理暂行办法》的通知（财教【2015】527号）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3" w:type="pct"/>
            <w:vAlign w:val="center"/>
          </w:tcPr>
          <w:p>
            <w:pPr>
              <w:pStyle w:val="21"/>
              <w:rPr>
                <w:rFonts w:hint="eastAsia" w:ascii="仿宋_GB2312" w:hAnsi="仿宋_GB2312" w:eastAsia="仿宋_GB2312" w:cs="仿宋_GB2312"/>
              </w:rPr>
            </w:pPr>
            <w:r>
              <w:rPr>
                <w:rFonts w:hint="eastAsia" w:ascii="仿宋_GB2312" w:hAnsi="仿宋_GB2312" w:eastAsia="仿宋_GB2312" w:cs="仿宋_GB2312"/>
              </w:rPr>
              <w:t>效益指标</w:t>
            </w:r>
          </w:p>
        </w:tc>
        <w:tc>
          <w:tcPr>
            <w:tcW w:w="610"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763"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基本公共文化水平</w:t>
            </w:r>
          </w:p>
        </w:tc>
        <w:tc>
          <w:tcPr>
            <w:tcW w:w="1373"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基本公共文化水平提高率</w:t>
            </w:r>
          </w:p>
        </w:tc>
        <w:tc>
          <w:tcPr>
            <w:tcW w:w="458"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≥90%</w:t>
            </w:r>
          </w:p>
        </w:tc>
        <w:tc>
          <w:tcPr>
            <w:tcW w:w="1554"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《中央补助地方公共文化服务体系建设专项资金管理暂行办法》的通知（财教【2015】527号）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3" w:type="pct"/>
            <w:vAlign w:val="center"/>
          </w:tcPr>
          <w:p>
            <w:pPr>
              <w:pStyle w:val="21"/>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610"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763"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系列文化活动参</w:t>
            </w:r>
          </w:p>
          <w:p>
            <w:pPr>
              <w:pStyle w:val="20"/>
              <w:rPr>
                <w:rFonts w:hint="eastAsia" w:ascii="仿宋_GB2312" w:hAnsi="仿宋_GB2312" w:eastAsia="仿宋_GB2312" w:cs="仿宋_GB2312"/>
              </w:rPr>
            </w:pPr>
            <w:r>
              <w:rPr>
                <w:rFonts w:hint="eastAsia" w:ascii="仿宋_GB2312" w:hAnsi="仿宋_GB2312" w:eastAsia="仿宋_GB2312" w:cs="仿宋_GB2312"/>
              </w:rPr>
              <w:t>与者满意度</w:t>
            </w:r>
          </w:p>
        </w:tc>
        <w:tc>
          <w:tcPr>
            <w:tcW w:w="1373"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系列文化活动参与者满意人数占参与人数的比率</w:t>
            </w:r>
          </w:p>
        </w:tc>
        <w:tc>
          <w:tcPr>
            <w:tcW w:w="458"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≥90%</w:t>
            </w:r>
          </w:p>
        </w:tc>
        <w:tc>
          <w:tcPr>
            <w:tcW w:w="1554"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《中央补助地方公共文化服务体系建设专项资金管理暂行办法》的通知（财教【2015】527号）</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docGrid w:linePitch="312" w:charSpace="0"/>
        </w:sectPr>
      </w:pPr>
    </w:p>
    <w:p>
      <w:pPr>
        <w:jc w:val="center"/>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ind w:firstLine="560"/>
        <w:jc w:val="left"/>
        <w:outlineLvl w:val="3"/>
        <w:rPr>
          <w:rFonts w:hint="eastAsia" w:ascii="仿宋_GB2312" w:hAnsi="仿宋_GB2312" w:eastAsia="仿宋_GB2312" w:cs="仿宋_GB2312"/>
        </w:rPr>
      </w:pPr>
      <w:bookmarkStart w:id="6" w:name="_Toc_4_4_0000000010"/>
      <w:r>
        <w:rPr>
          <w:rFonts w:hint="eastAsia" w:ascii="仿宋_GB2312" w:hAnsi="仿宋_GB2312" w:eastAsia="仿宋_GB2312" w:cs="仿宋_GB2312"/>
          <w:color w:val="000000"/>
          <w:sz w:val="28"/>
        </w:rPr>
        <w:t>7.2021年公共文化服务体系建设(农村文化建设）中央补助资金绩效目标表</w:t>
      </w:r>
      <w:bookmarkEnd w:id="6"/>
    </w:p>
    <w:tbl>
      <w:tblPr>
        <w:tblStyle w:val="11"/>
        <w:tblW w:w="5000"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8"/>
        <w:gridCol w:w="12140"/>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Align w:val="center"/>
          </w:tcPr>
          <w:p>
            <w:pPr>
              <w:pStyle w:val="19"/>
              <w:rPr>
                <w:rFonts w:hint="eastAsia" w:ascii="仿宋_GB2312" w:hAnsi="仿宋_GB2312" w:eastAsia="仿宋_GB2312" w:cs="仿宋_GB2312"/>
              </w:rPr>
            </w:pPr>
            <w:r>
              <w:rPr>
                <w:rFonts w:hint="eastAsia" w:ascii="仿宋_GB2312" w:hAnsi="仿宋_GB2312" w:eastAsia="仿宋_GB2312" w:cs="仿宋_GB2312"/>
              </w:rPr>
              <w:t>绩效目标</w:t>
            </w:r>
          </w:p>
        </w:tc>
        <w:tc>
          <w:tcPr>
            <w:tcW w:w="4355"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1.丰富人民群众精神文化生活，加快构建现代公共文化服务体系建设.</w:t>
            </w:r>
            <w:r>
              <w:rPr>
                <w:rFonts w:hint="eastAsia" w:ascii="仿宋_GB2312" w:hAnsi="仿宋_GB2312" w:eastAsia="仿宋_GB2312" w:cs="仿宋_GB2312"/>
              </w:rPr>
              <w:tab/>
            </w:r>
            <w:r>
              <w:rPr>
                <w:rFonts w:hint="eastAsia" w:ascii="仿宋_GB2312" w:hAnsi="仿宋_GB2312" w:eastAsia="仿宋_GB2312" w:cs="仿宋_GB2312"/>
              </w:rPr>
              <w:tab/>
            </w:r>
          </w:p>
          <w:p>
            <w:pPr>
              <w:pStyle w:val="20"/>
              <w:rPr>
                <w:rFonts w:hint="eastAsia" w:ascii="仿宋_GB2312" w:hAnsi="仿宋_GB2312" w:eastAsia="仿宋_GB2312" w:cs="仿宋_GB2312"/>
              </w:rPr>
            </w:pPr>
            <w:r>
              <w:rPr>
                <w:rFonts w:hint="eastAsia" w:ascii="仿宋_GB2312" w:hAnsi="仿宋_GB2312" w:eastAsia="仿宋_GB2312" w:cs="仿宋_GB2312"/>
              </w:rPr>
              <w:t>2.推进公共文化服务水平的提高.</w:t>
            </w:r>
            <w:r>
              <w:rPr>
                <w:rFonts w:hint="eastAsia" w:ascii="仿宋_GB2312" w:hAnsi="仿宋_GB2312" w:eastAsia="仿宋_GB2312" w:cs="仿宋_GB2312"/>
              </w:rPr>
              <w:tab/>
            </w:r>
          </w:p>
          <w:p>
            <w:pPr>
              <w:pStyle w:val="20"/>
              <w:rPr>
                <w:rFonts w:hint="eastAsia" w:ascii="仿宋_GB2312" w:hAnsi="仿宋_GB2312" w:eastAsia="仿宋_GB2312" w:cs="仿宋_GB2312"/>
              </w:rPr>
            </w:pPr>
            <w:r>
              <w:rPr>
                <w:rFonts w:hint="eastAsia" w:ascii="仿宋_GB2312" w:hAnsi="仿宋_GB2312" w:eastAsia="仿宋_GB2312" w:cs="仿宋_GB2312"/>
              </w:rPr>
              <w:t>3.推进公共文化服务体系标准化、均等化发展.</w:t>
            </w:r>
          </w:p>
        </w:tc>
      </w:tr>
    </w:tbl>
    <w:p>
      <w:pPr>
        <w:spacing w:line="2" w:lineRule="exact"/>
        <w:jc w:val="center"/>
        <w:rPr>
          <w:rFonts w:hint="eastAsia" w:ascii="仿宋_GB2312" w:hAnsi="仿宋_GB2312" w:eastAsia="仿宋_GB2312" w:cs="仿宋_GB2312"/>
        </w:rPr>
      </w:pPr>
      <w:r>
        <w:rPr>
          <w:rFonts w:hint="eastAsia" w:ascii="仿宋_GB2312" w:hAnsi="仿宋_GB2312" w:eastAsia="仿宋_GB2312" w:cs="仿宋_GB2312"/>
          <w:color w:val="000000"/>
        </w:rPr>
        <w:t xml:space="preserve"> </w:t>
      </w:r>
    </w:p>
    <w:tbl>
      <w:tblPr>
        <w:tblStyle w:val="11"/>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7"/>
        <w:gridCol w:w="1798"/>
        <w:gridCol w:w="1876"/>
        <w:gridCol w:w="3708"/>
        <w:gridCol w:w="1135"/>
        <w:gridCol w:w="36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45" w:type="pct"/>
            <w:vAlign w:val="center"/>
          </w:tcPr>
          <w:p>
            <w:pPr>
              <w:pStyle w:val="19"/>
              <w:rPr>
                <w:rFonts w:hint="eastAsia" w:ascii="仿宋_GB2312" w:hAnsi="仿宋_GB2312" w:eastAsia="仿宋_GB2312" w:cs="仿宋_GB2312"/>
              </w:rPr>
            </w:pPr>
            <w:r>
              <w:rPr>
                <w:rFonts w:hint="eastAsia" w:ascii="仿宋_GB2312" w:hAnsi="仿宋_GB2312" w:eastAsia="仿宋_GB2312" w:cs="仿宋_GB2312"/>
              </w:rPr>
              <w:t>一级指标</w:t>
            </w:r>
          </w:p>
        </w:tc>
        <w:tc>
          <w:tcPr>
            <w:tcW w:w="645" w:type="pct"/>
            <w:vAlign w:val="center"/>
          </w:tcPr>
          <w:p>
            <w:pPr>
              <w:pStyle w:val="19"/>
              <w:rPr>
                <w:rFonts w:hint="eastAsia" w:ascii="仿宋_GB2312" w:hAnsi="仿宋_GB2312" w:eastAsia="仿宋_GB2312" w:cs="仿宋_GB2312"/>
              </w:rPr>
            </w:pPr>
            <w:r>
              <w:rPr>
                <w:rFonts w:hint="eastAsia" w:ascii="仿宋_GB2312" w:hAnsi="仿宋_GB2312" w:eastAsia="仿宋_GB2312" w:cs="仿宋_GB2312"/>
              </w:rPr>
              <w:t>二级指标</w:t>
            </w:r>
          </w:p>
        </w:tc>
        <w:tc>
          <w:tcPr>
            <w:tcW w:w="673" w:type="pct"/>
            <w:vAlign w:val="center"/>
          </w:tcPr>
          <w:p>
            <w:pPr>
              <w:pStyle w:val="19"/>
              <w:rPr>
                <w:rFonts w:hint="eastAsia" w:ascii="仿宋_GB2312" w:hAnsi="仿宋_GB2312" w:eastAsia="仿宋_GB2312" w:cs="仿宋_GB2312"/>
              </w:rPr>
            </w:pPr>
            <w:r>
              <w:rPr>
                <w:rFonts w:hint="eastAsia" w:ascii="仿宋_GB2312" w:hAnsi="仿宋_GB2312" w:eastAsia="仿宋_GB2312" w:cs="仿宋_GB2312"/>
              </w:rPr>
              <w:t>三级指标</w:t>
            </w:r>
          </w:p>
        </w:tc>
        <w:tc>
          <w:tcPr>
            <w:tcW w:w="1330" w:type="pct"/>
            <w:vAlign w:val="center"/>
          </w:tcPr>
          <w:p>
            <w:pPr>
              <w:pStyle w:val="19"/>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407" w:type="pct"/>
            <w:vAlign w:val="center"/>
          </w:tcPr>
          <w:p>
            <w:pPr>
              <w:pStyle w:val="19"/>
              <w:rPr>
                <w:rFonts w:hint="eastAsia" w:ascii="仿宋_GB2312" w:hAnsi="仿宋_GB2312" w:eastAsia="仿宋_GB2312" w:cs="仿宋_GB2312"/>
              </w:rPr>
            </w:pPr>
            <w:r>
              <w:rPr>
                <w:rFonts w:hint="eastAsia" w:ascii="仿宋_GB2312" w:hAnsi="仿宋_GB2312" w:eastAsia="仿宋_GB2312" w:cs="仿宋_GB2312"/>
              </w:rPr>
              <w:t>指标值</w:t>
            </w:r>
          </w:p>
        </w:tc>
        <w:tc>
          <w:tcPr>
            <w:tcW w:w="1300" w:type="pct"/>
            <w:vAlign w:val="center"/>
          </w:tcPr>
          <w:p>
            <w:pPr>
              <w:pStyle w:val="19"/>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restart"/>
            <w:vAlign w:val="center"/>
          </w:tcPr>
          <w:p>
            <w:pPr>
              <w:pStyle w:val="21"/>
              <w:rPr>
                <w:rFonts w:hint="eastAsia" w:ascii="仿宋_GB2312" w:hAnsi="仿宋_GB2312" w:eastAsia="仿宋_GB2312" w:cs="仿宋_GB2312"/>
              </w:rPr>
            </w:pPr>
            <w:r>
              <w:rPr>
                <w:rFonts w:hint="eastAsia" w:ascii="仿宋_GB2312" w:hAnsi="仿宋_GB2312" w:eastAsia="仿宋_GB2312" w:cs="仿宋_GB2312"/>
              </w:rPr>
              <w:t>产出指标</w:t>
            </w:r>
          </w:p>
        </w:tc>
        <w:tc>
          <w:tcPr>
            <w:tcW w:w="645"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数量指标</w:t>
            </w:r>
          </w:p>
        </w:tc>
        <w:tc>
          <w:tcPr>
            <w:tcW w:w="673"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送公益流动文化服务进基层完成率</w:t>
            </w:r>
          </w:p>
        </w:tc>
        <w:tc>
          <w:tcPr>
            <w:tcW w:w="1330"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年度内送公益文艺展览、演出的实际场次数占计划场次数比率</w:t>
            </w:r>
          </w:p>
        </w:tc>
        <w:tc>
          <w:tcPr>
            <w:tcW w:w="407"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≥90%</w:t>
            </w:r>
          </w:p>
        </w:tc>
        <w:tc>
          <w:tcPr>
            <w:tcW w:w="1300" w:type="pct"/>
            <w:vAlign w:val="center"/>
          </w:tcPr>
          <w:p>
            <w:pPr>
              <w:pStyle w:val="2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《中央补助地方公共文化服务体系建设专项资金管理暂行办法》的通知（财教【2015】527号）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vAlign w:val="center"/>
          </w:tcPr>
          <w:p>
            <w:pPr>
              <w:rPr>
                <w:rFonts w:hint="eastAsia" w:ascii="仿宋_GB2312" w:hAnsi="仿宋_GB2312" w:eastAsia="仿宋_GB2312" w:cs="仿宋_GB2312"/>
              </w:rPr>
            </w:pPr>
          </w:p>
        </w:tc>
        <w:tc>
          <w:tcPr>
            <w:tcW w:w="645"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质量指标</w:t>
            </w:r>
          </w:p>
        </w:tc>
        <w:tc>
          <w:tcPr>
            <w:tcW w:w="673"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文化设施达标率</w:t>
            </w:r>
          </w:p>
        </w:tc>
        <w:tc>
          <w:tcPr>
            <w:tcW w:w="1330"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实际文化设施达标数量占文化设施总数的比率</w:t>
            </w:r>
          </w:p>
        </w:tc>
        <w:tc>
          <w:tcPr>
            <w:tcW w:w="407"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≥90%</w:t>
            </w:r>
          </w:p>
        </w:tc>
        <w:tc>
          <w:tcPr>
            <w:tcW w:w="1300" w:type="pct"/>
            <w:vAlign w:val="center"/>
          </w:tcPr>
          <w:p>
            <w:pPr>
              <w:pStyle w:val="2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《中央补助地方公共文化服务体系建设专项资金管理暂行办法》的通知（财教【2015】527号）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vAlign w:val="center"/>
          </w:tcPr>
          <w:p>
            <w:pPr>
              <w:rPr>
                <w:rFonts w:hint="eastAsia" w:ascii="仿宋_GB2312" w:hAnsi="仿宋_GB2312" w:eastAsia="仿宋_GB2312" w:cs="仿宋_GB2312"/>
              </w:rPr>
            </w:pPr>
          </w:p>
        </w:tc>
        <w:tc>
          <w:tcPr>
            <w:tcW w:w="645"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时效指标</w:t>
            </w:r>
          </w:p>
        </w:tc>
        <w:tc>
          <w:tcPr>
            <w:tcW w:w="673"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年度内提供文化服务完成率</w:t>
            </w:r>
          </w:p>
        </w:tc>
        <w:tc>
          <w:tcPr>
            <w:tcW w:w="1330"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年度内提供文化服务完成数量占总计划数量的比率</w:t>
            </w:r>
          </w:p>
        </w:tc>
        <w:tc>
          <w:tcPr>
            <w:tcW w:w="407"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≥90%</w:t>
            </w:r>
          </w:p>
        </w:tc>
        <w:tc>
          <w:tcPr>
            <w:tcW w:w="1300" w:type="pct"/>
            <w:vAlign w:val="center"/>
          </w:tcPr>
          <w:p>
            <w:pPr>
              <w:pStyle w:val="2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《中央补助地方公共文化服务体系建设专项资金管理暂行办法》的通知（财教【2015】527号）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vAlign w:val="center"/>
          </w:tcPr>
          <w:p>
            <w:pPr>
              <w:rPr>
                <w:rFonts w:hint="eastAsia" w:ascii="仿宋_GB2312" w:hAnsi="仿宋_GB2312" w:eastAsia="仿宋_GB2312" w:cs="仿宋_GB2312"/>
              </w:rPr>
            </w:pPr>
          </w:p>
        </w:tc>
        <w:tc>
          <w:tcPr>
            <w:tcW w:w="645"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成本指标</w:t>
            </w:r>
          </w:p>
        </w:tc>
        <w:tc>
          <w:tcPr>
            <w:tcW w:w="673"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成本控制</w:t>
            </w:r>
          </w:p>
        </w:tc>
        <w:tc>
          <w:tcPr>
            <w:tcW w:w="1330"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成本控制情况</w:t>
            </w:r>
          </w:p>
        </w:tc>
        <w:tc>
          <w:tcPr>
            <w:tcW w:w="407"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≤5.9万元</w:t>
            </w:r>
          </w:p>
        </w:tc>
        <w:tc>
          <w:tcPr>
            <w:tcW w:w="1300" w:type="pct"/>
            <w:vAlign w:val="center"/>
          </w:tcPr>
          <w:p>
            <w:pPr>
              <w:pStyle w:val="2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《中央补助地方公共文化服务体系建设专项资金管理暂行办法》的通知（财教【2015】527号）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Align w:val="center"/>
          </w:tcPr>
          <w:p>
            <w:pPr>
              <w:pStyle w:val="21"/>
              <w:rPr>
                <w:rFonts w:hint="eastAsia" w:ascii="仿宋_GB2312" w:hAnsi="仿宋_GB2312" w:eastAsia="仿宋_GB2312" w:cs="仿宋_GB2312"/>
              </w:rPr>
            </w:pPr>
            <w:r>
              <w:rPr>
                <w:rFonts w:hint="eastAsia" w:ascii="仿宋_GB2312" w:hAnsi="仿宋_GB2312" w:eastAsia="仿宋_GB2312" w:cs="仿宋_GB2312"/>
              </w:rPr>
              <w:t>效益指标</w:t>
            </w:r>
          </w:p>
        </w:tc>
        <w:tc>
          <w:tcPr>
            <w:tcW w:w="645"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673"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基本公共文化水平</w:t>
            </w:r>
          </w:p>
        </w:tc>
        <w:tc>
          <w:tcPr>
            <w:tcW w:w="1330"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基本公共文化水平提高率</w:t>
            </w:r>
          </w:p>
        </w:tc>
        <w:tc>
          <w:tcPr>
            <w:tcW w:w="407"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≥90%</w:t>
            </w:r>
          </w:p>
        </w:tc>
        <w:tc>
          <w:tcPr>
            <w:tcW w:w="1300"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《中央补助地方公共文化服务体系建设专项资金管理暂行办法》的通知（财教【2015】527号）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Align w:val="center"/>
          </w:tcPr>
          <w:p>
            <w:pPr>
              <w:pStyle w:val="21"/>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645"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673"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系列文化活动参</w:t>
            </w:r>
          </w:p>
          <w:p>
            <w:pPr>
              <w:pStyle w:val="20"/>
              <w:rPr>
                <w:rFonts w:hint="eastAsia" w:ascii="仿宋_GB2312" w:hAnsi="仿宋_GB2312" w:eastAsia="仿宋_GB2312" w:cs="仿宋_GB2312"/>
              </w:rPr>
            </w:pPr>
            <w:r>
              <w:rPr>
                <w:rFonts w:hint="eastAsia" w:ascii="仿宋_GB2312" w:hAnsi="仿宋_GB2312" w:eastAsia="仿宋_GB2312" w:cs="仿宋_GB2312"/>
              </w:rPr>
              <w:t>与者满意度</w:t>
            </w:r>
          </w:p>
        </w:tc>
        <w:tc>
          <w:tcPr>
            <w:tcW w:w="1330"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系列文化活动参与者满意人数占参与人数的比率</w:t>
            </w:r>
          </w:p>
        </w:tc>
        <w:tc>
          <w:tcPr>
            <w:tcW w:w="407"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≥90%</w:t>
            </w:r>
          </w:p>
        </w:tc>
        <w:tc>
          <w:tcPr>
            <w:tcW w:w="1300"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《中央补助地方公共文化服务体系建设专项资金管理暂行办法》的通知（财教【2015】527号）</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docGrid w:linePitch="312" w:charSpace="0"/>
        </w:sectPr>
      </w:pPr>
    </w:p>
    <w:p>
      <w:pPr>
        <w:jc w:val="center"/>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ind w:firstLine="560"/>
        <w:jc w:val="left"/>
        <w:outlineLvl w:val="3"/>
        <w:rPr>
          <w:rFonts w:hint="eastAsia" w:ascii="仿宋_GB2312" w:hAnsi="仿宋_GB2312" w:eastAsia="仿宋_GB2312" w:cs="仿宋_GB2312"/>
        </w:rPr>
      </w:pPr>
      <w:bookmarkStart w:id="7" w:name="_Toc_4_4_0000000011"/>
      <w:r>
        <w:rPr>
          <w:rFonts w:hint="eastAsia" w:ascii="仿宋_GB2312" w:hAnsi="仿宋_GB2312" w:eastAsia="仿宋_GB2312" w:cs="仿宋_GB2312"/>
          <w:color w:val="000000"/>
          <w:sz w:val="28"/>
        </w:rPr>
        <w:t>8.党史学习教育专项经费绩效目标表</w:t>
      </w:r>
      <w:bookmarkEnd w:id="7"/>
    </w:p>
    <w:tbl>
      <w:tblPr>
        <w:tblStyle w:val="11"/>
        <w:tblW w:w="5000"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8"/>
        <w:gridCol w:w="12140"/>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Align w:val="center"/>
          </w:tcPr>
          <w:p>
            <w:pPr>
              <w:pStyle w:val="19"/>
              <w:rPr>
                <w:rFonts w:hint="eastAsia" w:ascii="仿宋_GB2312" w:hAnsi="仿宋_GB2312" w:eastAsia="仿宋_GB2312" w:cs="仿宋_GB2312"/>
              </w:rPr>
            </w:pPr>
            <w:r>
              <w:rPr>
                <w:rFonts w:hint="eastAsia" w:ascii="仿宋_GB2312" w:hAnsi="仿宋_GB2312" w:eastAsia="仿宋_GB2312" w:cs="仿宋_GB2312"/>
              </w:rPr>
              <w:t>绩效目标</w:t>
            </w:r>
          </w:p>
        </w:tc>
        <w:tc>
          <w:tcPr>
            <w:tcW w:w="4355"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1.进一步学懂弄通做实习近平新时代中国特色社会主义思想，学习传承中国共产党在长期奋斗中铸就的伟大精神，深刻领会中国共产党成功推进革命、建设、改革的宝贵经验，做到学史明理、学史增信、学史崇德、学史力行，引导广大党员干部增强“四个意识”、坚定“四个自信”、做到“两个维护”，不断提高政治判断力、政治领悟力、政治执行力。</w:t>
            </w:r>
          </w:p>
        </w:tc>
      </w:tr>
    </w:tbl>
    <w:p>
      <w:pPr>
        <w:spacing w:line="2" w:lineRule="exact"/>
        <w:jc w:val="center"/>
        <w:rPr>
          <w:rFonts w:hint="eastAsia" w:ascii="仿宋_GB2312" w:hAnsi="仿宋_GB2312" w:eastAsia="仿宋_GB2312" w:cs="仿宋_GB2312"/>
        </w:rPr>
      </w:pPr>
      <w:r>
        <w:rPr>
          <w:rFonts w:hint="eastAsia" w:ascii="仿宋_GB2312" w:hAnsi="仿宋_GB2312" w:eastAsia="仿宋_GB2312" w:cs="仿宋_GB2312"/>
          <w:color w:val="000000"/>
        </w:rPr>
        <w:t xml:space="preserve"> </w:t>
      </w:r>
    </w:p>
    <w:tbl>
      <w:tblPr>
        <w:tblStyle w:val="11"/>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8"/>
        <w:gridCol w:w="1798"/>
        <w:gridCol w:w="1876"/>
        <w:gridCol w:w="4073"/>
        <w:gridCol w:w="769"/>
        <w:gridCol w:w="36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45" w:type="pct"/>
            <w:vAlign w:val="center"/>
          </w:tcPr>
          <w:p>
            <w:pPr>
              <w:pStyle w:val="19"/>
              <w:rPr>
                <w:rFonts w:hint="eastAsia" w:ascii="仿宋_GB2312" w:hAnsi="仿宋_GB2312" w:eastAsia="仿宋_GB2312" w:cs="仿宋_GB2312"/>
              </w:rPr>
            </w:pPr>
            <w:r>
              <w:rPr>
                <w:rFonts w:hint="eastAsia" w:ascii="仿宋_GB2312" w:hAnsi="仿宋_GB2312" w:eastAsia="仿宋_GB2312" w:cs="仿宋_GB2312"/>
              </w:rPr>
              <w:t>一级指标</w:t>
            </w:r>
          </w:p>
        </w:tc>
        <w:tc>
          <w:tcPr>
            <w:tcW w:w="645" w:type="pct"/>
            <w:vAlign w:val="center"/>
          </w:tcPr>
          <w:p>
            <w:pPr>
              <w:pStyle w:val="19"/>
              <w:rPr>
                <w:rFonts w:hint="eastAsia" w:ascii="仿宋_GB2312" w:hAnsi="仿宋_GB2312" w:eastAsia="仿宋_GB2312" w:cs="仿宋_GB2312"/>
              </w:rPr>
            </w:pPr>
            <w:r>
              <w:rPr>
                <w:rFonts w:hint="eastAsia" w:ascii="仿宋_GB2312" w:hAnsi="仿宋_GB2312" w:eastAsia="仿宋_GB2312" w:cs="仿宋_GB2312"/>
              </w:rPr>
              <w:t>二级指标</w:t>
            </w:r>
          </w:p>
        </w:tc>
        <w:tc>
          <w:tcPr>
            <w:tcW w:w="673" w:type="pct"/>
            <w:vAlign w:val="center"/>
          </w:tcPr>
          <w:p>
            <w:pPr>
              <w:pStyle w:val="19"/>
              <w:rPr>
                <w:rFonts w:hint="eastAsia" w:ascii="仿宋_GB2312" w:hAnsi="仿宋_GB2312" w:eastAsia="仿宋_GB2312" w:cs="仿宋_GB2312"/>
              </w:rPr>
            </w:pPr>
            <w:r>
              <w:rPr>
                <w:rFonts w:hint="eastAsia" w:ascii="仿宋_GB2312" w:hAnsi="仿宋_GB2312" w:eastAsia="仿宋_GB2312" w:cs="仿宋_GB2312"/>
              </w:rPr>
              <w:t>三级指标</w:t>
            </w:r>
          </w:p>
        </w:tc>
        <w:tc>
          <w:tcPr>
            <w:tcW w:w="1461" w:type="pct"/>
            <w:vAlign w:val="center"/>
          </w:tcPr>
          <w:p>
            <w:pPr>
              <w:pStyle w:val="19"/>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276" w:type="pct"/>
            <w:vAlign w:val="center"/>
          </w:tcPr>
          <w:p>
            <w:pPr>
              <w:pStyle w:val="19"/>
              <w:rPr>
                <w:rFonts w:hint="eastAsia" w:ascii="仿宋_GB2312" w:hAnsi="仿宋_GB2312" w:eastAsia="仿宋_GB2312" w:cs="仿宋_GB2312"/>
              </w:rPr>
            </w:pPr>
            <w:r>
              <w:rPr>
                <w:rFonts w:hint="eastAsia" w:ascii="仿宋_GB2312" w:hAnsi="仿宋_GB2312" w:eastAsia="仿宋_GB2312" w:cs="仿宋_GB2312"/>
              </w:rPr>
              <w:t>指标值</w:t>
            </w:r>
          </w:p>
        </w:tc>
        <w:tc>
          <w:tcPr>
            <w:tcW w:w="1300" w:type="pct"/>
            <w:vAlign w:val="center"/>
          </w:tcPr>
          <w:p>
            <w:pPr>
              <w:pStyle w:val="19"/>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restart"/>
            <w:vAlign w:val="center"/>
          </w:tcPr>
          <w:p>
            <w:pPr>
              <w:pStyle w:val="21"/>
              <w:rPr>
                <w:rFonts w:hint="eastAsia" w:ascii="仿宋_GB2312" w:hAnsi="仿宋_GB2312" w:eastAsia="仿宋_GB2312" w:cs="仿宋_GB2312"/>
              </w:rPr>
            </w:pPr>
            <w:r>
              <w:rPr>
                <w:rFonts w:hint="eastAsia" w:ascii="仿宋_GB2312" w:hAnsi="仿宋_GB2312" w:eastAsia="仿宋_GB2312" w:cs="仿宋_GB2312"/>
              </w:rPr>
              <w:t>产出指标</w:t>
            </w:r>
          </w:p>
        </w:tc>
        <w:tc>
          <w:tcPr>
            <w:tcW w:w="645"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数量指标</w:t>
            </w:r>
          </w:p>
        </w:tc>
        <w:tc>
          <w:tcPr>
            <w:tcW w:w="673"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理论学习</w:t>
            </w:r>
          </w:p>
          <w:p>
            <w:pPr>
              <w:pStyle w:val="20"/>
              <w:rPr>
                <w:rFonts w:hint="eastAsia" w:ascii="仿宋_GB2312" w:hAnsi="仿宋_GB2312" w:eastAsia="仿宋_GB2312" w:cs="仿宋_GB2312"/>
              </w:rPr>
            </w:pPr>
            <w:r>
              <w:rPr>
                <w:rFonts w:hint="eastAsia" w:ascii="仿宋_GB2312" w:hAnsi="仿宋_GB2312" w:eastAsia="仿宋_GB2312" w:cs="仿宋_GB2312"/>
              </w:rPr>
              <w:t>开展次数</w:t>
            </w:r>
          </w:p>
          <w:p>
            <w:pPr>
              <w:pStyle w:val="20"/>
              <w:rPr>
                <w:rFonts w:hint="eastAsia" w:ascii="仿宋_GB2312" w:hAnsi="仿宋_GB2312" w:eastAsia="仿宋_GB2312" w:cs="仿宋_GB2312"/>
              </w:rPr>
            </w:pPr>
          </w:p>
        </w:tc>
        <w:tc>
          <w:tcPr>
            <w:tcW w:w="1461"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理论学习</w:t>
            </w:r>
          </w:p>
          <w:p>
            <w:pPr>
              <w:pStyle w:val="20"/>
              <w:rPr>
                <w:rFonts w:hint="eastAsia" w:ascii="仿宋_GB2312" w:hAnsi="仿宋_GB2312" w:eastAsia="仿宋_GB2312" w:cs="仿宋_GB2312"/>
              </w:rPr>
            </w:pPr>
            <w:r>
              <w:rPr>
                <w:rFonts w:hint="eastAsia" w:ascii="仿宋_GB2312" w:hAnsi="仿宋_GB2312" w:eastAsia="仿宋_GB2312" w:cs="仿宋_GB2312"/>
              </w:rPr>
              <w:t>开展次数</w:t>
            </w:r>
          </w:p>
          <w:p>
            <w:pPr>
              <w:pStyle w:val="20"/>
              <w:rPr>
                <w:rFonts w:hint="eastAsia" w:ascii="仿宋_GB2312" w:hAnsi="仿宋_GB2312" w:eastAsia="仿宋_GB2312" w:cs="仿宋_GB2312"/>
              </w:rPr>
            </w:pPr>
          </w:p>
        </w:tc>
        <w:tc>
          <w:tcPr>
            <w:tcW w:w="276"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≥12次</w:t>
            </w:r>
          </w:p>
        </w:tc>
        <w:tc>
          <w:tcPr>
            <w:tcW w:w="1300"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关于全区党史学习教育专项办公经费的请示（廊广宣请字〔2021〕12号）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vAlign w:val="center"/>
          </w:tcPr>
          <w:p>
            <w:pPr>
              <w:rPr>
                <w:rFonts w:hint="eastAsia" w:ascii="仿宋_GB2312" w:hAnsi="仿宋_GB2312" w:eastAsia="仿宋_GB2312" w:cs="仿宋_GB2312"/>
              </w:rPr>
            </w:pPr>
          </w:p>
        </w:tc>
        <w:tc>
          <w:tcPr>
            <w:tcW w:w="645"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质量指标</w:t>
            </w:r>
          </w:p>
        </w:tc>
        <w:tc>
          <w:tcPr>
            <w:tcW w:w="673"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工作计划按期完成率</w:t>
            </w:r>
          </w:p>
        </w:tc>
        <w:tc>
          <w:tcPr>
            <w:tcW w:w="1461"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培训计划按期完成情况</w:t>
            </w:r>
          </w:p>
        </w:tc>
        <w:tc>
          <w:tcPr>
            <w:tcW w:w="276"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100%</w:t>
            </w:r>
          </w:p>
        </w:tc>
        <w:tc>
          <w:tcPr>
            <w:tcW w:w="1300"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关于全区党史学习教育专项办公经费的请示（廊广宣请字〔2021〕12号）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vAlign w:val="center"/>
          </w:tcPr>
          <w:p>
            <w:pPr>
              <w:rPr>
                <w:rFonts w:hint="eastAsia" w:ascii="仿宋_GB2312" w:hAnsi="仿宋_GB2312" w:eastAsia="仿宋_GB2312" w:cs="仿宋_GB2312"/>
              </w:rPr>
            </w:pPr>
          </w:p>
        </w:tc>
        <w:tc>
          <w:tcPr>
            <w:tcW w:w="645"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时效指标</w:t>
            </w:r>
          </w:p>
        </w:tc>
        <w:tc>
          <w:tcPr>
            <w:tcW w:w="673"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学教及时性</w:t>
            </w:r>
          </w:p>
        </w:tc>
        <w:tc>
          <w:tcPr>
            <w:tcW w:w="1461"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及时情况</w:t>
            </w:r>
          </w:p>
        </w:tc>
        <w:tc>
          <w:tcPr>
            <w:tcW w:w="276"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100%</w:t>
            </w:r>
          </w:p>
        </w:tc>
        <w:tc>
          <w:tcPr>
            <w:tcW w:w="1300"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关于全区党史学习教育专项办公经费的请示（廊广宣请字〔2021〕12号）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vAlign w:val="center"/>
          </w:tcPr>
          <w:p>
            <w:pPr>
              <w:rPr>
                <w:rFonts w:hint="eastAsia" w:ascii="仿宋_GB2312" w:hAnsi="仿宋_GB2312" w:eastAsia="仿宋_GB2312" w:cs="仿宋_GB2312"/>
              </w:rPr>
            </w:pPr>
          </w:p>
        </w:tc>
        <w:tc>
          <w:tcPr>
            <w:tcW w:w="645"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成本指标</w:t>
            </w:r>
          </w:p>
        </w:tc>
        <w:tc>
          <w:tcPr>
            <w:tcW w:w="673"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预算执行情况</w:t>
            </w:r>
          </w:p>
        </w:tc>
        <w:tc>
          <w:tcPr>
            <w:tcW w:w="1461"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严格按照年初预算执行</w:t>
            </w:r>
          </w:p>
        </w:tc>
        <w:tc>
          <w:tcPr>
            <w:tcW w:w="276"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≤25万元</w:t>
            </w:r>
          </w:p>
        </w:tc>
        <w:tc>
          <w:tcPr>
            <w:tcW w:w="1300"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关于全区党史学习教育专项办公经费的请示（廊广宣请字〔2021〕12号）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Align w:val="center"/>
          </w:tcPr>
          <w:p>
            <w:pPr>
              <w:pStyle w:val="21"/>
              <w:rPr>
                <w:rFonts w:hint="eastAsia" w:ascii="仿宋_GB2312" w:hAnsi="仿宋_GB2312" w:eastAsia="仿宋_GB2312" w:cs="仿宋_GB2312"/>
              </w:rPr>
            </w:pPr>
            <w:r>
              <w:rPr>
                <w:rFonts w:hint="eastAsia" w:ascii="仿宋_GB2312" w:hAnsi="仿宋_GB2312" w:eastAsia="仿宋_GB2312" w:cs="仿宋_GB2312"/>
              </w:rPr>
              <w:t>效益指标</w:t>
            </w:r>
          </w:p>
        </w:tc>
        <w:tc>
          <w:tcPr>
            <w:tcW w:w="645"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673"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提高领导政治理论水平</w:t>
            </w:r>
          </w:p>
        </w:tc>
        <w:tc>
          <w:tcPr>
            <w:tcW w:w="1461"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领导理论水平提高情况</w:t>
            </w:r>
          </w:p>
        </w:tc>
        <w:tc>
          <w:tcPr>
            <w:tcW w:w="276"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提高</w:t>
            </w:r>
          </w:p>
        </w:tc>
        <w:tc>
          <w:tcPr>
            <w:tcW w:w="1300"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关于全区党史学习教育专项办公经费的请示（廊广宣请字〔2021〕12号）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Align w:val="center"/>
          </w:tcPr>
          <w:p>
            <w:pPr>
              <w:pStyle w:val="21"/>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645"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673"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满意度</w:t>
            </w:r>
          </w:p>
        </w:tc>
        <w:tc>
          <w:tcPr>
            <w:tcW w:w="1461"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学习人员满意度</w:t>
            </w:r>
          </w:p>
        </w:tc>
        <w:tc>
          <w:tcPr>
            <w:tcW w:w="276"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≥90%</w:t>
            </w:r>
          </w:p>
        </w:tc>
        <w:tc>
          <w:tcPr>
            <w:tcW w:w="1300"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关于全区党史学习教育专项办公经费的请示（廊广宣请字〔2021〕12号）</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docGrid w:linePitch="312" w:charSpace="0"/>
        </w:sectPr>
      </w:pPr>
    </w:p>
    <w:p>
      <w:pPr>
        <w:jc w:val="center"/>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ind w:firstLine="560"/>
        <w:jc w:val="left"/>
        <w:outlineLvl w:val="3"/>
        <w:rPr>
          <w:rFonts w:hint="eastAsia" w:ascii="仿宋_GB2312" w:hAnsi="仿宋_GB2312" w:eastAsia="仿宋_GB2312" w:cs="仿宋_GB2312"/>
        </w:rPr>
      </w:pPr>
      <w:bookmarkStart w:id="8" w:name="_Toc_4_4_0000000012"/>
      <w:r>
        <w:rPr>
          <w:rFonts w:hint="eastAsia" w:ascii="仿宋_GB2312" w:hAnsi="仿宋_GB2312" w:eastAsia="仿宋_GB2312" w:cs="仿宋_GB2312"/>
          <w:color w:val="000000"/>
          <w:sz w:val="28"/>
        </w:rPr>
        <w:t>9.对上宣传工作经费绩效目标表</w:t>
      </w:r>
      <w:bookmarkEnd w:id="8"/>
    </w:p>
    <w:tbl>
      <w:tblPr>
        <w:tblStyle w:val="11"/>
        <w:tblW w:w="5000"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8"/>
        <w:gridCol w:w="12140"/>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Align w:val="center"/>
          </w:tcPr>
          <w:p>
            <w:pPr>
              <w:pStyle w:val="19"/>
              <w:rPr>
                <w:rFonts w:hint="eastAsia" w:ascii="仿宋_GB2312" w:hAnsi="仿宋_GB2312" w:eastAsia="仿宋_GB2312" w:cs="仿宋_GB2312"/>
              </w:rPr>
            </w:pPr>
            <w:r>
              <w:rPr>
                <w:rFonts w:hint="eastAsia" w:ascii="仿宋_GB2312" w:hAnsi="仿宋_GB2312" w:eastAsia="仿宋_GB2312" w:cs="仿宋_GB2312"/>
              </w:rPr>
              <w:t>绩效目标</w:t>
            </w:r>
          </w:p>
        </w:tc>
        <w:tc>
          <w:tcPr>
            <w:tcW w:w="4355"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1.全面深入多渠道宣传广阳区发展成果和良好形象,年终市委宣传部将对各县（市、区）在中省主要新闻媒体宣传廊坊工作进行打分排名，并作为意识形态考核重要依据。为切实做好此项工作，也为更好地对外宣传广阳区在经济社会发展等方面取得的巨大成就。</w:t>
            </w:r>
          </w:p>
        </w:tc>
      </w:tr>
    </w:tbl>
    <w:p>
      <w:pPr>
        <w:spacing w:line="2" w:lineRule="exact"/>
        <w:jc w:val="center"/>
        <w:rPr>
          <w:rFonts w:hint="eastAsia" w:ascii="仿宋_GB2312" w:hAnsi="仿宋_GB2312" w:eastAsia="仿宋_GB2312" w:cs="仿宋_GB2312"/>
        </w:rPr>
      </w:pPr>
      <w:r>
        <w:rPr>
          <w:rFonts w:hint="eastAsia" w:ascii="仿宋_GB2312" w:hAnsi="仿宋_GB2312" w:eastAsia="仿宋_GB2312" w:cs="仿宋_GB2312"/>
          <w:color w:val="000000"/>
        </w:rPr>
        <w:t xml:space="preserve"> </w:t>
      </w:r>
    </w:p>
    <w:tbl>
      <w:tblPr>
        <w:tblStyle w:val="11"/>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1"/>
        <w:gridCol w:w="1991"/>
        <w:gridCol w:w="3597"/>
        <w:gridCol w:w="1982"/>
        <w:gridCol w:w="23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pPr>
              <w:pStyle w:val="19"/>
              <w:rPr>
                <w:rFonts w:hint="eastAsia" w:ascii="仿宋_GB2312" w:hAnsi="仿宋_GB2312" w:eastAsia="仿宋_GB2312" w:cs="仿宋_GB2312"/>
              </w:rPr>
            </w:pPr>
            <w:r>
              <w:rPr>
                <w:rFonts w:hint="eastAsia" w:ascii="仿宋_GB2312" w:hAnsi="仿宋_GB2312" w:eastAsia="仿宋_GB2312" w:cs="仿宋_GB2312"/>
              </w:rPr>
              <w:t>一级指标</w:t>
            </w:r>
          </w:p>
        </w:tc>
        <w:tc>
          <w:tcPr>
            <w:tcW w:w="714" w:type="pct"/>
            <w:vAlign w:val="center"/>
          </w:tcPr>
          <w:p>
            <w:pPr>
              <w:pStyle w:val="19"/>
              <w:rPr>
                <w:rFonts w:hint="eastAsia" w:ascii="仿宋_GB2312" w:hAnsi="仿宋_GB2312" w:eastAsia="仿宋_GB2312" w:cs="仿宋_GB2312"/>
              </w:rPr>
            </w:pPr>
            <w:r>
              <w:rPr>
                <w:rFonts w:hint="eastAsia" w:ascii="仿宋_GB2312" w:hAnsi="仿宋_GB2312" w:eastAsia="仿宋_GB2312" w:cs="仿宋_GB2312"/>
              </w:rPr>
              <w:t>二级指标</w:t>
            </w:r>
          </w:p>
        </w:tc>
        <w:tc>
          <w:tcPr>
            <w:tcW w:w="714" w:type="pct"/>
            <w:vAlign w:val="center"/>
          </w:tcPr>
          <w:p>
            <w:pPr>
              <w:pStyle w:val="19"/>
              <w:rPr>
                <w:rFonts w:hint="eastAsia" w:ascii="仿宋_GB2312" w:hAnsi="仿宋_GB2312" w:eastAsia="仿宋_GB2312" w:cs="仿宋_GB2312"/>
              </w:rPr>
            </w:pPr>
            <w:r>
              <w:rPr>
                <w:rFonts w:hint="eastAsia" w:ascii="仿宋_GB2312" w:hAnsi="仿宋_GB2312" w:eastAsia="仿宋_GB2312" w:cs="仿宋_GB2312"/>
              </w:rPr>
              <w:t>三级指标</w:t>
            </w:r>
          </w:p>
        </w:tc>
        <w:tc>
          <w:tcPr>
            <w:tcW w:w="1290" w:type="pct"/>
            <w:vAlign w:val="center"/>
          </w:tcPr>
          <w:p>
            <w:pPr>
              <w:pStyle w:val="19"/>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711" w:type="pct"/>
            <w:vAlign w:val="center"/>
          </w:tcPr>
          <w:p>
            <w:pPr>
              <w:pStyle w:val="19"/>
              <w:rPr>
                <w:rFonts w:hint="eastAsia" w:ascii="仿宋_GB2312" w:hAnsi="仿宋_GB2312" w:eastAsia="仿宋_GB2312" w:cs="仿宋_GB2312"/>
              </w:rPr>
            </w:pPr>
            <w:r>
              <w:rPr>
                <w:rFonts w:hint="eastAsia" w:ascii="仿宋_GB2312" w:hAnsi="仿宋_GB2312" w:eastAsia="仿宋_GB2312" w:cs="仿宋_GB2312"/>
              </w:rPr>
              <w:t>指标值</w:t>
            </w:r>
          </w:p>
        </w:tc>
        <w:tc>
          <w:tcPr>
            <w:tcW w:w="856" w:type="pct"/>
            <w:vAlign w:val="center"/>
          </w:tcPr>
          <w:p>
            <w:pPr>
              <w:pStyle w:val="19"/>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21"/>
              <w:rPr>
                <w:rFonts w:hint="eastAsia" w:ascii="仿宋_GB2312" w:hAnsi="仿宋_GB2312" w:eastAsia="仿宋_GB2312" w:cs="仿宋_GB2312"/>
              </w:rPr>
            </w:pPr>
            <w:r>
              <w:rPr>
                <w:rFonts w:hint="eastAsia" w:ascii="仿宋_GB2312" w:hAnsi="仿宋_GB2312" w:eastAsia="仿宋_GB2312" w:cs="仿宋_GB2312"/>
              </w:rPr>
              <w:t>产出指标</w:t>
            </w:r>
          </w:p>
        </w:tc>
        <w:tc>
          <w:tcPr>
            <w:tcW w:w="714"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数量指标</w:t>
            </w:r>
          </w:p>
        </w:tc>
        <w:tc>
          <w:tcPr>
            <w:tcW w:w="714"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省市主流新闻媒体发稿数量　</w:t>
            </w:r>
          </w:p>
        </w:tc>
        <w:tc>
          <w:tcPr>
            <w:tcW w:w="1290"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反映广阳新闻作品量　</w:t>
            </w:r>
          </w:p>
        </w:tc>
        <w:tc>
          <w:tcPr>
            <w:tcW w:w="711"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≥500条</w:t>
            </w:r>
          </w:p>
        </w:tc>
        <w:tc>
          <w:tcPr>
            <w:tcW w:w="856"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廊宣字〔2019〕51号廊宣发〔2020〕1号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_GB2312" w:hAnsi="仿宋_GB2312" w:eastAsia="仿宋_GB2312" w:cs="仿宋_GB2312"/>
              </w:rPr>
            </w:pPr>
          </w:p>
        </w:tc>
        <w:tc>
          <w:tcPr>
            <w:tcW w:w="714"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质量指标</w:t>
            </w:r>
          </w:p>
        </w:tc>
        <w:tc>
          <w:tcPr>
            <w:tcW w:w="714"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产生重要影响的作品数量　</w:t>
            </w:r>
          </w:p>
        </w:tc>
        <w:tc>
          <w:tcPr>
            <w:tcW w:w="1290"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专版数量　</w:t>
            </w:r>
          </w:p>
        </w:tc>
        <w:tc>
          <w:tcPr>
            <w:tcW w:w="711"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≥12版　</w:t>
            </w:r>
          </w:p>
        </w:tc>
        <w:tc>
          <w:tcPr>
            <w:tcW w:w="856"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廊宣字〔2019〕51号廊宣发〔2020〕1号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_GB2312" w:hAnsi="仿宋_GB2312" w:eastAsia="仿宋_GB2312" w:cs="仿宋_GB2312"/>
              </w:rPr>
            </w:pPr>
          </w:p>
        </w:tc>
        <w:tc>
          <w:tcPr>
            <w:tcW w:w="714"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时效指标</w:t>
            </w:r>
          </w:p>
        </w:tc>
        <w:tc>
          <w:tcPr>
            <w:tcW w:w="714"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发稿时效性　</w:t>
            </w:r>
          </w:p>
        </w:tc>
        <w:tc>
          <w:tcPr>
            <w:tcW w:w="1290"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每月发稿数量　</w:t>
            </w:r>
          </w:p>
        </w:tc>
        <w:tc>
          <w:tcPr>
            <w:tcW w:w="711"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≥30条　</w:t>
            </w:r>
          </w:p>
        </w:tc>
        <w:tc>
          <w:tcPr>
            <w:tcW w:w="856"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廊宣字〔2019〕51号廊宣发〔2020〕1号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_GB2312" w:hAnsi="仿宋_GB2312" w:eastAsia="仿宋_GB2312" w:cs="仿宋_GB2312"/>
              </w:rPr>
            </w:pPr>
          </w:p>
        </w:tc>
        <w:tc>
          <w:tcPr>
            <w:tcW w:w="714"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成本指标</w:t>
            </w:r>
          </w:p>
        </w:tc>
        <w:tc>
          <w:tcPr>
            <w:tcW w:w="714"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成本控制　</w:t>
            </w:r>
          </w:p>
        </w:tc>
        <w:tc>
          <w:tcPr>
            <w:tcW w:w="1290"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成本控制情况　</w:t>
            </w:r>
          </w:p>
        </w:tc>
        <w:tc>
          <w:tcPr>
            <w:tcW w:w="711"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≤80万元　</w:t>
            </w:r>
          </w:p>
        </w:tc>
        <w:tc>
          <w:tcPr>
            <w:tcW w:w="856"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廊宣字〔2019〕51号廊宣发〔2020〕1号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21"/>
              <w:rPr>
                <w:rFonts w:hint="eastAsia" w:ascii="仿宋_GB2312" w:hAnsi="仿宋_GB2312" w:eastAsia="仿宋_GB2312" w:cs="仿宋_GB2312"/>
              </w:rPr>
            </w:pPr>
            <w:r>
              <w:rPr>
                <w:rFonts w:hint="eastAsia" w:ascii="仿宋_GB2312" w:hAnsi="仿宋_GB2312" w:eastAsia="仿宋_GB2312" w:cs="仿宋_GB2312"/>
              </w:rPr>
              <w:t>效益指标</w:t>
            </w:r>
          </w:p>
        </w:tc>
        <w:tc>
          <w:tcPr>
            <w:tcW w:w="714"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714"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提高广阳知名度　</w:t>
            </w:r>
          </w:p>
        </w:tc>
        <w:tc>
          <w:tcPr>
            <w:tcW w:w="1290"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提高广阳知名度　</w:t>
            </w:r>
          </w:p>
        </w:tc>
        <w:tc>
          <w:tcPr>
            <w:tcW w:w="711"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提高</w:t>
            </w:r>
          </w:p>
        </w:tc>
        <w:tc>
          <w:tcPr>
            <w:tcW w:w="856"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廊宣字〔2019〕51号廊宣发〔2020〕1号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21"/>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714"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714"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群众满意度　</w:t>
            </w:r>
          </w:p>
        </w:tc>
        <w:tc>
          <w:tcPr>
            <w:tcW w:w="1290"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满意群众人数占总人数的比率　</w:t>
            </w:r>
          </w:p>
        </w:tc>
        <w:tc>
          <w:tcPr>
            <w:tcW w:w="711"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≥90%</w:t>
            </w:r>
          </w:p>
        </w:tc>
        <w:tc>
          <w:tcPr>
            <w:tcW w:w="856"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实际调查</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docGrid w:linePitch="312" w:charSpace="0"/>
        </w:sectPr>
      </w:pPr>
    </w:p>
    <w:p>
      <w:pPr>
        <w:jc w:val="center"/>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ind w:firstLine="560"/>
        <w:jc w:val="left"/>
        <w:outlineLvl w:val="3"/>
        <w:rPr>
          <w:rFonts w:hint="eastAsia" w:ascii="仿宋_GB2312" w:hAnsi="仿宋_GB2312" w:eastAsia="仿宋_GB2312" w:cs="仿宋_GB2312"/>
        </w:rPr>
      </w:pPr>
      <w:bookmarkStart w:id="9" w:name="_Toc_4_4_0000000013"/>
      <w:r>
        <w:rPr>
          <w:rFonts w:hint="eastAsia" w:ascii="仿宋_GB2312" w:hAnsi="仿宋_GB2312" w:eastAsia="仿宋_GB2312" w:cs="仿宋_GB2312"/>
          <w:color w:val="000000"/>
          <w:sz w:val="28"/>
        </w:rPr>
        <w:t>10.公共文化服务体系建设资金[区级]绩效目标表</w:t>
      </w:r>
      <w:bookmarkEnd w:id="9"/>
    </w:p>
    <w:tbl>
      <w:tblPr>
        <w:tblStyle w:val="11"/>
        <w:tblW w:w="5000"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8"/>
        <w:gridCol w:w="12140"/>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Align w:val="center"/>
          </w:tcPr>
          <w:p>
            <w:pPr>
              <w:pStyle w:val="19"/>
              <w:rPr>
                <w:rFonts w:hint="eastAsia" w:ascii="仿宋_GB2312" w:hAnsi="仿宋_GB2312" w:eastAsia="仿宋_GB2312" w:cs="仿宋_GB2312"/>
              </w:rPr>
            </w:pPr>
            <w:r>
              <w:rPr>
                <w:rFonts w:hint="eastAsia" w:ascii="仿宋_GB2312" w:hAnsi="仿宋_GB2312" w:eastAsia="仿宋_GB2312" w:cs="仿宋_GB2312"/>
              </w:rPr>
              <w:t>绩效目标</w:t>
            </w:r>
          </w:p>
        </w:tc>
        <w:tc>
          <w:tcPr>
            <w:tcW w:w="4355"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1.丰富人民群众精神文化生活，加快构建现代公共文化服务体系建设，推进公共文化服务水平的提高，推进公共文化服务体系标准化、均等化发展</w:t>
            </w:r>
          </w:p>
        </w:tc>
      </w:tr>
    </w:tbl>
    <w:p>
      <w:pPr>
        <w:spacing w:line="2" w:lineRule="exact"/>
        <w:jc w:val="center"/>
        <w:rPr>
          <w:rFonts w:hint="eastAsia" w:ascii="仿宋_GB2312" w:hAnsi="仿宋_GB2312" w:eastAsia="仿宋_GB2312" w:cs="仿宋_GB2312"/>
        </w:rPr>
      </w:pPr>
      <w:r>
        <w:rPr>
          <w:rFonts w:hint="eastAsia" w:ascii="仿宋_GB2312" w:hAnsi="仿宋_GB2312" w:eastAsia="仿宋_GB2312" w:cs="仿宋_GB2312"/>
          <w:color w:val="000000"/>
        </w:rPr>
        <w:t xml:space="preserve"> </w:t>
      </w:r>
    </w:p>
    <w:tbl>
      <w:tblPr>
        <w:tblStyle w:val="11"/>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7"/>
        <w:gridCol w:w="1798"/>
        <w:gridCol w:w="1876"/>
        <w:gridCol w:w="3284"/>
        <w:gridCol w:w="1135"/>
        <w:gridCol w:w="404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45" w:type="pct"/>
            <w:vAlign w:val="center"/>
          </w:tcPr>
          <w:p>
            <w:pPr>
              <w:pStyle w:val="19"/>
              <w:rPr>
                <w:rFonts w:hint="eastAsia" w:ascii="仿宋_GB2312" w:hAnsi="仿宋_GB2312" w:eastAsia="仿宋_GB2312" w:cs="仿宋_GB2312"/>
              </w:rPr>
            </w:pPr>
            <w:r>
              <w:rPr>
                <w:rFonts w:hint="eastAsia" w:ascii="仿宋_GB2312" w:hAnsi="仿宋_GB2312" w:eastAsia="仿宋_GB2312" w:cs="仿宋_GB2312"/>
              </w:rPr>
              <w:t>一级指标</w:t>
            </w:r>
          </w:p>
        </w:tc>
        <w:tc>
          <w:tcPr>
            <w:tcW w:w="645" w:type="pct"/>
            <w:vAlign w:val="center"/>
          </w:tcPr>
          <w:p>
            <w:pPr>
              <w:pStyle w:val="19"/>
              <w:rPr>
                <w:rFonts w:hint="eastAsia" w:ascii="仿宋_GB2312" w:hAnsi="仿宋_GB2312" w:eastAsia="仿宋_GB2312" w:cs="仿宋_GB2312"/>
              </w:rPr>
            </w:pPr>
            <w:r>
              <w:rPr>
                <w:rFonts w:hint="eastAsia" w:ascii="仿宋_GB2312" w:hAnsi="仿宋_GB2312" w:eastAsia="仿宋_GB2312" w:cs="仿宋_GB2312"/>
              </w:rPr>
              <w:t>二级指标</w:t>
            </w:r>
          </w:p>
        </w:tc>
        <w:tc>
          <w:tcPr>
            <w:tcW w:w="673" w:type="pct"/>
            <w:vAlign w:val="center"/>
          </w:tcPr>
          <w:p>
            <w:pPr>
              <w:pStyle w:val="19"/>
              <w:rPr>
                <w:rFonts w:hint="eastAsia" w:ascii="仿宋_GB2312" w:hAnsi="仿宋_GB2312" w:eastAsia="仿宋_GB2312" w:cs="仿宋_GB2312"/>
              </w:rPr>
            </w:pPr>
            <w:r>
              <w:rPr>
                <w:rFonts w:hint="eastAsia" w:ascii="仿宋_GB2312" w:hAnsi="仿宋_GB2312" w:eastAsia="仿宋_GB2312" w:cs="仿宋_GB2312"/>
              </w:rPr>
              <w:t>三级指标</w:t>
            </w:r>
          </w:p>
        </w:tc>
        <w:tc>
          <w:tcPr>
            <w:tcW w:w="1178" w:type="pct"/>
            <w:vAlign w:val="center"/>
          </w:tcPr>
          <w:p>
            <w:pPr>
              <w:pStyle w:val="19"/>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407" w:type="pct"/>
            <w:vAlign w:val="center"/>
          </w:tcPr>
          <w:p>
            <w:pPr>
              <w:pStyle w:val="19"/>
              <w:rPr>
                <w:rFonts w:hint="eastAsia" w:ascii="仿宋_GB2312" w:hAnsi="仿宋_GB2312" w:eastAsia="仿宋_GB2312" w:cs="仿宋_GB2312"/>
              </w:rPr>
            </w:pPr>
            <w:r>
              <w:rPr>
                <w:rFonts w:hint="eastAsia" w:ascii="仿宋_GB2312" w:hAnsi="仿宋_GB2312" w:eastAsia="仿宋_GB2312" w:cs="仿宋_GB2312"/>
              </w:rPr>
              <w:t>指标值</w:t>
            </w:r>
          </w:p>
        </w:tc>
        <w:tc>
          <w:tcPr>
            <w:tcW w:w="1453" w:type="pct"/>
            <w:vAlign w:val="center"/>
          </w:tcPr>
          <w:p>
            <w:pPr>
              <w:pStyle w:val="19"/>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restart"/>
            <w:vAlign w:val="center"/>
          </w:tcPr>
          <w:p>
            <w:pPr>
              <w:pStyle w:val="21"/>
              <w:rPr>
                <w:rFonts w:hint="eastAsia" w:ascii="仿宋_GB2312" w:hAnsi="仿宋_GB2312" w:eastAsia="仿宋_GB2312" w:cs="仿宋_GB2312"/>
              </w:rPr>
            </w:pPr>
            <w:r>
              <w:rPr>
                <w:rFonts w:hint="eastAsia" w:ascii="仿宋_GB2312" w:hAnsi="仿宋_GB2312" w:eastAsia="仿宋_GB2312" w:cs="仿宋_GB2312"/>
              </w:rPr>
              <w:t>产出指标</w:t>
            </w:r>
          </w:p>
        </w:tc>
        <w:tc>
          <w:tcPr>
            <w:tcW w:w="645"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数量指标</w:t>
            </w:r>
          </w:p>
        </w:tc>
        <w:tc>
          <w:tcPr>
            <w:tcW w:w="673"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补助农村电影放映、农家书屋行政村数　</w:t>
            </w:r>
          </w:p>
        </w:tc>
        <w:tc>
          <w:tcPr>
            <w:tcW w:w="1178"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补助农村电影放映、农家书屋行政村数　</w:t>
            </w:r>
          </w:p>
        </w:tc>
        <w:tc>
          <w:tcPr>
            <w:tcW w:w="407"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≤92村</w:t>
            </w:r>
          </w:p>
        </w:tc>
        <w:tc>
          <w:tcPr>
            <w:tcW w:w="1453"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　关于印发《中央补助地方公共文化服务体系建设专项资金管理暂行办法》的通知（财教【2015】527号）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vAlign w:val="center"/>
          </w:tcPr>
          <w:p>
            <w:pPr>
              <w:rPr>
                <w:rFonts w:hint="eastAsia" w:ascii="仿宋_GB2312" w:hAnsi="仿宋_GB2312" w:eastAsia="仿宋_GB2312" w:cs="仿宋_GB2312"/>
              </w:rPr>
            </w:pPr>
          </w:p>
        </w:tc>
        <w:tc>
          <w:tcPr>
            <w:tcW w:w="645"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数量指标</w:t>
            </w:r>
          </w:p>
        </w:tc>
        <w:tc>
          <w:tcPr>
            <w:tcW w:w="673"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购买图书册数</w:t>
            </w:r>
          </w:p>
        </w:tc>
        <w:tc>
          <w:tcPr>
            <w:tcW w:w="1178"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购买图书册数</w:t>
            </w:r>
          </w:p>
        </w:tc>
        <w:tc>
          <w:tcPr>
            <w:tcW w:w="407"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≤8924册</w:t>
            </w:r>
          </w:p>
        </w:tc>
        <w:tc>
          <w:tcPr>
            <w:tcW w:w="1453"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　关于印发《中央补助地方公共文化服务体系建设专项资金管理暂行办法》的通知（财教【2015】527号）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vAlign w:val="center"/>
          </w:tcPr>
          <w:p>
            <w:pPr>
              <w:rPr>
                <w:rFonts w:hint="eastAsia" w:ascii="仿宋_GB2312" w:hAnsi="仿宋_GB2312" w:eastAsia="仿宋_GB2312" w:cs="仿宋_GB2312"/>
              </w:rPr>
            </w:pPr>
          </w:p>
        </w:tc>
        <w:tc>
          <w:tcPr>
            <w:tcW w:w="645"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质量指标</w:t>
            </w:r>
          </w:p>
        </w:tc>
        <w:tc>
          <w:tcPr>
            <w:tcW w:w="673"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全民阅读率　</w:t>
            </w:r>
          </w:p>
        </w:tc>
        <w:tc>
          <w:tcPr>
            <w:tcW w:w="1178"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全民阅读率　</w:t>
            </w:r>
          </w:p>
        </w:tc>
        <w:tc>
          <w:tcPr>
            <w:tcW w:w="407"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≥90%</w:t>
            </w:r>
          </w:p>
        </w:tc>
        <w:tc>
          <w:tcPr>
            <w:tcW w:w="1453"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　关于印发《中央补助地方公共文化服务体系建设专项资金管理暂行办法》的通知（财教【2015】527号）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vAlign w:val="center"/>
          </w:tcPr>
          <w:p>
            <w:pPr>
              <w:rPr>
                <w:rFonts w:hint="eastAsia" w:ascii="仿宋_GB2312" w:hAnsi="仿宋_GB2312" w:eastAsia="仿宋_GB2312" w:cs="仿宋_GB2312"/>
              </w:rPr>
            </w:pPr>
          </w:p>
        </w:tc>
        <w:tc>
          <w:tcPr>
            <w:tcW w:w="645"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时效指标</w:t>
            </w:r>
          </w:p>
        </w:tc>
        <w:tc>
          <w:tcPr>
            <w:tcW w:w="673"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工作按时完成率　</w:t>
            </w:r>
          </w:p>
        </w:tc>
        <w:tc>
          <w:tcPr>
            <w:tcW w:w="1178"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工作按时完成率　</w:t>
            </w:r>
          </w:p>
        </w:tc>
        <w:tc>
          <w:tcPr>
            <w:tcW w:w="407"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12月份</w:t>
            </w:r>
          </w:p>
        </w:tc>
        <w:tc>
          <w:tcPr>
            <w:tcW w:w="1453"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　关于印发《中央补助地方公共文化服务体系建设专项资金管理暂行办法》的通知（财教【2015】527号）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vAlign w:val="center"/>
          </w:tcPr>
          <w:p>
            <w:pPr>
              <w:rPr>
                <w:rFonts w:hint="eastAsia" w:ascii="仿宋_GB2312" w:hAnsi="仿宋_GB2312" w:eastAsia="仿宋_GB2312" w:cs="仿宋_GB2312"/>
              </w:rPr>
            </w:pPr>
          </w:p>
        </w:tc>
        <w:tc>
          <w:tcPr>
            <w:tcW w:w="645"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成本指标</w:t>
            </w:r>
          </w:p>
        </w:tc>
        <w:tc>
          <w:tcPr>
            <w:tcW w:w="673"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经费控制数　</w:t>
            </w:r>
          </w:p>
        </w:tc>
        <w:tc>
          <w:tcPr>
            <w:tcW w:w="1178"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经费控制数　</w:t>
            </w:r>
          </w:p>
        </w:tc>
        <w:tc>
          <w:tcPr>
            <w:tcW w:w="407"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≤13.53万元</w:t>
            </w:r>
          </w:p>
        </w:tc>
        <w:tc>
          <w:tcPr>
            <w:tcW w:w="1453"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　　关于印发《中央补助地方公共文化服务体系建设专项资金管理暂行办法》的通知（财教【2015】527号）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Align w:val="center"/>
          </w:tcPr>
          <w:p>
            <w:pPr>
              <w:pStyle w:val="21"/>
              <w:rPr>
                <w:rFonts w:hint="eastAsia" w:ascii="仿宋_GB2312" w:hAnsi="仿宋_GB2312" w:eastAsia="仿宋_GB2312" w:cs="仿宋_GB2312"/>
              </w:rPr>
            </w:pPr>
            <w:r>
              <w:rPr>
                <w:rFonts w:hint="eastAsia" w:ascii="仿宋_GB2312" w:hAnsi="仿宋_GB2312" w:eastAsia="仿宋_GB2312" w:cs="仿宋_GB2312"/>
              </w:rPr>
              <w:t>效益指标</w:t>
            </w:r>
          </w:p>
        </w:tc>
        <w:tc>
          <w:tcPr>
            <w:tcW w:w="645"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673"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提升人民群众对精神文化   的需求　</w:t>
            </w:r>
          </w:p>
        </w:tc>
        <w:tc>
          <w:tcPr>
            <w:tcW w:w="1178"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能够长期较好地开展展演、展映、展播、展示，长期满足人民群众对精神文化的需求　</w:t>
            </w:r>
          </w:p>
        </w:tc>
        <w:tc>
          <w:tcPr>
            <w:tcW w:w="407"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提升</w:t>
            </w:r>
          </w:p>
        </w:tc>
        <w:tc>
          <w:tcPr>
            <w:tcW w:w="1453"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关于印发《中央补助地方公共文化服务体系建设专项资金管理暂行办法》的通知（财教【2015】527号）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Align w:val="center"/>
          </w:tcPr>
          <w:p>
            <w:pPr>
              <w:pStyle w:val="21"/>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645"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673"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群众满意度</w:t>
            </w:r>
          </w:p>
        </w:tc>
        <w:tc>
          <w:tcPr>
            <w:tcW w:w="1178"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调查中满意和较满意的人数占调查总人数的比率</w:t>
            </w:r>
          </w:p>
        </w:tc>
        <w:tc>
          <w:tcPr>
            <w:tcW w:w="407"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≥90%</w:t>
            </w:r>
          </w:p>
        </w:tc>
        <w:tc>
          <w:tcPr>
            <w:tcW w:w="1453"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实际调查</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docGrid w:linePitch="312" w:charSpace="0"/>
        </w:sectPr>
      </w:pPr>
    </w:p>
    <w:p>
      <w:pPr>
        <w:jc w:val="center"/>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ind w:firstLine="560"/>
        <w:jc w:val="left"/>
        <w:outlineLvl w:val="3"/>
        <w:rPr>
          <w:rFonts w:hint="eastAsia" w:ascii="仿宋_GB2312" w:hAnsi="仿宋_GB2312" w:eastAsia="仿宋_GB2312" w:cs="仿宋_GB2312"/>
        </w:rPr>
      </w:pPr>
      <w:bookmarkStart w:id="10" w:name="_Toc_4_4_0000000014"/>
      <w:r>
        <w:rPr>
          <w:rFonts w:hint="eastAsia" w:ascii="仿宋_GB2312" w:hAnsi="仿宋_GB2312" w:eastAsia="仿宋_GB2312" w:cs="仿宋_GB2312"/>
          <w:color w:val="000000"/>
          <w:sz w:val="28"/>
        </w:rPr>
        <w:t>11.公共文化服务体系建设资金[市级]绩效目标表</w:t>
      </w:r>
      <w:bookmarkEnd w:id="10"/>
    </w:p>
    <w:tbl>
      <w:tblPr>
        <w:tblStyle w:val="11"/>
        <w:tblW w:w="5000"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817"/>
        <w:gridCol w:w="13121"/>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 w:type="pct"/>
            <w:vAlign w:val="center"/>
          </w:tcPr>
          <w:p>
            <w:pPr>
              <w:pStyle w:val="19"/>
              <w:spacing w:line="300" w:lineRule="exact"/>
              <w:rPr>
                <w:rFonts w:hint="eastAsia" w:ascii="仿宋_GB2312" w:hAnsi="仿宋_GB2312" w:eastAsia="仿宋_GB2312" w:cs="仿宋_GB2312"/>
              </w:rPr>
            </w:pPr>
            <w:r>
              <w:rPr>
                <w:rFonts w:hint="eastAsia" w:ascii="仿宋_GB2312" w:hAnsi="仿宋_GB2312" w:eastAsia="仿宋_GB2312" w:cs="仿宋_GB2312"/>
              </w:rPr>
              <w:t>绩效目标</w:t>
            </w:r>
          </w:p>
        </w:tc>
        <w:tc>
          <w:tcPr>
            <w:tcW w:w="4707" w:type="pct"/>
            <w:vAlign w:val="center"/>
          </w:tcPr>
          <w:p>
            <w:pPr>
              <w:pStyle w:val="20"/>
              <w:spacing w:line="300" w:lineRule="exact"/>
              <w:rPr>
                <w:rFonts w:hint="eastAsia" w:ascii="仿宋_GB2312" w:hAnsi="仿宋_GB2312" w:eastAsia="仿宋_GB2312" w:cs="仿宋_GB2312"/>
              </w:rPr>
            </w:pPr>
            <w:r>
              <w:rPr>
                <w:rFonts w:hint="eastAsia" w:ascii="仿宋_GB2312" w:hAnsi="仿宋_GB2312" w:eastAsia="仿宋_GB2312" w:cs="仿宋_GB2312"/>
              </w:rPr>
              <w:t>1.丰富人民群众精神文化生活，加快构建现代公共文化服务体系建设，推进公共文化服务水平的提高，推进公共文化服务体系标准化、均等化发展。</w:t>
            </w:r>
          </w:p>
        </w:tc>
      </w:tr>
    </w:tbl>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color w:val="000000"/>
        </w:rPr>
        <w:t xml:space="preserve"> </w:t>
      </w:r>
    </w:p>
    <w:tbl>
      <w:tblPr>
        <w:tblStyle w:val="11"/>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810"/>
        <w:gridCol w:w="1126"/>
        <w:gridCol w:w="1839"/>
        <w:gridCol w:w="2545"/>
        <w:gridCol w:w="741"/>
        <w:gridCol w:w="68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93" w:type="pct"/>
            <w:vAlign w:val="center"/>
          </w:tcPr>
          <w:p>
            <w:pPr>
              <w:pStyle w:val="19"/>
              <w:spacing w:line="300" w:lineRule="exact"/>
              <w:rPr>
                <w:rFonts w:hint="eastAsia" w:ascii="仿宋_GB2312" w:hAnsi="仿宋_GB2312" w:eastAsia="仿宋_GB2312" w:cs="仿宋_GB2312"/>
              </w:rPr>
            </w:pPr>
            <w:r>
              <w:rPr>
                <w:rFonts w:hint="eastAsia" w:ascii="仿宋_GB2312" w:hAnsi="仿宋_GB2312" w:eastAsia="仿宋_GB2312" w:cs="仿宋_GB2312"/>
              </w:rPr>
              <w:t>一级指标</w:t>
            </w:r>
          </w:p>
        </w:tc>
        <w:tc>
          <w:tcPr>
            <w:tcW w:w="406" w:type="pct"/>
            <w:vAlign w:val="center"/>
          </w:tcPr>
          <w:p>
            <w:pPr>
              <w:pStyle w:val="19"/>
              <w:spacing w:line="300" w:lineRule="exact"/>
              <w:rPr>
                <w:rFonts w:hint="eastAsia" w:ascii="仿宋_GB2312" w:hAnsi="仿宋_GB2312" w:eastAsia="仿宋_GB2312" w:cs="仿宋_GB2312"/>
              </w:rPr>
            </w:pPr>
            <w:r>
              <w:rPr>
                <w:rFonts w:hint="eastAsia" w:ascii="仿宋_GB2312" w:hAnsi="仿宋_GB2312" w:eastAsia="仿宋_GB2312" w:cs="仿宋_GB2312"/>
              </w:rPr>
              <w:t>二级指标</w:t>
            </w:r>
          </w:p>
        </w:tc>
        <w:tc>
          <w:tcPr>
            <w:tcW w:w="662" w:type="pct"/>
            <w:vAlign w:val="center"/>
          </w:tcPr>
          <w:p>
            <w:pPr>
              <w:pStyle w:val="19"/>
              <w:spacing w:line="300" w:lineRule="exact"/>
              <w:rPr>
                <w:rFonts w:hint="eastAsia" w:ascii="仿宋_GB2312" w:hAnsi="仿宋_GB2312" w:eastAsia="仿宋_GB2312" w:cs="仿宋_GB2312"/>
              </w:rPr>
            </w:pPr>
            <w:r>
              <w:rPr>
                <w:rFonts w:hint="eastAsia" w:ascii="仿宋_GB2312" w:hAnsi="仿宋_GB2312" w:eastAsia="仿宋_GB2312" w:cs="仿宋_GB2312"/>
              </w:rPr>
              <w:t>三级指标</w:t>
            </w:r>
          </w:p>
        </w:tc>
        <w:tc>
          <w:tcPr>
            <w:tcW w:w="915" w:type="pct"/>
            <w:vAlign w:val="center"/>
          </w:tcPr>
          <w:p>
            <w:pPr>
              <w:pStyle w:val="19"/>
              <w:spacing w:line="300" w:lineRule="exact"/>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255" w:type="pct"/>
            <w:vAlign w:val="center"/>
          </w:tcPr>
          <w:p>
            <w:pPr>
              <w:pStyle w:val="19"/>
              <w:spacing w:line="300" w:lineRule="exact"/>
              <w:rPr>
                <w:rFonts w:hint="eastAsia" w:ascii="仿宋_GB2312" w:hAnsi="仿宋_GB2312" w:eastAsia="仿宋_GB2312" w:cs="仿宋_GB2312"/>
              </w:rPr>
            </w:pPr>
            <w:r>
              <w:rPr>
                <w:rFonts w:hint="eastAsia" w:ascii="仿宋_GB2312" w:hAnsi="仿宋_GB2312" w:eastAsia="仿宋_GB2312" w:cs="仿宋_GB2312"/>
              </w:rPr>
              <w:t>指标值</w:t>
            </w:r>
          </w:p>
        </w:tc>
        <w:tc>
          <w:tcPr>
            <w:tcW w:w="2470" w:type="pct"/>
            <w:vAlign w:val="center"/>
          </w:tcPr>
          <w:p>
            <w:pPr>
              <w:pStyle w:val="19"/>
              <w:spacing w:line="300" w:lineRule="exact"/>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 w:type="pct"/>
            <w:vMerge w:val="restart"/>
            <w:vAlign w:val="center"/>
          </w:tcPr>
          <w:p>
            <w:pPr>
              <w:pStyle w:val="21"/>
              <w:spacing w:line="300" w:lineRule="exact"/>
              <w:rPr>
                <w:rFonts w:hint="eastAsia" w:ascii="仿宋_GB2312" w:hAnsi="仿宋_GB2312" w:eastAsia="仿宋_GB2312" w:cs="仿宋_GB2312"/>
              </w:rPr>
            </w:pPr>
            <w:r>
              <w:rPr>
                <w:rFonts w:hint="eastAsia" w:ascii="仿宋_GB2312" w:hAnsi="仿宋_GB2312" w:eastAsia="仿宋_GB2312" w:cs="仿宋_GB2312"/>
              </w:rPr>
              <w:t>产出指标</w:t>
            </w:r>
          </w:p>
        </w:tc>
        <w:tc>
          <w:tcPr>
            <w:tcW w:w="406" w:type="pct"/>
            <w:vAlign w:val="center"/>
          </w:tcPr>
          <w:p>
            <w:pPr>
              <w:pStyle w:val="20"/>
              <w:spacing w:line="300" w:lineRule="exact"/>
              <w:rPr>
                <w:rFonts w:hint="eastAsia" w:ascii="仿宋_GB2312" w:hAnsi="仿宋_GB2312" w:eastAsia="仿宋_GB2312" w:cs="仿宋_GB2312"/>
              </w:rPr>
            </w:pPr>
            <w:r>
              <w:rPr>
                <w:rFonts w:hint="eastAsia" w:ascii="仿宋_GB2312" w:hAnsi="仿宋_GB2312" w:eastAsia="仿宋_GB2312" w:cs="仿宋_GB2312"/>
              </w:rPr>
              <w:t>数量指标</w:t>
            </w:r>
          </w:p>
        </w:tc>
        <w:tc>
          <w:tcPr>
            <w:tcW w:w="662" w:type="pct"/>
            <w:vAlign w:val="center"/>
          </w:tcPr>
          <w:p>
            <w:pPr>
              <w:pStyle w:val="20"/>
              <w:spacing w:line="300" w:lineRule="exact"/>
              <w:rPr>
                <w:rFonts w:hint="eastAsia" w:ascii="仿宋_GB2312" w:hAnsi="仿宋_GB2312" w:eastAsia="仿宋_GB2312" w:cs="仿宋_GB2312"/>
              </w:rPr>
            </w:pPr>
            <w:r>
              <w:rPr>
                <w:rFonts w:hint="eastAsia" w:ascii="仿宋_GB2312" w:hAnsi="仿宋_GB2312" w:eastAsia="仿宋_GB2312" w:cs="仿宋_GB2312"/>
              </w:rPr>
              <w:t>补助农村电影放映、农家书屋行政村数</w:t>
            </w:r>
          </w:p>
        </w:tc>
        <w:tc>
          <w:tcPr>
            <w:tcW w:w="915" w:type="pct"/>
            <w:vAlign w:val="center"/>
          </w:tcPr>
          <w:p>
            <w:pPr>
              <w:pStyle w:val="20"/>
              <w:spacing w:line="300" w:lineRule="exact"/>
              <w:rPr>
                <w:rFonts w:hint="eastAsia" w:ascii="仿宋_GB2312" w:hAnsi="仿宋_GB2312" w:eastAsia="仿宋_GB2312" w:cs="仿宋_GB2312"/>
              </w:rPr>
            </w:pPr>
            <w:r>
              <w:rPr>
                <w:rFonts w:hint="eastAsia" w:ascii="仿宋_GB2312" w:hAnsi="仿宋_GB2312" w:eastAsia="仿宋_GB2312" w:cs="仿宋_GB2312"/>
              </w:rPr>
              <w:t>补助农村电影放映、农家书屋行政村数</w:t>
            </w:r>
          </w:p>
        </w:tc>
        <w:tc>
          <w:tcPr>
            <w:tcW w:w="255" w:type="pct"/>
            <w:vAlign w:val="center"/>
          </w:tcPr>
          <w:p>
            <w:pPr>
              <w:pStyle w:val="20"/>
              <w:spacing w:line="300" w:lineRule="exact"/>
              <w:rPr>
                <w:rFonts w:hint="eastAsia" w:ascii="仿宋_GB2312" w:hAnsi="仿宋_GB2312" w:eastAsia="仿宋_GB2312" w:cs="仿宋_GB2312"/>
              </w:rPr>
            </w:pPr>
            <w:r>
              <w:rPr>
                <w:rFonts w:hint="eastAsia" w:ascii="仿宋_GB2312" w:hAnsi="仿宋_GB2312" w:eastAsia="仿宋_GB2312" w:cs="仿宋_GB2312"/>
              </w:rPr>
              <w:t>≤151村</w:t>
            </w:r>
          </w:p>
        </w:tc>
        <w:tc>
          <w:tcPr>
            <w:tcW w:w="2470" w:type="pct"/>
            <w:vAlign w:val="center"/>
          </w:tcPr>
          <w:p>
            <w:pPr>
              <w:pStyle w:val="20"/>
              <w:spacing w:line="300" w:lineRule="exact"/>
              <w:rPr>
                <w:rFonts w:hint="eastAsia" w:ascii="仿宋_GB2312" w:hAnsi="仿宋_GB2312" w:eastAsia="仿宋_GB2312" w:cs="仿宋_GB2312"/>
              </w:rPr>
            </w:pPr>
            <w:r>
              <w:rPr>
                <w:rFonts w:hint="eastAsia" w:ascii="仿宋_GB2312" w:hAnsi="仿宋_GB2312" w:eastAsia="仿宋_GB2312" w:cs="仿宋_GB2312"/>
              </w:rPr>
              <w:t>关于《中央补助地方公共文化服务体系建设专项资金管理暂行办法》的通知（财教【2015】527号）关于提前下达2022年公共文化服务体系建设市级补助资金的通知（廊财教【2021】40号）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 w:type="pct"/>
            <w:vMerge w:val="continue"/>
            <w:vAlign w:val="center"/>
          </w:tcPr>
          <w:p>
            <w:pPr>
              <w:spacing w:line="300" w:lineRule="exact"/>
              <w:rPr>
                <w:rFonts w:hint="eastAsia" w:ascii="仿宋_GB2312" w:hAnsi="仿宋_GB2312" w:eastAsia="仿宋_GB2312" w:cs="仿宋_GB2312"/>
              </w:rPr>
            </w:pPr>
          </w:p>
        </w:tc>
        <w:tc>
          <w:tcPr>
            <w:tcW w:w="406" w:type="pct"/>
            <w:vAlign w:val="center"/>
          </w:tcPr>
          <w:p>
            <w:pPr>
              <w:pStyle w:val="20"/>
              <w:spacing w:line="300" w:lineRule="exact"/>
              <w:rPr>
                <w:rFonts w:hint="eastAsia" w:ascii="仿宋_GB2312" w:hAnsi="仿宋_GB2312" w:eastAsia="仿宋_GB2312" w:cs="仿宋_GB2312"/>
              </w:rPr>
            </w:pPr>
            <w:r>
              <w:rPr>
                <w:rFonts w:hint="eastAsia" w:ascii="仿宋_GB2312" w:hAnsi="仿宋_GB2312" w:eastAsia="仿宋_GB2312" w:cs="仿宋_GB2312"/>
              </w:rPr>
              <w:t>数量指标</w:t>
            </w:r>
          </w:p>
        </w:tc>
        <w:tc>
          <w:tcPr>
            <w:tcW w:w="662" w:type="pct"/>
            <w:vAlign w:val="center"/>
          </w:tcPr>
          <w:p>
            <w:pPr>
              <w:pStyle w:val="20"/>
              <w:spacing w:line="300" w:lineRule="exact"/>
              <w:rPr>
                <w:rFonts w:hint="eastAsia" w:ascii="仿宋_GB2312" w:hAnsi="仿宋_GB2312" w:eastAsia="仿宋_GB2312" w:cs="仿宋_GB2312"/>
              </w:rPr>
            </w:pPr>
            <w:r>
              <w:rPr>
                <w:rFonts w:hint="eastAsia" w:ascii="仿宋_GB2312" w:hAnsi="仿宋_GB2312" w:eastAsia="仿宋_GB2312" w:cs="仿宋_GB2312"/>
              </w:rPr>
              <w:t>购买图书册数</w:t>
            </w:r>
          </w:p>
        </w:tc>
        <w:tc>
          <w:tcPr>
            <w:tcW w:w="915" w:type="pct"/>
            <w:vAlign w:val="center"/>
          </w:tcPr>
          <w:p>
            <w:pPr>
              <w:pStyle w:val="20"/>
              <w:spacing w:line="300" w:lineRule="exact"/>
              <w:rPr>
                <w:rFonts w:hint="eastAsia" w:ascii="仿宋_GB2312" w:hAnsi="仿宋_GB2312" w:eastAsia="仿宋_GB2312" w:cs="仿宋_GB2312"/>
              </w:rPr>
            </w:pPr>
            <w:r>
              <w:rPr>
                <w:rFonts w:hint="eastAsia" w:ascii="仿宋_GB2312" w:hAnsi="仿宋_GB2312" w:eastAsia="仿宋_GB2312" w:cs="仿宋_GB2312"/>
              </w:rPr>
              <w:t>购买图书册数</w:t>
            </w:r>
          </w:p>
        </w:tc>
        <w:tc>
          <w:tcPr>
            <w:tcW w:w="255" w:type="pct"/>
            <w:vAlign w:val="center"/>
          </w:tcPr>
          <w:p>
            <w:pPr>
              <w:pStyle w:val="20"/>
              <w:spacing w:line="300" w:lineRule="exact"/>
              <w:rPr>
                <w:rFonts w:hint="eastAsia" w:ascii="仿宋_GB2312" w:hAnsi="仿宋_GB2312" w:eastAsia="仿宋_GB2312" w:cs="仿宋_GB2312"/>
              </w:rPr>
            </w:pPr>
            <w:r>
              <w:rPr>
                <w:rFonts w:hint="eastAsia" w:ascii="仿宋_GB2312" w:hAnsi="仿宋_GB2312" w:eastAsia="仿宋_GB2312" w:cs="仿宋_GB2312"/>
              </w:rPr>
              <w:t>≥8924册</w:t>
            </w:r>
          </w:p>
        </w:tc>
        <w:tc>
          <w:tcPr>
            <w:tcW w:w="2470" w:type="pct"/>
            <w:vAlign w:val="center"/>
          </w:tcPr>
          <w:p>
            <w:pPr>
              <w:pStyle w:val="20"/>
              <w:spacing w:line="300" w:lineRule="exact"/>
              <w:rPr>
                <w:rFonts w:hint="eastAsia" w:ascii="仿宋_GB2312" w:hAnsi="仿宋_GB2312" w:eastAsia="仿宋_GB2312" w:cs="仿宋_GB2312"/>
              </w:rPr>
            </w:pPr>
            <w:r>
              <w:rPr>
                <w:rFonts w:hint="eastAsia" w:ascii="仿宋_GB2312" w:hAnsi="仿宋_GB2312" w:eastAsia="仿宋_GB2312" w:cs="仿宋_GB2312"/>
              </w:rPr>
              <w:t>关于《中央补助地方公共文化服务体系建设专项资金管理暂行办法》的通知（财教【2015】527号）关于提前下达2022年公共文化服务体系建设市级补助资金的通知（廊财教【2021】40号）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 w:type="pct"/>
            <w:vMerge w:val="continue"/>
            <w:vAlign w:val="center"/>
          </w:tcPr>
          <w:p>
            <w:pPr>
              <w:spacing w:line="300" w:lineRule="exact"/>
              <w:rPr>
                <w:rFonts w:hint="eastAsia" w:ascii="仿宋_GB2312" w:hAnsi="仿宋_GB2312" w:eastAsia="仿宋_GB2312" w:cs="仿宋_GB2312"/>
              </w:rPr>
            </w:pPr>
          </w:p>
        </w:tc>
        <w:tc>
          <w:tcPr>
            <w:tcW w:w="406" w:type="pct"/>
            <w:vAlign w:val="center"/>
          </w:tcPr>
          <w:p>
            <w:pPr>
              <w:pStyle w:val="20"/>
              <w:spacing w:line="300" w:lineRule="exact"/>
              <w:rPr>
                <w:rFonts w:hint="eastAsia" w:ascii="仿宋_GB2312" w:hAnsi="仿宋_GB2312" w:eastAsia="仿宋_GB2312" w:cs="仿宋_GB2312"/>
              </w:rPr>
            </w:pPr>
            <w:r>
              <w:rPr>
                <w:rFonts w:hint="eastAsia" w:ascii="仿宋_GB2312" w:hAnsi="仿宋_GB2312" w:eastAsia="仿宋_GB2312" w:cs="仿宋_GB2312"/>
              </w:rPr>
              <w:t>质量指标</w:t>
            </w:r>
          </w:p>
        </w:tc>
        <w:tc>
          <w:tcPr>
            <w:tcW w:w="662" w:type="pct"/>
            <w:vAlign w:val="center"/>
          </w:tcPr>
          <w:p>
            <w:pPr>
              <w:pStyle w:val="20"/>
              <w:spacing w:line="300" w:lineRule="exact"/>
              <w:rPr>
                <w:rFonts w:hint="eastAsia" w:ascii="仿宋_GB2312" w:hAnsi="仿宋_GB2312" w:eastAsia="仿宋_GB2312" w:cs="仿宋_GB2312"/>
              </w:rPr>
            </w:pPr>
            <w:r>
              <w:rPr>
                <w:rFonts w:hint="eastAsia" w:ascii="仿宋_GB2312" w:hAnsi="仿宋_GB2312" w:eastAsia="仿宋_GB2312" w:cs="仿宋_GB2312"/>
              </w:rPr>
              <w:t>全民阅读率</w:t>
            </w:r>
          </w:p>
        </w:tc>
        <w:tc>
          <w:tcPr>
            <w:tcW w:w="915" w:type="pct"/>
            <w:vAlign w:val="center"/>
          </w:tcPr>
          <w:p>
            <w:pPr>
              <w:pStyle w:val="20"/>
              <w:spacing w:line="300" w:lineRule="exact"/>
              <w:rPr>
                <w:rFonts w:hint="eastAsia" w:ascii="仿宋_GB2312" w:hAnsi="仿宋_GB2312" w:eastAsia="仿宋_GB2312" w:cs="仿宋_GB2312"/>
              </w:rPr>
            </w:pPr>
            <w:r>
              <w:rPr>
                <w:rFonts w:hint="eastAsia" w:ascii="仿宋_GB2312" w:hAnsi="仿宋_GB2312" w:eastAsia="仿宋_GB2312" w:cs="仿宋_GB2312"/>
              </w:rPr>
              <w:t>全民阅读率</w:t>
            </w:r>
          </w:p>
        </w:tc>
        <w:tc>
          <w:tcPr>
            <w:tcW w:w="255" w:type="pct"/>
            <w:vAlign w:val="center"/>
          </w:tcPr>
          <w:p>
            <w:pPr>
              <w:pStyle w:val="20"/>
              <w:spacing w:line="300" w:lineRule="exact"/>
              <w:rPr>
                <w:rFonts w:hint="eastAsia" w:ascii="仿宋_GB2312" w:hAnsi="仿宋_GB2312" w:eastAsia="仿宋_GB2312" w:cs="仿宋_GB2312"/>
              </w:rPr>
            </w:pPr>
            <w:r>
              <w:rPr>
                <w:rFonts w:hint="eastAsia" w:ascii="仿宋_GB2312" w:hAnsi="仿宋_GB2312" w:eastAsia="仿宋_GB2312" w:cs="仿宋_GB2312"/>
              </w:rPr>
              <w:t>≥90%</w:t>
            </w:r>
          </w:p>
        </w:tc>
        <w:tc>
          <w:tcPr>
            <w:tcW w:w="2470" w:type="pct"/>
            <w:vAlign w:val="center"/>
          </w:tcPr>
          <w:p>
            <w:pPr>
              <w:pStyle w:val="20"/>
              <w:spacing w:line="300" w:lineRule="exact"/>
              <w:rPr>
                <w:rFonts w:hint="eastAsia" w:ascii="仿宋_GB2312" w:hAnsi="仿宋_GB2312" w:eastAsia="仿宋_GB2312" w:cs="仿宋_GB2312"/>
              </w:rPr>
            </w:pPr>
            <w:r>
              <w:rPr>
                <w:rFonts w:hint="eastAsia" w:ascii="仿宋_GB2312" w:hAnsi="仿宋_GB2312" w:eastAsia="仿宋_GB2312" w:cs="仿宋_GB2312"/>
              </w:rPr>
              <w:t>关于《中央补助地方公共文化服务体系建设专项资金管理暂行办法》的通知（财教【2015】527号）关于提前下达2022年公共文化服务体系建设市级补助资金的通知（廊财教【2021】40号）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 w:type="pct"/>
            <w:vMerge w:val="continue"/>
            <w:vAlign w:val="center"/>
          </w:tcPr>
          <w:p>
            <w:pPr>
              <w:spacing w:line="300" w:lineRule="exact"/>
              <w:rPr>
                <w:rFonts w:hint="eastAsia" w:ascii="仿宋_GB2312" w:hAnsi="仿宋_GB2312" w:eastAsia="仿宋_GB2312" w:cs="仿宋_GB2312"/>
              </w:rPr>
            </w:pPr>
          </w:p>
        </w:tc>
        <w:tc>
          <w:tcPr>
            <w:tcW w:w="406" w:type="pct"/>
            <w:vAlign w:val="center"/>
          </w:tcPr>
          <w:p>
            <w:pPr>
              <w:pStyle w:val="20"/>
              <w:spacing w:line="300" w:lineRule="exact"/>
              <w:rPr>
                <w:rFonts w:hint="eastAsia" w:ascii="仿宋_GB2312" w:hAnsi="仿宋_GB2312" w:eastAsia="仿宋_GB2312" w:cs="仿宋_GB2312"/>
              </w:rPr>
            </w:pPr>
            <w:r>
              <w:rPr>
                <w:rFonts w:hint="eastAsia" w:ascii="仿宋_GB2312" w:hAnsi="仿宋_GB2312" w:eastAsia="仿宋_GB2312" w:cs="仿宋_GB2312"/>
              </w:rPr>
              <w:t>时效指标</w:t>
            </w:r>
          </w:p>
        </w:tc>
        <w:tc>
          <w:tcPr>
            <w:tcW w:w="662" w:type="pct"/>
            <w:vAlign w:val="center"/>
          </w:tcPr>
          <w:p>
            <w:pPr>
              <w:pStyle w:val="20"/>
              <w:spacing w:line="300" w:lineRule="exact"/>
              <w:rPr>
                <w:rFonts w:hint="eastAsia" w:ascii="仿宋_GB2312" w:hAnsi="仿宋_GB2312" w:eastAsia="仿宋_GB2312" w:cs="仿宋_GB2312"/>
              </w:rPr>
            </w:pPr>
            <w:r>
              <w:rPr>
                <w:rFonts w:hint="eastAsia" w:ascii="仿宋_GB2312" w:hAnsi="仿宋_GB2312" w:eastAsia="仿宋_GB2312" w:cs="仿宋_GB2312"/>
              </w:rPr>
              <w:t>工作按时完成率</w:t>
            </w:r>
          </w:p>
        </w:tc>
        <w:tc>
          <w:tcPr>
            <w:tcW w:w="915" w:type="pct"/>
            <w:vAlign w:val="center"/>
          </w:tcPr>
          <w:p>
            <w:pPr>
              <w:pStyle w:val="20"/>
              <w:spacing w:line="300" w:lineRule="exact"/>
              <w:rPr>
                <w:rFonts w:hint="eastAsia" w:ascii="仿宋_GB2312" w:hAnsi="仿宋_GB2312" w:eastAsia="仿宋_GB2312" w:cs="仿宋_GB2312"/>
              </w:rPr>
            </w:pPr>
            <w:r>
              <w:rPr>
                <w:rFonts w:hint="eastAsia" w:ascii="仿宋_GB2312" w:hAnsi="仿宋_GB2312" w:eastAsia="仿宋_GB2312" w:cs="仿宋_GB2312"/>
              </w:rPr>
              <w:t>工作按时完成率</w:t>
            </w:r>
          </w:p>
        </w:tc>
        <w:tc>
          <w:tcPr>
            <w:tcW w:w="255" w:type="pct"/>
            <w:vAlign w:val="center"/>
          </w:tcPr>
          <w:p>
            <w:pPr>
              <w:pStyle w:val="20"/>
              <w:spacing w:line="300" w:lineRule="exact"/>
              <w:rPr>
                <w:rFonts w:hint="eastAsia" w:ascii="仿宋_GB2312" w:hAnsi="仿宋_GB2312" w:eastAsia="仿宋_GB2312" w:cs="仿宋_GB2312"/>
              </w:rPr>
            </w:pPr>
            <w:r>
              <w:rPr>
                <w:rFonts w:hint="eastAsia" w:ascii="仿宋_GB2312" w:hAnsi="仿宋_GB2312" w:eastAsia="仿宋_GB2312" w:cs="仿宋_GB2312"/>
              </w:rPr>
              <w:t>≥90%</w:t>
            </w:r>
          </w:p>
        </w:tc>
        <w:tc>
          <w:tcPr>
            <w:tcW w:w="2470" w:type="pct"/>
            <w:vAlign w:val="center"/>
          </w:tcPr>
          <w:p>
            <w:pPr>
              <w:pStyle w:val="20"/>
              <w:spacing w:line="300" w:lineRule="exact"/>
              <w:rPr>
                <w:rFonts w:hint="eastAsia" w:ascii="仿宋_GB2312" w:hAnsi="仿宋_GB2312" w:eastAsia="仿宋_GB2312" w:cs="仿宋_GB2312"/>
              </w:rPr>
            </w:pPr>
            <w:r>
              <w:rPr>
                <w:rFonts w:hint="eastAsia" w:ascii="仿宋_GB2312" w:hAnsi="仿宋_GB2312" w:eastAsia="仿宋_GB2312" w:cs="仿宋_GB2312"/>
              </w:rPr>
              <w:t>关于《中央补助地方公共文化服务体系建设专项资金管理暂行办法》的通知（财教【2015】527号）关于提前下达2022年公共文化服务体系建设市级补助资金的通知（廊财教【2021】40号）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 w:type="pct"/>
            <w:vMerge w:val="continue"/>
            <w:vAlign w:val="center"/>
          </w:tcPr>
          <w:p>
            <w:pPr>
              <w:spacing w:line="300" w:lineRule="exact"/>
              <w:rPr>
                <w:rFonts w:hint="eastAsia" w:ascii="仿宋_GB2312" w:hAnsi="仿宋_GB2312" w:eastAsia="仿宋_GB2312" w:cs="仿宋_GB2312"/>
              </w:rPr>
            </w:pPr>
          </w:p>
        </w:tc>
        <w:tc>
          <w:tcPr>
            <w:tcW w:w="406" w:type="pct"/>
            <w:vAlign w:val="center"/>
          </w:tcPr>
          <w:p>
            <w:pPr>
              <w:pStyle w:val="20"/>
              <w:spacing w:line="300" w:lineRule="exact"/>
              <w:rPr>
                <w:rFonts w:hint="eastAsia" w:ascii="仿宋_GB2312" w:hAnsi="仿宋_GB2312" w:eastAsia="仿宋_GB2312" w:cs="仿宋_GB2312"/>
              </w:rPr>
            </w:pPr>
            <w:r>
              <w:rPr>
                <w:rFonts w:hint="eastAsia" w:ascii="仿宋_GB2312" w:hAnsi="仿宋_GB2312" w:eastAsia="仿宋_GB2312" w:cs="仿宋_GB2312"/>
              </w:rPr>
              <w:t>成本指标</w:t>
            </w:r>
          </w:p>
        </w:tc>
        <w:tc>
          <w:tcPr>
            <w:tcW w:w="662" w:type="pct"/>
            <w:vAlign w:val="center"/>
          </w:tcPr>
          <w:p>
            <w:pPr>
              <w:pStyle w:val="20"/>
              <w:spacing w:line="300" w:lineRule="exact"/>
              <w:rPr>
                <w:rFonts w:hint="eastAsia" w:ascii="仿宋_GB2312" w:hAnsi="仿宋_GB2312" w:eastAsia="仿宋_GB2312" w:cs="仿宋_GB2312"/>
              </w:rPr>
            </w:pPr>
            <w:r>
              <w:rPr>
                <w:rFonts w:hint="eastAsia" w:ascii="仿宋_GB2312" w:hAnsi="仿宋_GB2312" w:eastAsia="仿宋_GB2312" w:cs="仿宋_GB2312"/>
              </w:rPr>
              <w:t>成本控制</w:t>
            </w:r>
          </w:p>
        </w:tc>
        <w:tc>
          <w:tcPr>
            <w:tcW w:w="915" w:type="pct"/>
            <w:vAlign w:val="center"/>
          </w:tcPr>
          <w:p>
            <w:pPr>
              <w:pStyle w:val="20"/>
              <w:spacing w:line="300" w:lineRule="exact"/>
              <w:rPr>
                <w:rFonts w:hint="eastAsia" w:ascii="仿宋_GB2312" w:hAnsi="仿宋_GB2312" w:eastAsia="仿宋_GB2312" w:cs="仿宋_GB2312"/>
              </w:rPr>
            </w:pPr>
            <w:r>
              <w:rPr>
                <w:rFonts w:hint="eastAsia" w:ascii="仿宋_GB2312" w:hAnsi="仿宋_GB2312" w:eastAsia="仿宋_GB2312" w:cs="仿宋_GB2312"/>
              </w:rPr>
              <w:t>成本控制情况</w:t>
            </w:r>
          </w:p>
        </w:tc>
        <w:tc>
          <w:tcPr>
            <w:tcW w:w="255" w:type="pct"/>
            <w:vAlign w:val="center"/>
          </w:tcPr>
          <w:p>
            <w:pPr>
              <w:pStyle w:val="20"/>
              <w:spacing w:line="300" w:lineRule="exact"/>
              <w:rPr>
                <w:rFonts w:hint="eastAsia" w:ascii="仿宋_GB2312" w:hAnsi="仿宋_GB2312" w:eastAsia="仿宋_GB2312" w:cs="仿宋_GB2312"/>
              </w:rPr>
            </w:pPr>
            <w:r>
              <w:rPr>
                <w:rFonts w:hint="eastAsia" w:ascii="仿宋_GB2312" w:hAnsi="仿宋_GB2312" w:eastAsia="仿宋_GB2312" w:cs="仿宋_GB2312"/>
              </w:rPr>
              <w:t>≤11.08万元</w:t>
            </w:r>
          </w:p>
        </w:tc>
        <w:tc>
          <w:tcPr>
            <w:tcW w:w="2470" w:type="pct"/>
            <w:vAlign w:val="center"/>
          </w:tcPr>
          <w:p>
            <w:pPr>
              <w:pStyle w:val="20"/>
              <w:spacing w:line="300" w:lineRule="exact"/>
              <w:rPr>
                <w:rFonts w:hint="eastAsia" w:ascii="仿宋_GB2312" w:hAnsi="仿宋_GB2312" w:eastAsia="仿宋_GB2312" w:cs="仿宋_GB2312"/>
              </w:rPr>
            </w:pPr>
            <w:r>
              <w:rPr>
                <w:rFonts w:hint="eastAsia" w:ascii="仿宋_GB2312" w:hAnsi="仿宋_GB2312" w:eastAsia="仿宋_GB2312" w:cs="仿宋_GB2312"/>
              </w:rPr>
              <w:t>关于《中央补助地方公共文化服务体系建设专项资金管理暂行办法》的通知（财教【2015】527号）关于提前下达2022年公共文化服务体系建设市级补助资金的通知（廊财教【2021】40号）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 w:type="pct"/>
            <w:vAlign w:val="center"/>
          </w:tcPr>
          <w:p>
            <w:pPr>
              <w:pStyle w:val="21"/>
              <w:spacing w:line="300" w:lineRule="exact"/>
              <w:rPr>
                <w:rFonts w:hint="eastAsia" w:ascii="仿宋_GB2312" w:hAnsi="仿宋_GB2312" w:eastAsia="仿宋_GB2312" w:cs="仿宋_GB2312"/>
              </w:rPr>
            </w:pPr>
            <w:r>
              <w:rPr>
                <w:rFonts w:hint="eastAsia" w:ascii="仿宋_GB2312" w:hAnsi="仿宋_GB2312" w:eastAsia="仿宋_GB2312" w:cs="仿宋_GB2312"/>
              </w:rPr>
              <w:t>效益指标</w:t>
            </w:r>
          </w:p>
        </w:tc>
        <w:tc>
          <w:tcPr>
            <w:tcW w:w="406" w:type="pct"/>
            <w:vAlign w:val="center"/>
          </w:tcPr>
          <w:p>
            <w:pPr>
              <w:pStyle w:val="20"/>
              <w:spacing w:line="300" w:lineRule="exact"/>
              <w:rPr>
                <w:rFonts w:hint="eastAsia" w:ascii="仿宋_GB2312" w:hAnsi="仿宋_GB2312" w:eastAsia="仿宋_GB2312" w:cs="仿宋_GB2312"/>
              </w:rPr>
            </w:pPr>
            <w:r>
              <w:rPr>
                <w:rFonts w:hint="eastAsia" w:ascii="仿宋_GB2312" w:hAnsi="仿宋_GB2312" w:eastAsia="仿宋_GB2312" w:cs="仿宋_GB2312"/>
              </w:rPr>
              <w:t>可持续影响指标</w:t>
            </w:r>
          </w:p>
        </w:tc>
        <w:tc>
          <w:tcPr>
            <w:tcW w:w="662" w:type="pct"/>
            <w:vAlign w:val="center"/>
          </w:tcPr>
          <w:p>
            <w:pPr>
              <w:pStyle w:val="20"/>
              <w:spacing w:line="300" w:lineRule="exact"/>
              <w:rPr>
                <w:rFonts w:hint="eastAsia" w:ascii="仿宋_GB2312" w:hAnsi="仿宋_GB2312" w:eastAsia="仿宋_GB2312" w:cs="仿宋_GB2312"/>
              </w:rPr>
            </w:pPr>
            <w:r>
              <w:rPr>
                <w:rFonts w:hint="eastAsia" w:ascii="仿宋_GB2312" w:hAnsi="仿宋_GB2312" w:eastAsia="仿宋_GB2312" w:cs="仿宋_GB2312"/>
              </w:rPr>
              <w:t>提升人民群众对精神文化的需求</w:t>
            </w:r>
          </w:p>
        </w:tc>
        <w:tc>
          <w:tcPr>
            <w:tcW w:w="915" w:type="pct"/>
            <w:vAlign w:val="center"/>
          </w:tcPr>
          <w:p>
            <w:pPr>
              <w:pStyle w:val="20"/>
              <w:spacing w:line="300" w:lineRule="exact"/>
              <w:rPr>
                <w:rFonts w:hint="eastAsia" w:ascii="仿宋_GB2312" w:hAnsi="仿宋_GB2312" w:eastAsia="仿宋_GB2312" w:cs="仿宋_GB2312"/>
              </w:rPr>
            </w:pPr>
            <w:r>
              <w:rPr>
                <w:rFonts w:hint="eastAsia" w:ascii="仿宋_GB2312" w:hAnsi="仿宋_GB2312" w:eastAsia="仿宋_GB2312" w:cs="仿宋_GB2312"/>
              </w:rPr>
              <w:t>能够长期较好的开展展演、展示，长期满足人民群众对精神文化的需求</w:t>
            </w:r>
          </w:p>
        </w:tc>
        <w:tc>
          <w:tcPr>
            <w:tcW w:w="255" w:type="pct"/>
            <w:vAlign w:val="center"/>
          </w:tcPr>
          <w:p>
            <w:pPr>
              <w:pStyle w:val="20"/>
              <w:spacing w:line="300" w:lineRule="exact"/>
              <w:rPr>
                <w:rFonts w:hint="eastAsia" w:ascii="仿宋_GB2312" w:hAnsi="仿宋_GB2312" w:eastAsia="仿宋_GB2312" w:cs="仿宋_GB2312"/>
              </w:rPr>
            </w:pPr>
            <w:r>
              <w:rPr>
                <w:rFonts w:hint="eastAsia" w:ascii="仿宋_GB2312" w:hAnsi="仿宋_GB2312" w:eastAsia="仿宋_GB2312" w:cs="仿宋_GB2312"/>
              </w:rPr>
              <w:t>提升</w:t>
            </w:r>
          </w:p>
        </w:tc>
        <w:tc>
          <w:tcPr>
            <w:tcW w:w="2470" w:type="pct"/>
            <w:vAlign w:val="center"/>
          </w:tcPr>
          <w:p>
            <w:pPr>
              <w:pStyle w:val="20"/>
              <w:spacing w:line="300" w:lineRule="exact"/>
              <w:rPr>
                <w:rFonts w:hint="eastAsia" w:ascii="仿宋_GB2312" w:hAnsi="仿宋_GB2312" w:eastAsia="仿宋_GB2312" w:cs="仿宋_GB2312"/>
              </w:rPr>
            </w:pPr>
            <w:r>
              <w:rPr>
                <w:rFonts w:hint="eastAsia" w:ascii="仿宋_GB2312" w:hAnsi="仿宋_GB2312" w:eastAsia="仿宋_GB2312" w:cs="仿宋_GB2312"/>
              </w:rPr>
              <w:t>关于《中央补助地方公共文化服务体系建设专项资金管理暂行办法》的通知（财教【2015】527号）关于提前下达2022年公共文化服务体系建设市级补助资金的通知（廊财教【2021】40号）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 w:type="pct"/>
            <w:vAlign w:val="center"/>
          </w:tcPr>
          <w:p>
            <w:pPr>
              <w:pStyle w:val="21"/>
              <w:spacing w:line="300" w:lineRule="exact"/>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406" w:type="pct"/>
            <w:vAlign w:val="center"/>
          </w:tcPr>
          <w:p>
            <w:pPr>
              <w:pStyle w:val="20"/>
              <w:spacing w:line="300" w:lineRule="exact"/>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662" w:type="pct"/>
            <w:vAlign w:val="center"/>
          </w:tcPr>
          <w:p>
            <w:pPr>
              <w:pStyle w:val="20"/>
              <w:spacing w:line="300" w:lineRule="exact"/>
              <w:rPr>
                <w:rFonts w:hint="eastAsia" w:ascii="仿宋_GB2312" w:hAnsi="仿宋_GB2312" w:eastAsia="仿宋_GB2312" w:cs="仿宋_GB2312"/>
              </w:rPr>
            </w:pPr>
            <w:r>
              <w:rPr>
                <w:rFonts w:hint="eastAsia" w:ascii="仿宋_GB2312" w:hAnsi="仿宋_GB2312" w:eastAsia="仿宋_GB2312" w:cs="仿宋_GB2312"/>
              </w:rPr>
              <w:t>群众满意度</w:t>
            </w:r>
          </w:p>
        </w:tc>
        <w:tc>
          <w:tcPr>
            <w:tcW w:w="915" w:type="pct"/>
            <w:vAlign w:val="center"/>
          </w:tcPr>
          <w:p>
            <w:pPr>
              <w:pStyle w:val="20"/>
              <w:spacing w:line="300" w:lineRule="exact"/>
              <w:rPr>
                <w:rFonts w:hint="eastAsia" w:ascii="仿宋_GB2312" w:hAnsi="仿宋_GB2312" w:eastAsia="仿宋_GB2312" w:cs="仿宋_GB2312"/>
              </w:rPr>
            </w:pPr>
            <w:r>
              <w:rPr>
                <w:rFonts w:hint="eastAsia" w:ascii="仿宋_GB2312" w:hAnsi="仿宋_GB2312" w:eastAsia="仿宋_GB2312" w:cs="仿宋_GB2312"/>
              </w:rPr>
              <w:t>调查中满意和较满意的人数占调查总人数的比率</w:t>
            </w:r>
          </w:p>
        </w:tc>
        <w:tc>
          <w:tcPr>
            <w:tcW w:w="255" w:type="pct"/>
            <w:vAlign w:val="center"/>
          </w:tcPr>
          <w:p>
            <w:pPr>
              <w:pStyle w:val="20"/>
              <w:spacing w:line="300" w:lineRule="exact"/>
              <w:rPr>
                <w:rFonts w:hint="eastAsia" w:ascii="仿宋_GB2312" w:hAnsi="仿宋_GB2312" w:eastAsia="仿宋_GB2312" w:cs="仿宋_GB2312"/>
              </w:rPr>
            </w:pPr>
            <w:r>
              <w:rPr>
                <w:rFonts w:hint="eastAsia" w:ascii="仿宋_GB2312" w:hAnsi="仿宋_GB2312" w:eastAsia="仿宋_GB2312" w:cs="仿宋_GB2312"/>
              </w:rPr>
              <w:t>≥90%</w:t>
            </w:r>
          </w:p>
        </w:tc>
        <w:tc>
          <w:tcPr>
            <w:tcW w:w="2470" w:type="pct"/>
            <w:vAlign w:val="center"/>
          </w:tcPr>
          <w:p>
            <w:pPr>
              <w:pStyle w:val="20"/>
              <w:spacing w:line="300" w:lineRule="exact"/>
              <w:rPr>
                <w:rFonts w:hint="eastAsia" w:ascii="仿宋_GB2312" w:hAnsi="仿宋_GB2312" w:eastAsia="仿宋_GB2312" w:cs="仿宋_GB2312"/>
              </w:rPr>
            </w:pPr>
            <w:r>
              <w:rPr>
                <w:rFonts w:hint="eastAsia" w:ascii="仿宋_GB2312" w:hAnsi="仿宋_GB2312" w:eastAsia="仿宋_GB2312" w:cs="仿宋_GB2312"/>
              </w:rPr>
              <w:t>实际调查</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docGrid w:linePitch="312" w:charSpace="0"/>
        </w:sectPr>
      </w:pPr>
    </w:p>
    <w:p>
      <w:pPr>
        <w:jc w:val="center"/>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ind w:firstLine="560"/>
        <w:jc w:val="left"/>
        <w:outlineLvl w:val="3"/>
        <w:rPr>
          <w:rFonts w:hint="eastAsia" w:ascii="仿宋_GB2312" w:hAnsi="仿宋_GB2312" w:eastAsia="仿宋_GB2312" w:cs="仿宋_GB2312"/>
        </w:rPr>
      </w:pPr>
      <w:bookmarkStart w:id="11" w:name="_Toc_4_4_0000000015"/>
      <w:r>
        <w:rPr>
          <w:rFonts w:hint="eastAsia" w:ascii="仿宋_GB2312" w:hAnsi="仿宋_GB2312" w:eastAsia="仿宋_GB2312" w:cs="仿宋_GB2312"/>
          <w:color w:val="000000"/>
          <w:sz w:val="28"/>
        </w:rPr>
        <w:t>12.公共文化服务体系建设资金[中央]绩效目标表</w:t>
      </w:r>
      <w:bookmarkEnd w:id="11"/>
    </w:p>
    <w:tbl>
      <w:tblPr>
        <w:tblStyle w:val="11"/>
        <w:tblW w:w="5000"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817"/>
        <w:gridCol w:w="13121"/>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 w:type="pct"/>
            <w:vAlign w:val="center"/>
          </w:tcPr>
          <w:p>
            <w:pPr>
              <w:pStyle w:val="19"/>
              <w:rPr>
                <w:rFonts w:hint="eastAsia" w:ascii="仿宋_GB2312" w:hAnsi="仿宋_GB2312" w:eastAsia="仿宋_GB2312" w:cs="仿宋_GB2312"/>
              </w:rPr>
            </w:pPr>
            <w:r>
              <w:rPr>
                <w:rFonts w:hint="eastAsia" w:ascii="仿宋_GB2312" w:hAnsi="仿宋_GB2312" w:eastAsia="仿宋_GB2312" w:cs="仿宋_GB2312"/>
              </w:rPr>
              <w:t>绩效目标</w:t>
            </w:r>
          </w:p>
        </w:tc>
        <w:tc>
          <w:tcPr>
            <w:tcW w:w="4707"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1.丰富人民群众精神文化生活，加快构建现代公共文化服务体系建设，推进公共文化服务水平的提高，推进公共文化服务体系标准化、均等化发展。</w:t>
            </w:r>
          </w:p>
        </w:tc>
      </w:tr>
    </w:tbl>
    <w:p>
      <w:pPr>
        <w:spacing w:line="2" w:lineRule="exact"/>
        <w:jc w:val="center"/>
        <w:rPr>
          <w:rFonts w:hint="eastAsia" w:ascii="仿宋_GB2312" w:hAnsi="仿宋_GB2312" w:eastAsia="仿宋_GB2312" w:cs="仿宋_GB2312"/>
        </w:rPr>
      </w:pPr>
      <w:r>
        <w:rPr>
          <w:rFonts w:hint="eastAsia" w:ascii="仿宋_GB2312" w:hAnsi="仿宋_GB2312" w:eastAsia="仿宋_GB2312" w:cs="仿宋_GB2312"/>
          <w:color w:val="000000"/>
        </w:rPr>
        <w:t xml:space="preserve"> </w:t>
      </w:r>
    </w:p>
    <w:tbl>
      <w:tblPr>
        <w:tblStyle w:val="11"/>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01"/>
        <w:gridCol w:w="1277"/>
        <w:gridCol w:w="1703"/>
        <w:gridCol w:w="2551"/>
        <w:gridCol w:w="992"/>
        <w:gridCol w:w="63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395" w:type="pct"/>
            <w:vAlign w:val="center"/>
          </w:tcPr>
          <w:p>
            <w:pPr>
              <w:pStyle w:val="19"/>
              <w:rPr>
                <w:rFonts w:hint="eastAsia" w:ascii="仿宋_GB2312" w:hAnsi="仿宋_GB2312" w:eastAsia="仿宋_GB2312" w:cs="仿宋_GB2312"/>
              </w:rPr>
            </w:pPr>
            <w:r>
              <w:rPr>
                <w:rFonts w:hint="eastAsia" w:ascii="仿宋_GB2312" w:hAnsi="仿宋_GB2312" w:eastAsia="仿宋_GB2312" w:cs="仿宋_GB2312"/>
              </w:rPr>
              <w:t>一级指标</w:t>
            </w:r>
          </w:p>
        </w:tc>
        <w:tc>
          <w:tcPr>
            <w:tcW w:w="458" w:type="pct"/>
            <w:vAlign w:val="center"/>
          </w:tcPr>
          <w:p>
            <w:pPr>
              <w:pStyle w:val="19"/>
              <w:rPr>
                <w:rFonts w:hint="eastAsia" w:ascii="仿宋_GB2312" w:hAnsi="仿宋_GB2312" w:eastAsia="仿宋_GB2312" w:cs="仿宋_GB2312"/>
              </w:rPr>
            </w:pPr>
            <w:r>
              <w:rPr>
                <w:rFonts w:hint="eastAsia" w:ascii="仿宋_GB2312" w:hAnsi="仿宋_GB2312" w:eastAsia="仿宋_GB2312" w:cs="仿宋_GB2312"/>
              </w:rPr>
              <w:t>二级指标</w:t>
            </w:r>
          </w:p>
        </w:tc>
        <w:tc>
          <w:tcPr>
            <w:tcW w:w="611" w:type="pct"/>
            <w:vAlign w:val="center"/>
          </w:tcPr>
          <w:p>
            <w:pPr>
              <w:pStyle w:val="19"/>
              <w:rPr>
                <w:rFonts w:hint="eastAsia" w:ascii="仿宋_GB2312" w:hAnsi="仿宋_GB2312" w:eastAsia="仿宋_GB2312" w:cs="仿宋_GB2312"/>
              </w:rPr>
            </w:pPr>
            <w:r>
              <w:rPr>
                <w:rFonts w:hint="eastAsia" w:ascii="仿宋_GB2312" w:hAnsi="仿宋_GB2312" w:eastAsia="仿宋_GB2312" w:cs="仿宋_GB2312"/>
              </w:rPr>
              <w:t>三级指标</w:t>
            </w:r>
          </w:p>
        </w:tc>
        <w:tc>
          <w:tcPr>
            <w:tcW w:w="915" w:type="pct"/>
            <w:vAlign w:val="center"/>
          </w:tcPr>
          <w:p>
            <w:pPr>
              <w:pStyle w:val="19"/>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356" w:type="pct"/>
            <w:vAlign w:val="center"/>
          </w:tcPr>
          <w:p>
            <w:pPr>
              <w:pStyle w:val="19"/>
              <w:rPr>
                <w:rFonts w:hint="eastAsia" w:ascii="仿宋_GB2312" w:hAnsi="仿宋_GB2312" w:eastAsia="仿宋_GB2312" w:cs="仿宋_GB2312"/>
              </w:rPr>
            </w:pPr>
            <w:r>
              <w:rPr>
                <w:rFonts w:hint="eastAsia" w:ascii="仿宋_GB2312" w:hAnsi="仿宋_GB2312" w:eastAsia="仿宋_GB2312" w:cs="仿宋_GB2312"/>
              </w:rPr>
              <w:t>指标值</w:t>
            </w:r>
          </w:p>
        </w:tc>
        <w:tc>
          <w:tcPr>
            <w:tcW w:w="2266" w:type="pct"/>
            <w:vAlign w:val="center"/>
          </w:tcPr>
          <w:p>
            <w:pPr>
              <w:pStyle w:val="19"/>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5" w:type="pct"/>
            <w:vMerge w:val="restart"/>
            <w:vAlign w:val="center"/>
          </w:tcPr>
          <w:p>
            <w:pPr>
              <w:pStyle w:val="21"/>
              <w:rPr>
                <w:rFonts w:hint="eastAsia" w:ascii="仿宋_GB2312" w:hAnsi="仿宋_GB2312" w:eastAsia="仿宋_GB2312" w:cs="仿宋_GB2312"/>
              </w:rPr>
            </w:pPr>
            <w:r>
              <w:rPr>
                <w:rFonts w:hint="eastAsia" w:ascii="仿宋_GB2312" w:hAnsi="仿宋_GB2312" w:eastAsia="仿宋_GB2312" w:cs="仿宋_GB2312"/>
              </w:rPr>
              <w:t>产出指标</w:t>
            </w:r>
          </w:p>
        </w:tc>
        <w:tc>
          <w:tcPr>
            <w:tcW w:w="458"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数量指标</w:t>
            </w:r>
          </w:p>
        </w:tc>
        <w:tc>
          <w:tcPr>
            <w:tcW w:w="611"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补助农村电影放映、农家书屋行政村数</w:t>
            </w:r>
          </w:p>
        </w:tc>
        <w:tc>
          <w:tcPr>
            <w:tcW w:w="915"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补助农村电影放映、农家书屋行政村数</w:t>
            </w:r>
          </w:p>
        </w:tc>
        <w:tc>
          <w:tcPr>
            <w:tcW w:w="356"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≤151村</w:t>
            </w:r>
          </w:p>
        </w:tc>
        <w:tc>
          <w:tcPr>
            <w:tcW w:w="2266"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关于《中央补助地方公共文化服务体系建设专项资金管理暂行办法》的通知（财教【2015】527号）关于提前下达2021年中央补助地方公共文化服务体系建设专项资金的通（廊财教【2021】36号）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5" w:type="pct"/>
            <w:vMerge w:val="continue"/>
            <w:vAlign w:val="center"/>
          </w:tcPr>
          <w:p>
            <w:pPr>
              <w:rPr>
                <w:rFonts w:hint="eastAsia" w:ascii="仿宋_GB2312" w:hAnsi="仿宋_GB2312" w:eastAsia="仿宋_GB2312" w:cs="仿宋_GB2312"/>
              </w:rPr>
            </w:pPr>
          </w:p>
        </w:tc>
        <w:tc>
          <w:tcPr>
            <w:tcW w:w="458"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数量指标</w:t>
            </w:r>
          </w:p>
        </w:tc>
        <w:tc>
          <w:tcPr>
            <w:tcW w:w="611"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购买图书册数</w:t>
            </w:r>
          </w:p>
        </w:tc>
        <w:tc>
          <w:tcPr>
            <w:tcW w:w="915"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购买图书册数</w:t>
            </w:r>
          </w:p>
        </w:tc>
        <w:tc>
          <w:tcPr>
            <w:tcW w:w="356"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≤8924册</w:t>
            </w:r>
          </w:p>
        </w:tc>
        <w:tc>
          <w:tcPr>
            <w:tcW w:w="2266"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关于《中央补助地方公共文化服务体系建设专项资金管理暂行办法》的通知（财教【2015】527号）关于提前下达2021年中央补助地方公共文化服务体系建设专项资金的通（廊财教【2021】36号）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5" w:type="pct"/>
            <w:vMerge w:val="continue"/>
            <w:vAlign w:val="center"/>
          </w:tcPr>
          <w:p>
            <w:pPr>
              <w:rPr>
                <w:rFonts w:hint="eastAsia" w:ascii="仿宋_GB2312" w:hAnsi="仿宋_GB2312" w:eastAsia="仿宋_GB2312" w:cs="仿宋_GB2312"/>
              </w:rPr>
            </w:pPr>
          </w:p>
        </w:tc>
        <w:tc>
          <w:tcPr>
            <w:tcW w:w="458"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质量指标</w:t>
            </w:r>
          </w:p>
        </w:tc>
        <w:tc>
          <w:tcPr>
            <w:tcW w:w="611"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全民阅读率</w:t>
            </w:r>
          </w:p>
        </w:tc>
        <w:tc>
          <w:tcPr>
            <w:tcW w:w="915"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全民阅读率</w:t>
            </w:r>
          </w:p>
        </w:tc>
        <w:tc>
          <w:tcPr>
            <w:tcW w:w="356"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≥90%</w:t>
            </w:r>
          </w:p>
        </w:tc>
        <w:tc>
          <w:tcPr>
            <w:tcW w:w="2266"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关于《中央补助地方公共文化服务体系建设专项资金管理暂行办法》的通知（财教【2015】527号）关于提前下达2021年中央补助地方公共文化服务体系建设专项资金的通（廊财教【2021】36号）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5" w:type="pct"/>
            <w:vMerge w:val="continue"/>
            <w:vAlign w:val="center"/>
          </w:tcPr>
          <w:p>
            <w:pPr>
              <w:rPr>
                <w:rFonts w:hint="eastAsia" w:ascii="仿宋_GB2312" w:hAnsi="仿宋_GB2312" w:eastAsia="仿宋_GB2312" w:cs="仿宋_GB2312"/>
              </w:rPr>
            </w:pPr>
          </w:p>
        </w:tc>
        <w:tc>
          <w:tcPr>
            <w:tcW w:w="458"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时效指标</w:t>
            </w:r>
          </w:p>
        </w:tc>
        <w:tc>
          <w:tcPr>
            <w:tcW w:w="611"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工作按时完成率</w:t>
            </w:r>
          </w:p>
        </w:tc>
        <w:tc>
          <w:tcPr>
            <w:tcW w:w="915"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工作按时完成率</w:t>
            </w:r>
          </w:p>
        </w:tc>
        <w:tc>
          <w:tcPr>
            <w:tcW w:w="356"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≥90%</w:t>
            </w:r>
          </w:p>
        </w:tc>
        <w:tc>
          <w:tcPr>
            <w:tcW w:w="2266"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关于《中央补助地方公共文化服务体系建设专项资金管理暂行办法》的通知（财教【2015】527号）关于提前下达2021年中央补助地方公共文化服务体系建设专项资金的通（廊财教【2021】36号）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5" w:type="pct"/>
            <w:vMerge w:val="continue"/>
            <w:vAlign w:val="center"/>
          </w:tcPr>
          <w:p>
            <w:pPr>
              <w:rPr>
                <w:rFonts w:hint="eastAsia" w:ascii="仿宋_GB2312" w:hAnsi="仿宋_GB2312" w:eastAsia="仿宋_GB2312" w:cs="仿宋_GB2312"/>
              </w:rPr>
            </w:pPr>
          </w:p>
        </w:tc>
        <w:tc>
          <w:tcPr>
            <w:tcW w:w="458"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成本指标</w:t>
            </w:r>
          </w:p>
        </w:tc>
        <w:tc>
          <w:tcPr>
            <w:tcW w:w="611"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成本控制</w:t>
            </w:r>
          </w:p>
        </w:tc>
        <w:tc>
          <w:tcPr>
            <w:tcW w:w="915"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成本控制情况</w:t>
            </w:r>
          </w:p>
        </w:tc>
        <w:tc>
          <w:tcPr>
            <w:tcW w:w="356"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≤33.22万元</w:t>
            </w:r>
          </w:p>
        </w:tc>
        <w:tc>
          <w:tcPr>
            <w:tcW w:w="2266"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关于《中央补助地方公共文化服务体系建设专项资金管理暂行办法》的通知（财教【2015】527号）关于提前下达2021年中央补助地方公共文化服务体系建设专项资金的通（廊财教【2021】36号）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5" w:type="pct"/>
            <w:vAlign w:val="center"/>
          </w:tcPr>
          <w:p>
            <w:pPr>
              <w:pStyle w:val="21"/>
              <w:rPr>
                <w:rFonts w:hint="eastAsia" w:ascii="仿宋_GB2312" w:hAnsi="仿宋_GB2312" w:eastAsia="仿宋_GB2312" w:cs="仿宋_GB2312"/>
              </w:rPr>
            </w:pPr>
            <w:r>
              <w:rPr>
                <w:rFonts w:hint="eastAsia" w:ascii="仿宋_GB2312" w:hAnsi="仿宋_GB2312" w:eastAsia="仿宋_GB2312" w:cs="仿宋_GB2312"/>
              </w:rPr>
              <w:t>效益指标</w:t>
            </w:r>
          </w:p>
        </w:tc>
        <w:tc>
          <w:tcPr>
            <w:tcW w:w="458"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611"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提升人民群众对精神文化的需求</w:t>
            </w:r>
          </w:p>
        </w:tc>
        <w:tc>
          <w:tcPr>
            <w:tcW w:w="915"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能够长期较好的开展展演、展示，长期满足人民群众对精神文化的需求</w:t>
            </w:r>
          </w:p>
        </w:tc>
        <w:tc>
          <w:tcPr>
            <w:tcW w:w="356"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提升</w:t>
            </w:r>
          </w:p>
        </w:tc>
        <w:tc>
          <w:tcPr>
            <w:tcW w:w="2266"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关于《中央补助地方公共文化服务体系建设专项资金管理暂行办法》的通知（财教【2015】527号）关于提前下达2021年中央补助地方公共文化服务体系建设专项资金的通（廊财教【2021】36号）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5" w:type="pct"/>
            <w:vAlign w:val="center"/>
          </w:tcPr>
          <w:p>
            <w:pPr>
              <w:pStyle w:val="21"/>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458"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611"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群众满意度</w:t>
            </w:r>
          </w:p>
        </w:tc>
        <w:tc>
          <w:tcPr>
            <w:tcW w:w="915"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调查中满意和较满意的人数占调查总人数的比率</w:t>
            </w:r>
          </w:p>
        </w:tc>
        <w:tc>
          <w:tcPr>
            <w:tcW w:w="356"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≥90%</w:t>
            </w:r>
          </w:p>
        </w:tc>
        <w:tc>
          <w:tcPr>
            <w:tcW w:w="2266"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实际调查</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docGrid w:linePitch="312" w:charSpace="0"/>
        </w:sectPr>
      </w:pPr>
    </w:p>
    <w:p>
      <w:pPr>
        <w:jc w:val="center"/>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ind w:firstLine="560"/>
        <w:jc w:val="left"/>
        <w:outlineLvl w:val="3"/>
        <w:rPr>
          <w:rFonts w:hint="eastAsia" w:ascii="仿宋_GB2312" w:hAnsi="仿宋_GB2312" w:eastAsia="仿宋_GB2312" w:cs="仿宋_GB2312"/>
        </w:rPr>
      </w:pPr>
      <w:bookmarkStart w:id="12" w:name="_Toc_4_4_0000000016"/>
      <w:r>
        <w:rPr>
          <w:rFonts w:hint="eastAsia" w:ascii="仿宋_GB2312" w:hAnsi="仿宋_GB2312" w:eastAsia="仿宋_GB2312" w:cs="仿宋_GB2312"/>
          <w:color w:val="000000"/>
          <w:sz w:val="28"/>
        </w:rPr>
        <w:t>13.国防教育经费绩效目标表</w:t>
      </w:r>
      <w:bookmarkEnd w:id="12"/>
    </w:p>
    <w:tbl>
      <w:tblPr>
        <w:tblStyle w:val="11"/>
        <w:tblW w:w="5000"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8"/>
        <w:gridCol w:w="12140"/>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Align w:val="center"/>
          </w:tcPr>
          <w:p>
            <w:pPr>
              <w:pStyle w:val="19"/>
              <w:rPr>
                <w:rFonts w:hint="eastAsia" w:ascii="仿宋_GB2312" w:hAnsi="仿宋_GB2312" w:eastAsia="仿宋_GB2312" w:cs="仿宋_GB2312"/>
              </w:rPr>
            </w:pPr>
            <w:r>
              <w:rPr>
                <w:rFonts w:hint="eastAsia" w:ascii="仿宋_GB2312" w:hAnsi="仿宋_GB2312" w:eastAsia="仿宋_GB2312" w:cs="仿宋_GB2312"/>
              </w:rPr>
              <w:t>绩效目标</w:t>
            </w:r>
          </w:p>
        </w:tc>
        <w:tc>
          <w:tcPr>
            <w:tcW w:w="4355"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1.通过组织开展丰富多彩的国防教育活动，有利于营造全社会关心国防、热爱国防、建设国防、保卫国防的浓厚氛围，有效提高公民的国防观念和自觉履行国防义务的意识，自觉为双拥共建和国防建设贡献力量。</w:t>
            </w:r>
          </w:p>
        </w:tc>
      </w:tr>
    </w:tbl>
    <w:p>
      <w:pPr>
        <w:spacing w:line="2" w:lineRule="exact"/>
        <w:jc w:val="center"/>
        <w:rPr>
          <w:rFonts w:hint="eastAsia" w:ascii="仿宋_GB2312" w:hAnsi="仿宋_GB2312" w:eastAsia="仿宋_GB2312" w:cs="仿宋_GB2312"/>
        </w:rPr>
      </w:pPr>
      <w:r>
        <w:rPr>
          <w:rFonts w:hint="eastAsia" w:ascii="仿宋_GB2312" w:hAnsi="仿宋_GB2312" w:eastAsia="仿宋_GB2312" w:cs="仿宋_GB2312"/>
          <w:color w:val="000000"/>
        </w:rPr>
        <w:t xml:space="preserve"> </w:t>
      </w:r>
    </w:p>
    <w:tbl>
      <w:tblPr>
        <w:tblStyle w:val="11"/>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8"/>
        <w:gridCol w:w="1798"/>
        <w:gridCol w:w="1876"/>
        <w:gridCol w:w="4073"/>
        <w:gridCol w:w="1798"/>
        <w:gridCol w:w="25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45" w:type="pct"/>
            <w:vAlign w:val="center"/>
          </w:tcPr>
          <w:p>
            <w:pPr>
              <w:pStyle w:val="19"/>
              <w:rPr>
                <w:rFonts w:hint="eastAsia" w:ascii="仿宋_GB2312" w:hAnsi="仿宋_GB2312" w:eastAsia="仿宋_GB2312" w:cs="仿宋_GB2312"/>
              </w:rPr>
            </w:pPr>
            <w:r>
              <w:rPr>
                <w:rFonts w:hint="eastAsia" w:ascii="仿宋_GB2312" w:hAnsi="仿宋_GB2312" w:eastAsia="仿宋_GB2312" w:cs="仿宋_GB2312"/>
              </w:rPr>
              <w:t>一级指标</w:t>
            </w:r>
          </w:p>
        </w:tc>
        <w:tc>
          <w:tcPr>
            <w:tcW w:w="645" w:type="pct"/>
            <w:vAlign w:val="center"/>
          </w:tcPr>
          <w:p>
            <w:pPr>
              <w:pStyle w:val="19"/>
              <w:rPr>
                <w:rFonts w:hint="eastAsia" w:ascii="仿宋_GB2312" w:hAnsi="仿宋_GB2312" w:eastAsia="仿宋_GB2312" w:cs="仿宋_GB2312"/>
              </w:rPr>
            </w:pPr>
            <w:r>
              <w:rPr>
                <w:rFonts w:hint="eastAsia" w:ascii="仿宋_GB2312" w:hAnsi="仿宋_GB2312" w:eastAsia="仿宋_GB2312" w:cs="仿宋_GB2312"/>
              </w:rPr>
              <w:t>二级指标</w:t>
            </w:r>
          </w:p>
        </w:tc>
        <w:tc>
          <w:tcPr>
            <w:tcW w:w="673" w:type="pct"/>
            <w:vAlign w:val="center"/>
          </w:tcPr>
          <w:p>
            <w:pPr>
              <w:pStyle w:val="19"/>
              <w:rPr>
                <w:rFonts w:hint="eastAsia" w:ascii="仿宋_GB2312" w:hAnsi="仿宋_GB2312" w:eastAsia="仿宋_GB2312" w:cs="仿宋_GB2312"/>
              </w:rPr>
            </w:pPr>
            <w:r>
              <w:rPr>
                <w:rFonts w:hint="eastAsia" w:ascii="仿宋_GB2312" w:hAnsi="仿宋_GB2312" w:eastAsia="仿宋_GB2312" w:cs="仿宋_GB2312"/>
              </w:rPr>
              <w:t>三级指标</w:t>
            </w:r>
          </w:p>
        </w:tc>
        <w:tc>
          <w:tcPr>
            <w:tcW w:w="1461" w:type="pct"/>
            <w:vAlign w:val="center"/>
          </w:tcPr>
          <w:p>
            <w:pPr>
              <w:pStyle w:val="19"/>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645" w:type="pct"/>
            <w:vAlign w:val="center"/>
          </w:tcPr>
          <w:p>
            <w:pPr>
              <w:pStyle w:val="19"/>
              <w:rPr>
                <w:rFonts w:hint="eastAsia" w:ascii="仿宋_GB2312" w:hAnsi="仿宋_GB2312" w:eastAsia="仿宋_GB2312" w:cs="仿宋_GB2312"/>
              </w:rPr>
            </w:pPr>
            <w:r>
              <w:rPr>
                <w:rFonts w:hint="eastAsia" w:ascii="仿宋_GB2312" w:hAnsi="仿宋_GB2312" w:eastAsia="仿宋_GB2312" w:cs="仿宋_GB2312"/>
              </w:rPr>
              <w:t>指标值</w:t>
            </w:r>
          </w:p>
        </w:tc>
        <w:tc>
          <w:tcPr>
            <w:tcW w:w="931" w:type="pct"/>
            <w:vAlign w:val="center"/>
          </w:tcPr>
          <w:p>
            <w:pPr>
              <w:pStyle w:val="19"/>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restart"/>
            <w:vAlign w:val="center"/>
          </w:tcPr>
          <w:p>
            <w:pPr>
              <w:pStyle w:val="21"/>
              <w:rPr>
                <w:rFonts w:hint="eastAsia" w:ascii="仿宋_GB2312" w:hAnsi="仿宋_GB2312" w:eastAsia="仿宋_GB2312" w:cs="仿宋_GB2312"/>
              </w:rPr>
            </w:pPr>
            <w:r>
              <w:rPr>
                <w:rFonts w:hint="eastAsia" w:ascii="仿宋_GB2312" w:hAnsi="仿宋_GB2312" w:eastAsia="仿宋_GB2312" w:cs="仿宋_GB2312"/>
              </w:rPr>
              <w:t>产出指标</w:t>
            </w:r>
          </w:p>
        </w:tc>
        <w:tc>
          <w:tcPr>
            <w:tcW w:w="645"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数量指标</w:t>
            </w:r>
          </w:p>
        </w:tc>
        <w:tc>
          <w:tcPr>
            <w:tcW w:w="673"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举办国防宣传活动数量　</w:t>
            </w:r>
          </w:p>
        </w:tc>
        <w:tc>
          <w:tcPr>
            <w:tcW w:w="1461"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举办宣传活动　</w:t>
            </w:r>
          </w:p>
        </w:tc>
        <w:tc>
          <w:tcPr>
            <w:tcW w:w="645"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≥3场</w:t>
            </w:r>
          </w:p>
        </w:tc>
        <w:tc>
          <w:tcPr>
            <w:tcW w:w="931"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廊发【2008】12号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vAlign w:val="center"/>
          </w:tcPr>
          <w:p>
            <w:pPr>
              <w:rPr>
                <w:rFonts w:hint="eastAsia" w:ascii="仿宋_GB2312" w:hAnsi="仿宋_GB2312" w:eastAsia="仿宋_GB2312" w:cs="仿宋_GB2312"/>
              </w:rPr>
            </w:pPr>
          </w:p>
        </w:tc>
        <w:tc>
          <w:tcPr>
            <w:tcW w:w="645"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质量指标</w:t>
            </w:r>
          </w:p>
        </w:tc>
        <w:tc>
          <w:tcPr>
            <w:tcW w:w="673"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　宣传工作合规率</w:t>
            </w:r>
          </w:p>
        </w:tc>
        <w:tc>
          <w:tcPr>
            <w:tcW w:w="1461"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宣传工作合规情况　</w:t>
            </w:r>
          </w:p>
        </w:tc>
        <w:tc>
          <w:tcPr>
            <w:tcW w:w="645"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100%　</w:t>
            </w:r>
          </w:p>
        </w:tc>
        <w:tc>
          <w:tcPr>
            <w:tcW w:w="931"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廊发【2008】12号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vAlign w:val="center"/>
          </w:tcPr>
          <w:p>
            <w:pPr>
              <w:rPr>
                <w:rFonts w:hint="eastAsia" w:ascii="仿宋_GB2312" w:hAnsi="仿宋_GB2312" w:eastAsia="仿宋_GB2312" w:cs="仿宋_GB2312"/>
              </w:rPr>
            </w:pPr>
          </w:p>
        </w:tc>
        <w:tc>
          <w:tcPr>
            <w:tcW w:w="645"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时效指标</w:t>
            </w:r>
          </w:p>
        </w:tc>
        <w:tc>
          <w:tcPr>
            <w:tcW w:w="673"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宣传工作及时性　</w:t>
            </w:r>
          </w:p>
        </w:tc>
        <w:tc>
          <w:tcPr>
            <w:tcW w:w="1461"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　宣传工作及时情况</w:t>
            </w:r>
          </w:p>
        </w:tc>
        <w:tc>
          <w:tcPr>
            <w:tcW w:w="645"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≥90%　</w:t>
            </w:r>
          </w:p>
        </w:tc>
        <w:tc>
          <w:tcPr>
            <w:tcW w:w="931"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廊发【2008】12号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vAlign w:val="center"/>
          </w:tcPr>
          <w:p>
            <w:pPr>
              <w:rPr>
                <w:rFonts w:hint="eastAsia" w:ascii="仿宋_GB2312" w:hAnsi="仿宋_GB2312" w:eastAsia="仿宋_GB2312" w:cs="仿宋_GB2312"/>
              </w:rPr>
            </w:pPr>
          </w:p>
        </w:tc>
        <w:tc>
          <w:tcPr>
            <w:tcW w:w="645"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成本指标</w:t>
            </w:r>
          </w:p>
        </w:tc>
        <w:tc>
          <w:tcPr>
            <w:tcW w:w="673"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成本控制　</w:t>
            </w:r>
          </w:p>
        </w:tc>
        <w:tc>
          <w:tcPr>
            <w:tcW w:w="1461"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成本控制情况　</w:t>
            </w:r>
          </w:p>
        </w:tc>
        <w:tc>
          <w:tcPr>
            <w:tcW w:w="645"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≤4万元　</w:t>
            </w:r>
          </w:p>
        </w:tc>
        <w:tc>
          <w:tcPr>
            <w:tcW w:w="931"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　廊发【2008】12号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Align w:val="center"/>
          </w:tcPr>
          <w:p>
            <w:pPr>
              <w:pStyle w:val="21"/>
              <w:rPr>
                <w:rFonts w:hint="eastAsia" w:ascii="仿宋_GB2312" w:hAnsi="仿宋_GB2312" w:eastAsia="仿宋_GB2312" w:cs="仿宋_GB2312"/>
              </w:rPr>
            </w:pPr>
            <w:r>
              <w:rPr>
                <w:rFonts w:hint="eastAsia" w:ascii="仿宋_GB2312" w:hAnsi="仿宋_GB2312" w:eastAsia="仿宋_GB2312" w:cs="仿宋_GB2312"/>
              </w:rPr>
              <w:t>效益指标</w:t>
            </w:r>
          </w:p>
        </w:tc>
        <w:tc>
          <w:tcPr>
            <w:tcW w:w="645"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673"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提高国防教育事业认知　</w:t>
            </w:r>
          </w:p>
        </w:tc>
        <w:tc>
          <w:tcPr>
            <w:tcW w:w="1461"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对国防事业认知情况　</w:t>
            </w:r>
          </w:p>
        </w:tc>
        <w:tc>
          <w:tcPr>
            <w:tcW w:w="645"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≥90%　</w:t>
            </w:r>
          </w:p>
        </w:tc>
        <w:tc>
          <w:tcPr>
            <w:tcW w:w="931"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廊发【2008】12号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Align w:val="center"/>
          </w:tcPr>
          <w:p>
            <w:pPr>
              <w:pStyle w:val="21"/>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645"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673"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群众满意　</w:t>
            </w:r>
          </w:p>
        </w:tc>
        <w:tc>
          <w:tcPr>
            <w:tcW w:w="1461"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满意的群众数量占总人数的比率</w:t>
            </w:r>
          </w:p>
        </w:tc>
        <w:tc>
          <w:tcPr>
            <w:tcW w:w="645"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≥90%</w:t>
            </w:r>
          </w:p>
        </w:tc>
        <w:tc>
          <w:tcPr>
            <w:tcW w:w="931"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实际调查</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docGrid w:linePitch="312" w:charSpace="0"/>
        </w:sectPr>
      </w:pPr>
    </w:p>
    <w:p>
      <w:pPr>
        <w:jc w:val="center"/>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ind w:firstLine="560"/>
        <w:jc w:val="left"/>
        <w:outlineLvl w:val="3"/>
        <w:rPr>
          <w:rFonts w:hint="eastAsia" w:ascii="仿宋_GB2312" w:hAnsi="仿宋_GB2312" w:eastAsia="仿宋_GB2312" w:cs="仿宋_GB2312"/>
        </w:rPr>
      </w:pPr>
      <w:bookmarkStart w:id="13" w:name="_Toc_4_4_0000000017"/>
      <w:r>
        <w:rPr>
          <w:rFonts w:hint="eastAsia" w:ascii="仿宋_GB2312" w:hAnsi="仿宋_GB2312" w:eastAsia="仿宋_GB2312" w:cs="仿宋_GB2312"/>
          <w:color w:val="000000"/>
          <w:sz w:val="28"/>
        </w:rPr>
        <w:t>14.十九届六中全会精神宣传经费绩效目标表</w:t>
      </w:r>
      <w:bookmarkEnd w:id="13"/>
    </w:p>
    <w:tbl>
      <w:tblPr>
        <w:tblStyle w:val="11"/>
        <w:tblW w:w="5000"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8"/>
        <w:gridCol w:w="12140"/>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Align w:val="center"/>
          </w:tcPr>
          <w:p>
            <w:pPr>
              <w:pStyle w:val="19"/>
              <w:rPr>
                <w:rFonts w:hint="eastAsia" w:ascii="仿宋_GB2312" w:hAnsi="仿宋_GB2312" w:eastAsia="仿宋_GB2312" w:cs="仿宋_GB2312"/>
              </w:rPr>
            </w:pPr>
            <w:r>
              <w:rPr>
                <w:rFonts w:hint="eastAsia" w:ascii="仿宋_GB2312" w:hAnsi="仿宋_GB2312" w:eastAsia="仿宋_GB2312" w:cs="仿宋_GB2312"/>
              </w:rPr>
              <w:t>绩效目标</w:t>
            </w:r>
          </w:p>
        </w:tc>
        <w:tc>
          <w:tcPr>
            <w:tcW w:w="4355"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1.扎实推动党的十九届六中全会精神学习贯彻，引导广大干部群众深刻领会全会精神的丰富内涵与核心要义，持续将党的十九届六中全会精神学习宣传贯彻引向深处。</w:t>
            </w:r>
          </w:p>
        </w:tc>
      </w:tr>
    </w:tbl>
    <w:p>
      <w:pPr>
        <w:spacing w:line="2" w:lineRule="exact"/>
        <w:jc w:val="center"/>
        <w:rPr>
          <w:rFonts w:hint="eastAsia" w:ascii="仿宋_GB2312" w:hAnsi="仿宋_GB2312" w:eastAsia="仿宋_GB2312" w:cs="仿宋_GB2312"/>
        </w:rPr>
      </w:pPr>
      <w:r>
        <w:rPr>
          <w:rFonts w:hint="eastAsia" w:ascii="仿宋_GB2312" w:hAnsi="仿宋_GB2312" w:eastAsia="仿宋_GB2312" w:cs="仿宋_GB2312"/>
          <w:color w:val="000000"/>
        </w:rPr>
        <w:t xml:space="preserve"> </w:t>
      </w:r>
    </w:p>
    <w:tbl>
      <w:tblPr>
        <w:tblStyle w:val="11"/>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1"/>
        <w:gridCol w:w="1991"/>
        <w:gridCol w:w="2607"/>
        <w:gridCol w:w="1598"/>
        <w:gridCol w:w="37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pPr>
              <w:pStyle w:val="19"/>
              <w:rPr>
                <w:rFonts w:hint="eastAsia" w:ascii="仿宋_GB2312" w:hAnsi="仿宋_GB2312" w:eastAsia="仿宋_GB2312" w:cs="仿宋_GB2312"/>
              </w:rPr>
            </w:pPr>
            <w:r>
              <w:rPr>
                <w:rFonts w:hint="eastAsia" w:ascii="仿宋_GB2312" w:hAnsi="仿宋_GB2312" w:eastAsia="仿宋_GB2312" w:cs="仿宋_GB2312"/>
              </w:rPr>
              <w:t>一级指标</w:t>
            </w:r>
          </w:p>
        </w:tc>
        <w:tc>
          <w:tcPr>
            <w:tcW w:w="714" w:type="pct"/>
            <w:vAlign w:val="center"/>
          </w:tcPr>
          <w:p>
            <w:pPr>
              <w:pStyle w:val="19"/>
              <w:rPr>
                <w:rFonts w:hint="eastAsia" w:ascii="仿宋_GB2312" w:hAnsi="仿宋_GB2312" w:eastAsia="仿宋_GB2312" w:cs="仿宋_GB2312"/>
              </w:rPr>
            </w:pPr>
            <w:r>
              <w:rPr>
                <w:rFonts w:hint="eastAsia" w:ascii="仿宋_GB2312" w:hAnsi="仿宋_GB2312" w:eastAsia="仿宋_GB2312" w:cs="仿宋_GB2312"/>
              </w:rPr>
              <w:t>二级指标</w:t>
            </w:r>
          </w:p>
        </w:tc>
        <w:tc>
          <w:tcPr>
            <w:tcW w:w="714" w:type="pct"/>
            <w:vAlign w:val="center"/>
          </w:tcPr>
          <w:p>
            <w:pPr>
              <w:pStyle w:val="19"/>
              <w:rPr>
                <w:rFonts w:hint="eastAsia" w:ascii="仿宋_GB2312" w:hAnsi="仿宋_GB2312" w:eastAsia="仿宋_GB2312" w:cs="仿宋_GB2312"/>
              </w:rPr>
            </w:pPr>
            <w:r>
              <w:rPr>
                <w:rFonts w:hint="eastAsia" w:ascii="仿宋_GB2312" w:hAnsi="仿宋_GB2312" w:eastAsia="仿宋_GB2312" w:cs="仿宋_GB2312"/>
              </w:rPr>
              <w:t>三级指标</w:t>
            </w:r>
          </w:p>
        </w:tc>
        <w:tc>
          <w:tcPr>
            <w:tcW w:w="935" w:type="pct"/>
            <w:vAlign w:val="center"/>
          </w:tcPr>
          <w:p>
            <w:pPr>
              <w:pStyle w:val="19"/>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573" w:type="pct"/>
            <w:vAlign w:val="center"/>
          </w:tcPr>
          <w:p>
            <w:pPr>
              <w:pStyle w:val="19"/>
              <w:rPr>
                <w:rFonts w:hint="eastAsia" w:ascii="仿宋_GB2312" w:hAnsi="仿宋_GB2312" w:eastAsia="仿宋_GB2312" w:cs="仿宋_GB2312"/>
              </w:rPr>
            </w:pPr>
            <w:r>
              <w:rPr>
                <w:rFonts w:hint="eastAsia" w:ascii="仿宋_GB2312" w:hAnsi="仿宋_GB2312" w:eastAsia="仿宋_GB2312" w:cs="仿宋_GB2312"/>
              </w:rPr>
              <w:t>指标值</w:t>
            </w:r>
          </w:p>
        </w:tc>
        <w:tc>
          <w:tcPr>
            <w:tcW w:w="1349" w:type="pct"/>
            <w:vAlign w:val="center"/>
          </w:tcPr>
          <w:p>
            <w:pPr>
              <w:pStyle w:val="19"/>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21"/>
              <w:rPr>
                <w:rFonts w:hint="eastAsia" w:ascii="仿宋_GB2312" w:hAnsi="仿宋_GB2312" w:eastAsia="仿宋_GB2312" w:cs="仿宋_GB2312"/>
              </w:rPr>
            </w:pPr>
            <w:r>
              <w:rPr>
                <w:rFonts w:hint="eastAsia" w:ascii="仿宋_GB2312" w:hAnsi="仿宋_GB2312" w:eastAsia="仿宋_GB2312" w:cs="仿宋_GB2312"/>
              </w:rPr>
              <w:t>产出指标</w:t>
            </w:r>
          </w:p>
        </w:tc>
        <w:tc>
          <w:tcPr>
            <w:tcW w:w="714"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数量指标</w:t>
            </w:r>
          </w:p>
        </w:tc>
        <w:tc>
          <w:tcPr>
            <w:tcW w:w="714"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开展十九届六中全会精神学习次数</w:t>
            </w:r>
          </w:p>
        </w:tc>
        <w:tc>
          <w:tcPr>
            <w:tcW w:w="935"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开展十九届六中全会精神学习次数</w:t>
            </w:r>
          </w:p>
        </w:tc>
        <w:tc>
          <w:tcPr>
            <w:tcW w:w="573"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≥6次</w:t>
            </w:r>
          </w:p>
        </w:tc>
        <w:tc>
          <w:tcPr>
            <w:tcW w:w="1349"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关于</w:t>
            </w:r>
            <w:r>
              <w:rPr>
                <w:rFonts w:hint="eastAsia" w:ascii="仿宋_GB2312" w:hAnsi="仿宋_GB2312" w:eastAsia="仿宋_GB2312" w:cs="仿宋_GB2312"/>
                <w:lang w:eastAsia="zh-CN"/>
              </w:rPr>
              <w:t>党的十九届六中全会精神</w:t>
            </w:r>
            <w:r>
              <w:rPr>
                <w:rFonts w:hint="eastAsia" w:ascii="仿宋_GB2312" w:hAnsi="仿宋_GB2312" w:eastAsia="仿宋_GB2312" w:cs="仿宋_GB2312"/>
              </w:rPr>
              <w:t>学习宣传工作推进经费的请示廊光宣请字【2022】1号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_GB2312" w:hAnsi="仿宋_GB2312" w:eastAsia="仿宋_GB2312" w:cs="仿宋_GB2312"/>
              </w:rPr>
            </w:pPr>
          </w:p>
        </w:tc>
        <w:tc>
          <w:tcPr>
            <w:tcW w:w="714"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质量指标</w:t>
            </w:r>
          </w:p>
        </w:tc>
        <w:tc>
          <w:tcPr>
            <w:tcW w:w="714"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工作计划按期完成率</w:t>
            </w:r>
          </w:p>
        </w:tc>
        <w:tc>
          <w:tcPr>
            <w:tcW w:w="935"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工作计划按期完成情况</w:t>
            </w:r>
          </w:p>
        </w:tc>
        <w:tc>
          <w:tcPr>
            <w:tcW w:w="573"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100%</w:t>
            </w:r>
          </w:p>
        </w:tc>
        <w:tc>
          <w:tcPr>
            <w:tcW w:w="1349"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关于</w:t>
            </w:r>
            <w:r>
              <w:rPr>
                <w:rFonts w:hint="eastAsia" w:ascii="仿宋_GB2312" w:hAnsi="仿宋_GB2312" w:eastAsia="仿宋_GB2312" w:cs="仿宋_GB2312"/>
                <w:lang w:eastAsia="zh-CN"/>
              </w:rPr>
              <w:t>党的十九届六中全会精神</w:t>
            </w:r>
            <w:r>
              <w:rPr>
                <w:rFonts w:hint="eastAsia" w:ascii="仿宋_GB2312" w:hAnsi="仿宋_GB2312" w:eastAsia="仿宋_GB2312" w:cs="仿宋_GB2312"/>
              </w:rPr>
              <w:t>学习宣传工作推进经费的请示廊光宣请字【2022】1号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_GB2312" w:hAnsi="仿宋_GB2312" w:eastAsia="仿宋_GB2312" w:cs="仿宋_GB2312"/>
              </w:rPr>
            </w:pPr>
          </w:p>
        </w:tc>
        <w:tc>
          <w:tcPr>
            <w:tcW w:w="714"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时效指标</w:t>
            </w:r>
          </w:p>
        </w:tc>
        <w:tc>
          <w:tcPr>
            <w:tcW w:w="714"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学习及时性</w:t>
            </w:r>
          </w:p>
        </w:tc>
        <w:tc>
          <w:tcPr>
            <w:tcW w:w="935"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学习及时性</w:t>
            </w:r>
          </w:p>
        </w:tc>
        <w:tc>
          <w:tcPr>
            <w:tcW w:w="573"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及时</w:t>
            </w:r>
          </w:p>
        </w:tc>
        <w:tc>
          <w:tcPr>
            <w:tcW w:w="1349"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关于</w:t>
            </w:r>
            <w:r>
              <w:rPr>
                <w:rFonts w:hint="eastAsia" w:ascii="仿宋_GB2312" w:hAnsi="仿宋_GB2312" w:eastAsia="仿宋_GB2312" w:cs="仿宋_GB2312"/>
                <w:lang w:eastAsia="zh-CN"/>
              </w:rPr>
              <w:t>党的十九届六中全会精神</w:t>
            </w:r>
            <w:r>
              <w:rPr>
                <w:rFonts w:hint="eastAsia" w:ascii="仿宋_GB2312" w:hAnsi="仿宋_GB2312" w:eastAsia="仿宋_GB2312" w:cs="仿宋_GB2312"/>
              </w:rPr>
              <w:t>学习宣传工作推进经费的请示廊光宣请字【2022】1号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_GB2312" w:hAnsi="仿宋_GB2312" w:eastAsia="仿宋_GB2312" w:cs="仿宋_GB2312"/>
              </w:rPr>
            </w:pPr>
          </w:p>
        </w:tc>
        <w:tc>
          <w:tcPr>
            <w:tcW w:w="714"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成本指标</w:t>
            </w:r>
          </w:p>
        </w:tc>
        <w:tc>
          <w:tcPr>
            <w:tcW w:w="714"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成本控制情况</w:t>
            </w:r>
          </w:p>
        </w:tc>
        <w:tc>
          <w:tcPr>
            <w:tcW w:w="935"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成本控制情况</w:t>
            </w:r>
          </w:p>
        </w:tc>
        <w:tc>
          <w:tcPr>
            <w:tcW w:w="573"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≤11万元</w:t>
            </w:r>
          </w:p>
        </w:tc>
        <w:tc>
          <w:tcPr>
            <w:tcW w:w="1349"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关于</w:t>
            </w:r>
            <w:r>
              <w:rPr>
                <w:rFonts w:hint="eastAsia" w:ascii="仿宋_GB2312" w:hAnsi="仿宋_GB2312" w:eastAsia="仿宋_GB2312" w:cs="仿宋_GB2312"/>
                <w:lang w:eastAsia="zh-CN"/>
              </w:rPr>
              <w:t>党的十九届六中全会精神</w:t>
            </w:r>
            <w:r>
              <w:rPr>
                <w:rFonts w:hint="eastAsia" w:ascii="仿宋_GB2312" w:hAnsi="仿宋_GB2312" w:eastAsia="仿宋_GB2312" w:cs="仿宋_GB2312"/>
              </w:rPr>
              <w:t>学习宣传工作推进经费的请示廊光宣请字【2022】1号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21"/>
              <w:rPr>
                <w:rFonts w:hint="eastAsia" w:ascii="仿宋_GB2312" w:hAnsi="仿宋_GB2312" w:eastAsia="仿宋_GB2312" w:cs="仿宋_GB2312"/>
              </w:rPr>
            </w:pPr>
            <w:r>
              <w:rPr>
                <w:rFonts w:hint="eastAsia" w:ascii="仿宋_GB2312" w:hAnsi="仿宋_GB2312" w:eastAsia="仿宋_GB2312" w:cs="仿宋_GB2312"/>
              </w:rPr>
              <w:t>效益指标</w:t>
            </w:r>
          </w:p>
        </w:tc>
        <w:tc>
          <w:tcPr>
            <w:tcW w:w="714"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714"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提高十九届六中全会学习精神</w:t>
            </w:r>
          </w:p>
        </w:tc>
        <w:tc>
          <w:tcPr>
            <w:tcW w:w="935"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提高十九届六中全会学习精神</w:t>
            </w:r>
          </w:p>
        </w:tc>
        <w:tc>
          <w:tcPr>
            <w:tcW w:w="573"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提高</w:t>
            </w:r>
          </w:p>
        </w:tc>
        <w:tc>
          <w:tcPr>
            <w:tcW w:w="1349"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关于</w:t>
            </w:r>
            <w:r>
              <w:rPr>
                <w:rFonts w:hint="eastAsia" w:ascii="仿宋_GB2312" w:hAnsi="仿宋_GB2312" w:eastAsia="仿宋_GB2312" w:cs="仿宋_GB2312"/>
                <w:lang w:eastAsia="zh-CN"/>
              </w:rPr>
              <w:t>党的十九届六中全会精神</w:t>
            </w:r>
            <w:r>
              <w:rPr>
                <w:rFonts w:hint="eastAsia" w:ascii="仿宋_GB2312" w:hAnsi="仿宋_GB2312" w:eastAsia="仿宋_GB2312" w:cs="仿宋_GB2312"/>
              </w:rPr>
              <w:t>学习宣传工作推进经费的请示廊光宣请字【2022】1号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21"/>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714"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714"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满意度</w:t>
            </w:r>
          </w:p>
        </w:tc>
        <w:tc>
          <w:tcPr>
            <w:tcW w:w="935"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学习人员满意度</w:t>
            </w:r>
          </w:p>
        </w:tc>
        <w:tc>
          <w:tcPr>
            <w:tcW w:w="573"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≥90%</w:t>
            </w:r>
          </w:p>
        </w:tc>
        <w:tc>
          <w:tcPr>
            <w:tcW w:w="1349"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实际调查</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docGrid w:linePitch="312" w:charSpace="0"/>
        </w:sectPr>
      </w:pPr>
    </w:p>
    <w:p>
      <w:pPr>
        <w:jc w:val="center"/>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ind w:firstLine="560"/>
        <w:jc w:val="left"/>
        <w:outlineLvl w:val="3"/>
        <w:rPr>
          <w:rFonts w:hint="eastAsia" w:ascii="仿宋_GB2312" w:hAnsi="仿宋_GB2312" w:eastAsia="仿宋_GB2312" w:cs="仿宋_GB2312"/>
        </w:rPr>
      </w:pPr>
      <w:bookmarkStart w:id="14" w:name="_Toc_4_4_0000000018"/>
      <w:r>
        <w:rPr>
          <w:rFonts w:hint="eastAsia" w:ascii="仿宋_GB2312" w:hAnsi="仿宋_GB2312" w:eastAsia="仿宋_GB2312" w:cs="仿宋_GB2312"/>
          <w:color w:val="000000"/>
          <w:sz w:val="28"/>
        </w:rPr>
        <w:t>15.文明城市创建经费绩效目标表</w:t>
      </w:r>
      <w:bookmarkEnd w:id="14"/>
    </w:p>
    <w:tbl>
      <w:tblPr>
        <w:tblStyle w:val="11"/>
        <w:tblW w:w="5000"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75"/>
        <w:gridCol w:w="1326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2" w:type="pct"/>
            <w:vAlign w:val="center"/>
          </w:tcPr>
          <w:p>
            <w:pPr>
              <w:pStyle w:val="19"/>
              <w:rPr>
                <w:rFonts w:hint="eastAsia" w:ascii="仿宋_GB2312" w:hAnsi="仿宋_GB2312" w:eastAsia="仿宋_GB2312" w:cs="仿宋_GB2312"/>
              </w:rPr>
            </w:pPr>
            <w:r>
              <w:rPr>
                <w:rFonts w:hint="eastAsia" w:ascii="仿宋_GB2312" w:hAnsi="仿宋_GB2312" w:eastAsia="仿宋_GB2312" w:cs="仿宋_GB2312"/>
              </w:rPr>
              <w:t>绩效目标</w:t>
            </w:r>
          </w:p>
        </w:tc>
        <w:tc>
          <w:tcPr>
            <w:tcW w:w="4758"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1.通过文明创建项目，一是巩固第六届全国文明城市创建成果，作为主城区确保顺利通过全国文明城市年度复检及省级文明城区复检和年检，二是全面提升广阳区域内整体文明程度和群众文明素质的提升。</w:t>
            </w:r>
          </w:p>
        </w:tc>
      </w:tr>
    </w:tbl>
    <w:p>
      <w:pPr>
        <w:spacing w:line="2" w:lineRule="exact"/>
        <w:jc w:val="center"/>
        <w:rPr>
          <w:rFonts w:hint="eastAsia" w:ascii="仿宋_GB2312" w:hAnsi="仿宋_GB2312" w:eastAsia="仿宋_GB2312" w:cs="仿宋_GB2312"/>
        </w:rPr>
      </w:pPr>
      <w:r>
        <w:rPr>
          <w:rFonts w:hint="eastAsia" w:ascii="仿宋_GB2312" w:hAnsi="仿宋_GB2312" w:eastAsia="仿宋_GB2312" w:cs="仿宋_GB2312"/>
          <w:color w:val="000000"/>
        </w:rPr>
        <w:t xml:space="preserve"> </w:t>
      </w:r>
    </w:p>
    <w:tbl>
      <w:tblPr>
        <w:tblStyle w:val="11"/>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74"/>
        <w:gridCol w:w="1277"/>
        <w:gridCol w:w="2411"/>
        <w:gridCol w:w="4675"/>
        <w:gridCol w:w="1419"/>
        <w:gridCol w:w="348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2" w:type="pct"/>
            <w:vAlign w:val="center"/>
          </w:tcPr>
          <w:p>
            <w:pPr>
              <w:pStyle w:val="19"/>
              <w:rPr>
                <w:rFonts w:hint="eastAsia" w:ascii="仿宋_GB2312" w:hAnsi="仿宋_GB2312" w:eastAsia="仿宋_GB2312" w:cs="仿宋_GB2312"/>
              </w:rPr>
            </w:pPr>
            <w:r>
              <w:rPr>
                <w:rFonts w:hint="eastAsia" w:ascii="仿宋_GB2312" w:hAnsi="仿宋_GB2312" w:eastAsia="仿宋_GB2312" w:cs="仿宋_GB2312"/>
              </w:rPr>
              <w:t>一级指标</w:t>
            </w:r>
          </w:p>
        </w:tc>
        <w:tc>
          <w:tcPr>
            <w:tcW w:w="458" w:type="pct"/>
            <w:vAlign w:val="center"/>
          </w:tcPr>
          <w:p>
            <w:pPr>
              <w:pStyle w:val="19"/>
              <w:rPr>
                <w:rFonts w:hint="eastAsia" w:ascii="仿宋_GB2312" w:hAnsi="仿宋_GB2312" w:eastAsia="仿宋_GB2312" w:cs="仿宋_GB2312"/>
              </w:rPr>
            </w:pPr>
            <w:r>
              <w:rPr>
                <w:rFonts w:hint="eastAsia" w:ascii="仿宋_GB2312" w:hAnsi="仿宋_GB2312" w:eastAsia="仿宋_GB2312" w:cs="仿宋_GB2312"/>
              </w:rPr>
              <w:t>二级指标</w:t>
            </w:r>
          </w:p>
        </w:tc>
        <w:tc>
          <w:tcPr>
            <w:tcW w:w="865" w:type="pct"/>
            <w:vAlign w:val="center"/>
          </w:tcPr>
          <w:p>
            <w:pPr>
              <w:pStyle w:val="19"/>
              <w:rPr>
                <w:rFonts w:hint="eastAsia" w:ascii="仿宋_GB2312" w:hAnsi="仿宋_GB2312" w:eastAsia="仿宋_GB2312" w:cs="仿宋_GB2312"/>
              </w:rPr>
            </w:pPr>
            <w:r>
              <w:rPr>
                <w:rFonts w:hint="eastAsia" w:ascii="仿宋_GB2312" w:hAnsi="仿宋_GB2312" w:eastAsia="仿宋_GB2312" w:cs="仿宋_GB2312"/>
              </w:rPr>
              <w:t>三级指标</w:t>
            </w:r>
          </w:p>
        </w:tc>
        <w:tc>
          <w:tcPr>
            <w:tcW w:w="1677" w:type="pct"/>
            <w:vAlign w:val="center"/>
          </w:tcPr>
          <w:p>
            <w:pPr>
              <w:pStyle w:val="19"/>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509" w:type="pct"/>
            <w:vAlign w:val="center"/>
          </w:tcPr>
          <w:p>
            <w:pPr>
              <w:pStyle w:val="19"/>
              <w:rPr>
                <w:rFonts w:hint="eastAsia" w:ascii="仿宋_GB2312" w:hAnsi="仿宋_GB2312" w:eastAsia="仿宋_GB2312" w:cs="仿宋_GB2312"/>
              </w:rPr>
            </w:pPr>
            <w:r>
              <w:rPr>
                <w:rFonts w:hint="eastAsia" w:ascii="仿宋_GB2312" w:hAnsi="仿宋_GB2312" w:eastAsia="仿宋_GB2312" w:cs="仿宋_GB2312"/>
              </w:rPr>
              <w:t>指标值</w:t>
            </w:r>
          </w:p>
        </w:tc>
        <w:tc>
          <w:tcPr>
            <w:tcW w:w="1249" w:type="pct"/>
            <w:vAlign w:val="center"/>
          </w:tcPr>
          <w:p>
            <w:pPr>
              <w:pStyle w:val="19"/>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2" w:type="pct"/>
            <w:vMerge w:val="restart"/>
            <w:vAlign w:val="center"/>
          </w:tcPr>
          <w:p>
            <w:pPr>
              <w:pStyle w:val="21"/>
              <w:rPr>
                <w:rFonts w:hint="eastAsia" w:ascii="仿宋_GB2312" w:hAnsi="仿宋_GB2312" w:eastAsia="仿宋_GB2312" w:cs="仿宋_GB2312"/>
              </w:rPr>
            </w:pPr>
            <w:r>
              <w:rPr>
                <w:rFonts w:hint="eastAsia" w:ascii="仿宋_GB2312" w:hAnsi="仿宋_GB2312" w:eastAsia="仿宋_GB2312" w:cs="仿宋_GB2312"/>
              </w:rPr>
              <w:t>产出指标</w:t>
            </w:r>
          </w:p>
        </w:tc>
        <w:tc>
          <w:tcPr>
            <w:tcW w:w="458"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数量指标</w:t>
            </w:r>
          </w:p>
        </w:tc>
        <w:tc>
          <w:tcPr>
            <w:tcW w:w="865"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主题志愿服务活动次数　</w:t>
            </w:r>
          </w:p>
        </w:tc>
        <w:tc>
          <w:tcPr>
            <w:tcW w:w="1677"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主题志愿服务活动次数　</w:t>
            </w:r>
          </w:p>
        </w:tc>
        <w:tc>
          <w:tcPr>
            <w:tcW w:w="509"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≥10次</w:t>
            </w:r>
          </w:p>
        </w:tc>
        <w:tc>
          <w:tcPr>
            <w:tcW w:w="1249"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　《全国文明城市测评体系》《河北省文明城区测评体系》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2" w:type="pct"/>
            <w:vMerge w:val="continue"/>
            <w:vAlign w:val="center"/>
          </w:tcPr>
          <w:p>
            <w:pPr>
              <w:rPr>
                <w:rFonts w:hint="eastAsia" w:ascii="仿宋_GB2312" w:hAnsi="仿宋_GB2312" w:eastAsia="仿宋_GB2312" w:cs="仿宋_GB2312"/>
              </w:rPr>
            </w:pPr>
          </w:p>
        </w:tc>
        <w:tc>
          <w:tcPr>
            <w:tcW w:w="458"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数量指标</w:t>
            </w:r>
          </w:p>
        </w:tc>
        <w:tc>
          <w:tcPr>
            <w:tcW w:w="865"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组织召开文明城市创建动员会、调度会</w:t>
            </w:r>
          </w:p>
        </w:tc>
        <w:tc>
          <w:tcPr>
            <w:tcW w:w="1677"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会议次数</w:t>
            </w:r>
          </w:p>
        </w:tc>
        <w:tc>
          <w:tcPr>
            <w:tcW w:w="509"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≥4次</w:t>
            </w:r>
          </w:p>
        </w:tc>
        <w:tc>
          <w:tcPr>
            <w:tcW w:w="1249"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《全国文明城市测评体系》《河北省文明城区测评体系》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2" w:type="pct"/>
            <w:vMerge w:val="continue"/>
            <w:vAlign w:val="center"/>
          </w:tcPr>
          <w:p>
            <w:pPr>
              <w:rPr>
                <w:rFonts w:hint="eastAsia" w:ascii="仿宋_GB2312" w:hAnsi="仿宋_GB2312" w:eastAsia="仿宋_GB2312" w:cs="仿宋_GB2312"/>
              </w:rPr>
            </w:pPr>
          </w:p>
        </w:tc>
        <w:tc>
          <w:tcPr>
            <w:tcW w:w="458"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质量指标</w:t>
            </w:r>
          </w:p>
        </w:tc>
        <w:tc>
          <w:tcPr>
            <w:tcW w:w="865"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社区达到文明创城测评指标体系标准要求　</w:t>
            </w:r>
          </w:p>
        </w:tc>
        <w:tc>
          <w:tcPr>
            <w:tcW w:w="1677"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社区小区达到文明创城测评指标体系的宣传教育、文明行为、生活环境、四防设施等标准要求　</w:t>
            </w:r>
          </w:p>
        </w:tc>
        <w:tc>
          <w:tcPr>
            <w:tcW w:w="509"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≥59个　</w:t>
            </w:r>
          </w:p>
        </w:tc>
        <w:tc>
          <w:tcPr>
            <w:tcW w:w="1249"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　《全国文明城市测评体系》《河北省文明城区测评体系》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2" w:type="pct"/>
            <w:vMerge w:val="continue"/>
            <w:vAlign w:val="center"/>
          </w:tcPr>
          <w:p>
            <w:pPr>
              <w:rPr>
                <w:rFonts w:hint="eastAsia" w:ascii="仿宋_GB2312" w:hAnsi="仿宋_GB2312" w:eastAsia="仿宋_GB2312" w:cs="仿宋_GB2312"/>
              </w:rPr>
            </w:pPr>
          </w:p>
        </w:tc>
        <w:tc>
          <w:tcPr>
            <w:tcW w:w="458"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质量指标</w:t>
            </w:r>
          </w:p>
        </w:tc>
        <w:tc>
          <w:tcPr>
            <w:tcW w:w="865"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村街达到文明创城测评指标体系标准要求</w:t>
            </w:r>
          </w:p>
        </w:tc>
        <w:tc>
          <w:tcPr>
            <w:tcW w:w="1677"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乡镇村街达到文明创城测评指标体系的“十个一”等标准要求</w:t>
            </w:r>
          </w:p>
        </w:tc>
        <w:tc>
          <w:tcPr>
            <w:tcW w:w="509"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≥65个</w:t>
            </w:r>
          </w:p>
        </w:tc>
        <w:tc>
          <w:tcPr>
            <w:tcW w:w="1249"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《全国文明城市测评体系》《河北省文明城区测评体系》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2" w:type="pct"/>
            <w:vMerge w:val="continue"/>
            <w:vAlign w:val="center"/>
          </w:tcPr>
          <w:p>
            <w:pPr>
              <w:rPr>
                <w:rFonts w:hint="eastAsia" w:ascii="仿宋_GB2312" w:hAnsi="仿宋_GB2312" w:eastAsia="仿宋_GB2312" w:cs="仿宋_GB2312"/>
              </w:rPr>
            </w:pPr>
          </w:p>
        </w:tc>
        <w:tc>
          <w:tcPr>
            <w:tcW w:w="458"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时效指标</w:t>
            </w:r>
          </w:p>
        </w:tc>
        <w:tc>
          <w:tcPr>
            <w:tcW w:w="865"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完成率　</w:t>
            </w:r>
          </w:p>
        </w:tc>
        <w:tc>
          <w:tcPr>
            <w:tcW w:w="1677"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按照创建方案及测评复检安排，确保各项创建任务的完成时限和完成比例达到市、区要求　</w:t>
            </w:r>
          </w:p>
        </w:tc>
        <w:tc>
          <w:tcPr>
            <w:tcW w:w="509"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≥90%　</w:t>
            </w:r>
          </w:p>
        </w:tc>
        <w:tc>
          <w:tcPr>
            <w:tcW w:w="1249"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　《全国文明城市测评体系》《河北省文明城区测评体系》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2" w:type="pct"/>
            <w:vMerge w:val="continue"/>
            <w:vAlign w:val="center"/>
          </w:tcPr>
          <w:p>
            <w:pPr>
              <w:rPr>
                <w:rFonts w:hint="eastAsia" w:ascii="仿宋_GB2312" w:hAnsi="仿宋_GB2312" w:eastAsia="仿宋_GB2312" w:cs="仿宋_GB2312"/>
              </w:rPr>
            </w:pPr>
          </w:p>
        </w:tc>
        <w:tc>
          <w:tcPr>
            <w:tcW w:w="458"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成本指标</w:t>
            </w:r>
          </w:p>
        </w:tc>
        <w:tc>
          <w:tcPr>
            <w:tcW w:w="865"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成本控制　</w:t>
            </w:r>
          </w:p>
        </w:tc>
        <w:tc>
          <w:tcPr>
            <w:tcW w:w="1677"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成本控制情况　</w:t>
            </w:r>
          </w:p>
        </w:tc>
        <w:tc>
          <w:tcPr>
            <w:tcW w:w="509"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≤220万元　</w:t>
            </w:r>
          </w:p>
        </w:tc>
        <w:tc>
          <w:tcPr>
            <w:tcW w:w="1249"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　实际支出不超预算额度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2" w:type="pct"/>
            <w:vAlign w:val="center"/>
          </w:tcPr>
          <w:p>
            <w:pPr>
              <w:pStyle w:val="21"/>
              <w:rPr>
                <w:rFonts w:hint="eastAsia" w:ascii="仿宋_GB2312" w:hAnsi="仿宋_GB2312" w:eastAsia="仿宋_GB2312" w:cs="仿宋_GB2312"/>
              </w:rPr>
            </w:pPr>
            <w:r>
              <w:rPr>
                <w:rFonts w:hint="eastAsia" w:ascii="仿宋_GB2312" w:hAnsi="仿宋_GB2312" w:eastAsia="仿宋_GB2312" w:cs="仿宋_GB2312"/>
              </w:rPr>
              <w:t>效益指标</w:t>
            </w:r>
          </w:p>
        </w:tc>
        <w:tc>
          <w:tcPr>
            <w:tcW w:w="458"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865"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　塑造城市形象、提高城市竞争力，增加城市的知名度和美誉度</w:t>
            </w:r>
          </w:p>
        </w:tc>
        <w:tc>
          <w:tcPr>
            <w:tcW w:w="1677"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城市市民素质提高、居住环境改善、公共服务完善、交通秩序改观等　</w:t>
            </w:r>
          </w:p>
        </w:tc>
        <w:tc>
          <w:tcPr>
            <w:tcW w:w="509"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定性</w:t>
            </w:r>
          </w:p>
        </w:tc>
        <w:tc>
          <w:tcPr>
            <w:tcW w:w="1249"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　《全国文明城市测评体系》《河北省文明城区测评体系》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2" w:type="pct"/>
            <w:vAlign w:val="center"/>
          </w:tcPr>
          <w:p>
            <w:pPr>
              <w:pStyle w:val="21"/>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458"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865"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市民群众对文明城市创建工作的群众满意度　</w:t>
            </w:r>
          </w:p>
        </w:tc>
        <w:tc>
          <w:tcPr>
            <w:tcW w:w="1677"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通过入户调查，了解群众对文明城市创建各项工作满意度</w:t>
            </w:r>
          </w:p>
        </w:tc>
        <w:tc>
          <w:tcPr>
            <w:tcW w:w="509"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≥95%</w:t>
            </w:r>
          </w:p>
        </w:tc>
        <w:tc>
          <w:tcPr>
            <w:tcW w:w="1249"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入户调查</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docGrid w:linePitch="312" w:charSpace="0"/>
        </w:sectPr>
      </w:pPr>
    </w:p>
    <w:p>
      <w:pPr>
        <w:jc w:val="center"/>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ind w:firstLine="560"/>
        <w:jc w:val="left"/>
        <w:outlineLvl w:val="3"/>
        <w:rPr>
          <w:rFonts w:hint="eastAsia" w:ascii="仿宋_GB2312" w:hAnsi="仿宋_GB2312" w:eastAsia="仿宋_GB2312" w:cs="仿宋_GB2312"/>
        </w:rPr>
      </w:pPr>
      <w:bookmarkStart w:id="15" w:name="_Toc_4_4_0000000019"/>
      <w:r>
        <w:rPr>
          <w:rFonts w:hint="eastAsia" w:ascii="仿宋_GB2312" w:hAnsi="仿宋_GB2312" w:eastAsia="仿宋_GB2312" w:cs="仿宋_GB2312"/>
          <w:color w:val="000000"/>
          <w:sz w:val="28"/>
        </w:rPr>
        <w:t>16.新时代文明实践中心建设补助资金[省级]绩效目标表</w:t>
      </w:r>
      <w:bookmarkEnd w:id="15"/>
    </w:p>
    <w:tbl>
      <w:tblPr>
        <w:tblStyle w:val="11"/>
        <w:tblW w:w="5000"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8"/>
        <w:gridCol w:w="12140"/>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Align w:val="center"/>
          </w:tcPr>
          <w:p>
            <w:pPr>
              <w:pStyle w:val="19"/>
              <w:rPr>
                <w:rFonts w:hint="eastAsia" w:ascii="仿宋_GB2312" w:hAnsi="仿宋_GB2312" w:eastAsia="仿宋_GB2312" w:cs="仿宋_GB2312"/>
              </w:rPr>
            </w:pPr>
            <w:r>
              <w:rPr>
                <w:rFonts w:hint="eastAsia" w:ascii="仿宋_GB2312" w:hAnsi="仿宋_GB2312" w:eastAsia="仿宋_GB2312" w:cs="仿宋_GB2312"/>
              </w:rPr>
              <w:t>绩效目标</w:t>
            </w:r>
          </w:p>
        </w:tc>
        <w:tc>
          <w:tcPr>
            <w:tcW w:w="4355"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1.完成本地新时代文明实践中心（所、站）建设任务，统筹整合现有阵地资源，探索形成行之有效的工作机制和运行模式，打通宣传群众、教育群众、关心群众、服务群众的＂最后一公里”。</w:t>
            </w:r>
          </w:p>
        </w:tc>
      </w:tr>
    </w:tbl>
    <w:p>
      <w:pPr>
        <w:spacing w:line="2" w:lineRule="exact"/>
        <w:jc w:val="center"/>
        <w:rPr>
          <w:rFonts w:hint="eastAsia" w:ascii="仿宋_GB2312" w:hAnsi="仿宋_GB2312" w:eastAsia="仿宋_GB2312" w:cs="仿宋_GB2312"/>
        </w:rPr>
      </w:pPr>
      <w:r>
        <w:rPr>
          <w:rFonts w:hint="eastAsia" w:ascii="仿宋_GB2312" w:hAnsi="仿宋_GB2312" w:eastAsia="仿宋_GB2312" w:cs="仿宋_GB2312"/>
          <w:color w:val="000000"/>
        </w:rPr>
        <w:t xml:space="preserve"> </w:t>
      </w:r>
    </w:p>
    <w:tbl>
      <w:tblPr>
        <w:tblStyle w:val="11"/>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59"/>
        <w:gridCol w:w="1416"/>
        <w:gridCol w:w="3097"/>
        <w:gridCol w:w="3142"/>
        <w:gridCol w:w="1558"/>
        <w:gridCol w:w="37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344" w:type="pct"/>
            <w:vAlign w:val="center"/>
          </w:tcPr>
          <w:p>
            <w:pPr>
              <w:pStyle w:val="19"/>
              <w:rPr>
                <w:rFonts w:hint="eastAsia" w:ascii="仿宋_GB2312" w:hAnsi="仿宋_GB2312" w:eastAsia="仿宋_GB2312" w:cs="仿宋_GB2312"/>
              </w:rPr>
            </w:pPr>
            <w:r>
              <w:rPr>
                <w:rFonts w:hint="eastAsia" w:ascii="仿宋_GB2312" w:hAnsi="仿宋_GB2312" w:eastAsia="仿宋_GB2312" w:cs="仿宋_GB2312"/>
              </w:rPr>
              <w:t>一级指标</w:t>
            </w:r>
          </w:p>
        </w:tc>
        <w:tc>
          <w:tcPr>
            <w:tcW w:w="508" w:type="pct"/>
            <w:vAlign w:val="center"/>
          </w:tcPr>
          <w:p>
            <w:pPr>
              <w:pStyle w:val="19"/>
              <w:rPr>
                <w:rFonts w:hint="eastAsia" w:ascii="仿宋_GB2312" w:hAnsi="仿宋_GB2312" w:eastAsia="仿宋_GB2312" w:cs="仿宋_GB2312"/>
              </w:rPr>
            </w:pPr>
            <w:r>
              <w:rPr>
                <w:rFonts w:hint="eastAsia" w:ascii="仿宋_GB2312" w:hAnsi="仿宋_GB2312" w:eastAsia="仿宋_GB2312" w:cs="仿宋_GB2312"/>
              </w:rPr>
              <w:t>二级指标</w:t>
            </w:r>
          </w:p>
        </w:tc>
        <w:tc>
          <w:tcPr>
            <w:tcW w:w="1111" w:type="pct"/>
            <w:vAlign w:val="center"/>
          </w:tcPr>
          <w:p>
            <w:pPr>
              <w:pStyle w:val="19"/>
              <w:rPr>
                <w:rFonts w:hint="eastAsia" w:ascii="仿宋_GB2312" w:hAnsi="仿宋_GB2312" w:eastAsia="仿宋_GB2312" w:cs="仿宋_GB2312"/>
              </w:rPr>
            </w:pPr>
            <w:r>
              <w:rPr>
                <w:rFonts w:hint="eastAsia" w:ascii="仿宋_GB2312" w:hAnsi="仿宋_GB2312" w:eastAsia="仿宋_GB2312" w:cs="仿宋_GB2312"/>
              </w:rPr>
              <w:t>三级指标</w:t>
            </w:r>
          </w:p>
        </w:tc>
        <w:tc>
          <w:tcPr>
            <w:tcW w:w="1127" w:type="pct"/>
            <w:vAlign w:val="center"/>
          </w:tcPr>
          <w:p>
            <w:pPr>
              <w:pStyle w:val="19"/>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559" w:type="pct"/>
            <w:vAlign w:val="center"/>
          </w:tcPr>
          <w:p>
            <w:pPr>
              <w:pStyle w:val="19"/>
              <w:rPr>
                <w:rFonts w:hint="eastAsia" w:ascii="仿宋_GB2312" w:hAnsi="仿宋_GB2312" w:eastAsia="仿宋_GB2312" w:cs="仿宋_GB2312"/>
              </w:rPr>
            </w:pPr>
            <w:r>
              <w:rPr>
                <w:rFonts w:hint="eastAsia" w:ascii="仿宋_GB2312" w:hAnsi="仿宋_GB2312" w:eastAsia="仿宋_GB2312" w:cs="仿宋_GB2312"/>
              </w:rPr>
              <w:t>指标值</w:t>
            </w:r>
          </w:p>
        </w:tc>
        <w:tc>
          <w:tcPr>
            <w:tcW w:w="1351" w:type="pct"/>
            <w:vAlign w:val="center"/>
          </w:tcPr>
          <w:p>
            <w:pPr>
              <w:pStyle w:val="19"/>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4" w:type="pct"/>
            <w:vMerge w:val="restart"/>
            <w:vAlign w:val="center"/>
          </w:tcPr>
          <w:p>
            <w:pPr>
              <w:pStyle w:val="21"/>
              <w:rPr>
                <w:rFonts w:hint="eastAsia" w:ascii="仿宋_GB2312" w:hAnsi="仿宋_GB2312" w:eastAsia="仿宋_GB2312" w:cs="仿宋_GB2312"/>
              </w:rPr>
            </w:pPr>
            <w:r>
              <w:rPr>
                <w:rFonts w:hint="eastAsia" w:ascii="仿宋_GB2312" w:hAnsi="仿宋_GB2312" w:eastAsia="仿宋_GB2312" w:cs="仿宋_GB2312"/>
              </w:rPr>
              <w:t>产出指标</w:t>
            </w:r>
          </w:p>
        </w:tc>
        <w:tc>
          <w:tcPr>
            <w:tcW w:w="508"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数量指标</w:t>
            </w:r>
          </w:p>
        </w:tc>
        <w:tc>
          <w:tcPr>
            <w:tcW w:w="1111"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建设新时代文明实践中心（所、站）</w:t>
            </w:r>
          </w:p>
        </w:tc>
        <w:tc>
          <w:tcPr>
            <w:tcW w:w="1127"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建设新时代文明实践中心（所、站）</w:t>
            </w:r>
          </w:p>
        </w:tc>
        <w:tc>
          <w:tcPr>
            <w:tcW w:w="559"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180个</w:t>
            </w:r>
          </w:p>
        </w:tc>
        <w:tc>
          <w:tcPr>
            <w:tcW w:w="1351"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《河北省宣传文化（发展）专项资金使用管理办法》（冀财规[2017]138号）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4" w:type="pct"/>
            <w:vMerge w:val="continue"/>
            <w:vAlign w:val="center"/>
          </w:tcPr>
          <w:p>
            <w:pPr>
              <w:rPr>
                <w:rFonts w:hint="eastAsia" w:ascii="仿宋_GB2312" w:hAnsi="仿宋_GB2312" w:eastAsia="仿宋_GB2312" w:cs="仿宋_GB2312"/>
              </w:rPr>
            </w:pPr>
          </w:p>
        </w:tc>
        <w:tc>
          <w:tcPr>
            <w:tcW w:w="508"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数量指标</w:t>
            </w:r>
          </w:p>
        </w:tc>
        <w:tc>
          <w:tcPr>
            <w:tcW w:w="1111"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区级文明实践志愿服务队伍数量</w:t>
            </w:r>
          </w:p>
        </w:tc>
        <w:tc>
          <w:tcPr>
            <w:tcW w:w="1127"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区级文明实践志愿服务队伍数量</w:t>
            </w:r>
          </w:p>
        </w:tc>
        <w:tc>
          <w:tcPr>
            <w:tcW w:w="559"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≥8支</w:t>
            </w:r>
          </w:p>
        </w:tc>
        <w:tc>
          <w:tcPr>
            <w:tcW w:w="1351"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《河北省宣传文化（发展）专项资金使用管理办法》（冀财规[2017]138号）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4" w:type="pct"/>
            <w:vMerge w:val="continue"/>
            <w:vAlign w:val="center"/>
          </w:tcPr>
          <w:p>
            <w:pPr>
              <w:rPr>
                <w:rFonts w:hint="eastAsia" w:ascii="仿宋_GB2312" w:hAnsi="仿宋_GB2312" w:eastAsia="仿宋_GB2312" w:cs="仿宋_GB2312"/>
              </w:rPr>
            </w:pPr>
          </w:p>
        </w:tc>
        <w:tc>
          <w:tcPr>
            <w:tcW w:w="508"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质量指标</w:t>
            </w:r>
          </w:p>
        </w:tc>
        <w:tc>
          <w:tcPr>
            <w:tcW w:w="1111"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区级有影响力的文明实践志愿服务活动品牌数量</w:t>
            </w:r>
          </w:p>
        </w:tc>
        <w:tc>
          <w:tcPr>
            <w:tcW w:w="1127"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区级有影响力的文明实践志愿服务活动品牌数量</w:t>
            </w:r>
          </w:p>
        </w:tc>
        <w:tc>
          <w:tcPr>
            <w:tcW w:w="559"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≥2个</w:t>
            </w:r>
          </w:p>
        </w:tc>
        <w:tc>
          <w:tcPr>
            <w:tcW w:w="1351"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《河北省宣传文化（发展）专项资金使用管理办法》（冀财规[2017]138号）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4" w:type="pct"/>
            <w:vMerge w:val="continue"/>
            <w:vAlign w:val="center"/>
          </w:tcPr>
          <w:p>
            <w:pPr>
              <w:rPr>
                <w:rFonts w:hint="eastAsia" w:ascii="仿宋_GB2312" w:hAnsi="仿宋_GB2312" w:eastAsia="仿宋_GB2312" w:cs="仿宋_GB2312"/>
              </w:rPr>
            </w:pPr>
          </w:p>
        </w:tc>
        <w:tc>
          <w:tcPr>
            <w:tcW w:w="508"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质量指标</w:t>
            </w:r>
          </w:p>
        </w:tc>
        <w:tc>
          <w:tcPr>
            <w:tcW w:w="1111"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完成区级阵地平台整合</w:t>
            </w:r>
          </w:p>
        </w:tc>
        <w:tc>
          <w:tcPr>
            <w:tcW w:w="1127"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完成区级阵地平台整合</w:t>
            </w:r>
          </w:p>
        </w:tc>
        <w:tc>
          <w:tcPr>
            <w:tcW w:w="559"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显著</w:t>
            </w:r>
          </w:p>
        </w:tc>
        <w:tc>
          <w:tcPr>
            <w:tcW w:w="1351"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《河北省宣传文化（发展）专项资金使用管理办法》（冀财规[2017]138号）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4" w:type="pct"/>
            <w:vMerge w:val="continue"/>
            <w:vAlign w:val="center"/>
          </w:tcPr>
          <w:p>
            <w:pPr>
              <w:rPr>
                <w:rFonts w:hint="eastAsia" w:ascii="仿宋_GB2312" w:hAnsi="仿宋_GB2312" w:eastAsia="仿宋_GB2312" w:cs="仿宋_GB2312"/>
              </w:rPr>
            </w:pPr>
          </w:p>
        </w:tc>
        <w:tc>
          <w:tcPr>
            <w:tcW w:w="508"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时效指标</w:t>
            </w:r>
          </w:p>
        </w:tc>
        <w:tc>
          <w:tcPr>
            <w:tcW w:w="1111"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形成富有地方特色的工作经验完成时间</w:t>
            </w:r>
          </w:p>
        </w:tc>
        <w:tc>
          <w:tcPr>
            <w:tcW w:w="1127"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形成富有地方特色的工作经验完成时间</w:t>
            </w:r>
          </w:p>
        </w:tc>
        <w:tc>
          <w:tcPr>
            <w:tcW w:w="559"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2022年12月</w:t>
            </w:r>
          </w:p>
        </w:tc>
        <w:tc>
          <w:tcPr>
            <w:tcW w:w="1351"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《河北省宣传文化（发展）专项资金使用管理办法》（冀财规[2017]138号）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4" w:type="pct"/>
            <w:vMerge w:val="continue"/>
            <w:vAlign w:val="center"/>
          </w:tcPr>
          <w:p>
            <w:pPr>
              <w:rPr>
                <w:rFonts w:hint="eastAsia" w:ascii="仿宋_GB2312" w:hAnsi="仿宋_GB2312" w:eastAsia="仿宋_GB2312" w:cs="仿宋_GB2312"/>
              </w:rPr>
            </w:pPr>
          </w:p>
        </w:tc>
        <w:tc>
          <w:tcPr>
            <w:tcW w:w="508"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成本指标</w:t>
            </w:r>
          </w:p>
        </w:tc>
        <w:tc>
          <w:tcPr>
            <w:tcW w:w="1111"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设备配置经费限于新时代文明实践所及本年度补助资金占比</w:t>
            </w:r>
          </w:p>
        </w:tc>
        <w:tc>
          <w:tcPr>
            <w:tcW w:w="1127"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设备配置经费限于新时代文明实践所及本年度补助资金占比</w:t>
            </w:r>
          </w:p>
        </w:tc>
        <w:tc>
          <w:tcPr>
            <w:tcW w:w="559"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≤50%</w:t>
            </w:r>
          </w:p>
        </w:tc>
        <w:tc>
          <w:tcPr>
            <w:tcW w:w="1351"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《河北省宣传文化（发展）专项资金使用管理办法》（冀财规[2017]138号）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4" w:type="pct"/>
            <w:vAlign w:val="center"/>
          </w:tcPr>
          <w:p>
            <w:pPr>
              <w:pStyle w:val="21"/>
              <w:rPr>
                <w:rFonts w:hint="eastAsia" w:ascii="仿宋_GB2312" w:hAnsi="仿宋_GB2312" w:eastAsia="仿宋_GB2312" w:cs="仿宋_GB2312"/>
              </w:rPr>
            </w:pPr>
            <w:r>
              <w:rPr>
                <w:rFonts w:hint="eastAsia" w:ascii="仿宋_GB2312" w:hAnsi="仿宋_GB2312" w:eastAsia="仿宋_GB2312" w:cs="仿宋_GB2312"/>
              </w:rPr>
              <w:t>效益指标</w:t>
            </w:r>
          </w:p>
        </w:tc>
        <w:tc>
          <w:tcPr>
            <w:tcW w:w="508"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111"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文明实践志愿服务者骨干培训次数占计划培训次数比率</w:t>
            </w:r>
          </w:p>
        </w:tc>
        <w:tc>
          <w:tcPr>
            <w:tcW w:w="1127"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文明实践志愿服务者骨干培训次数占计划培训次数比率</w:t>
            </w:r>
          </w:p>
        </w:tc>
        <w:tc>
          <w:tcPr>
            <w:tcW w:w="559"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≥91%</w:t>
            </w:r>
          </w:p>
        </w:tc>
        <w:tc>
          <w:tcPr>
            <w:tcW w:w="1351"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《河北省宣传文化（发展）专项资金使用管理办法》（冀财规[2017]138号）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4" w:type="pct"/>
            <w:vAlign w:val="center"/>
          </w:tcPr>
          <w:p>
            <w:pPr>
              <w:pStyle w:val="21"/>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508"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111"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服务对象满意度</w:t>
            </w:r>
          </w:p>
        </w:tc>
        <w:tc>
          <w:tcPr>
            <w:tcW w:w="1127"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对新时代文明工作满意人数占总人数的比率</w:t>
            </w:r>
          </w:p>
        </w:tc>
        <w:tc>
          <w:tcPr>
            <w:tcW w:w="559"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≥82%</w:t>
            </w:r>
          </w:p>
        </w:tc>
        <w:tc>
          <w:tcPr>
            <w:tcW w:w="1351"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实际调查</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docGrid w:linePitch="312" w:charSpace="0"/>
        </w:sectPr>
      </w:pPr>
    </w:p>
    <w:p>
      <w:pPr>
        <w:jc w:val="center"/>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ind w:firstLine="560"/>
        <w:jc w:val="left"/>
        <w:outlineLvl w:val="3"/>
        <w:rPr>
          <w:rFonts w:hint="eastAsia" w:ascii="仿宋_GB2312" w:hAnsi="仿宋_GB2312" w:eastAsia="仿宋_GB2312" w:cs="仿宋_GB2312"/>
        </w:rPr>
      </w:pPr>
      <w:bookmarkStart w:id="16" w:name="_Toc_4_4_0000000020"/>
      <w:r>
        <w:rPr>
          <w:rFonts w:hint="eastAsia" w:ascii="仿宋_GB2312" w:hAnsi="仿宋_GB2312" w:eastAsia="仿宋_GB2312" w:cs="仿宋_GB2312"/>
          <w:color w:val="000000"/>
          <w:sz w:val="28"/>
        </w:rPr>
        <w:t>17.新时代文明实践中心建设补助资金[中央]绩效目标表</w:t>
      </w:r>
      <w:bookmarkEnd w:id="16"/>
    </w:p>
    <w:tbl>
      <w:tblPr>
        <w:tblStyle w:val="11"/>
        <w:tblW w:w="5000"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8"/>
        <w:gridCol w:w="12140"/>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Align w:val="center"/>
          </w:tcPr>
          <w:p>
            <w:pPr>
              <w:pStyle w:val="19"/>
              <w:rPr>
                <w:rFonts w:hint="eastAsia" w:ascii="仿宋_GB2312" w:hAnsi="仿宋_GB2312" w:eastAsia="仿宋_GB2312" w:cs="仿宋_GB2312"/>
              </w:rPr>
            </w:pPr>
            <w:r>
              <w:rPr>
                <w:rFonts w:hint="eastAsia" w:ascii="仿宋_GB2312" w:hAnsi="仿宋_GB2312" w:eastAsia="仿宋_GB2312" w:cs="仿宋_GB2312"/>
              </w:rPr>
              <w:t>绩效目标</w:t>
            </w:r>
          </w:p>
        </w:tc>
        <w:tc>
          <w:tcPr>
            <w:tcW w:w="4355"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1.完成本地新时代文明实践中心（所、站）建设任务，统筹整合现有阵地资源，探索形成行之有效的工作机制和运行模式，打通宣传群众、教育群众、关心群众、服务群众的＂最后一公里”。</w:t>
            </w:r>
          </w:p>
        </w:tc>
      </w:tr>
    </w:tbl>
    <w:p>
      <w:pPr>
        <w:spacing w:line="2" w:lineRule="exact"/>
        <w:jc w:val="center"/>
        <w:rPr>
          <w:rFonts w:hint="eastAsia" w:ascii="仿宋_GB2312" w:hAnsi="仿宋_GB2312" w:eastAsia="仿宋_GB2312" w:cs="仿宋_GB2312"/>
        </w:rPr>
      </w:pPr>
      <w:r>
        <w:rPr>
          <w:rFonts w:hint="eastAsia" w:ascii="仿宋_GB2312" w:hAnsi="仿宋_GB2312" w:eastAsia="仿宋_GB2312" w:cs="仿宋_GB2312"/>
          <w:color w:val="000000"/>
        </w:rPr>
        <w:t xml:space="preserve"> </w:t>
      </w:r>
    </w:p>
    <w:tbl>
      <w:tblPr>
        <w:tblStyle w:val="11"/>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817"/>
        <w:gridCol w:w="1419"/>
        <w:gridCol w:w="2693"/>
        <w:gridCol w:w="2977"/>
        <w:gridCol w:w="1558"/>
        <w:gridCol w:w="4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93" w:type="pct"/>
            <w:vAlign w:val="center"/>
          </w:tcPr>
          <w:p>
            <w:pPr>
              <w:pStyle w:val="19"/>
              <w:rPr>
                <w:rFonts w:hint="eastAsia" w:ascii="仿宋_GB2312" w:hAnsi="仿宋_GB2312" w:eastAsia="仿宋_GB2312" w:cs="仿宋_GB2312"/>
              </w:rPr>
            </w:pPr>
            <w:r>
              <w:rPr>
                <w:rFonts w:hint="eastAsia" w:ascii="仿宋_GB2312" w:hAnsi="仿宋_GB2312" w:eastAsia="仿宋_GB2312" w:cs="仿宋_GB2312"/>
              </w:rPr>
              <w:t>一级指标</w:t>
            </w:r>
          </w:p>
        </w:tc>
        <w:tc>
          <w:tcPr>
            <w:tcW w:w="509" w:type="pct"/>
            <w:vAlign w:val="center"/>
          </w:tcPr>
          <w:p>
            <w:pPr>
              <w:pStyle w:val="19"/>
              <w:rPr>
                <w:rFonts w:hint="eastAsia" w:ascii="仿宋_GB2312" w:hAnsi="仿宋_GB2312" w:eastAsia="仿宋_GB2312" w:cs="仿宋_GB2312"/>
              </w:rPr>
            </w:pPr>
            <w:r>
              <w:rPr>
                <w:rFonts w:hint="eastAsia" w:ascii="仿宋_GB2312" w:hAnsi="仿宋_GB2312" w:eastAsia="仿宋_GB2312" w:cs="仿宋_GB2312"/>
              </w:rPr>
              <w:t>二级指标</w:t>
            </w:r>
          </w:p>
        </w:tc>
        <w:tc>
          <w:tcPr>
            <w:tcW w:w="966" w:type="pct"/>
            <w:vAlign w:val="center"/>
          </w:tcPr>
          <w:p>
            <w:pPr>
              <w:pStyle w:val="19"/>
              <w:rPr>
                <w:rFonts w:hint="eastAsia" w:ascii="仿宋_GB2312" w:hAnsi="仿宋_GB2312" w:eastAsia="仿宋_GB2312" w:cs="仿宋_GB2312"/>
              </w:rPr>
            </w:pPr>
            <w:r>
              <w:rPr>
                <w:rFonts w:hint="eastAsia" w:ascii="仿宋_GB2312" w:hAnsi="仿宋_GB2312" w:eastAsia="仿宋_GB2312" w:cs="仿宋_GB2312"/>
              </w:rPr>
              <w:t>三级指标</w:t>
            </w:r>
          </w:p>
        </w:tc>
        <w:tc>
          <w:tcPr>
            <w:tcW w:w="1068" w:type="pct"/>
            <w:vAlign w:val="center"/>
          </w:tcPr>
          <w:p>
            <w:pPr>
              <w:pStyle w:val="19"/>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559" w:type="pct"/>
            <w:vAlign w:val="center"/>
          </w:tcPr>
          <w:p>
            <w:pPr>
              <w:pStyle w:val="19"/>
              <w:rPr>
                <w:rFonts w:hint="eastAsia" w:ascii="仿宋_GB2312" w:hAnsi="仿宋_GB2312" w:eastAsia="仿宋_GB2312" w:cs="仿宋_GB2312"/>
              </w:rPr>
            </w:pPr>
            <w:r>
              <w:rPr>
                <w:rFonts w:hint="eastAsia" w:ascii="仿宋_GB2312" w:hAnsi="仿宋_GB2312" w:eastAsia="仿宋_GB2312" w:cs="仿宋_GB2312"/>
              </w:rPr>
              <w:t>指标值</w:t>
            </w:r>
          </w:p>
        </w:tc>
        <w:tc>
          <w:tcPr>
            <w:tcW w:w="1605" w:type="pct"/>
            <w:vAlign w:val="center"/>
          </w:tcPr>
          <w:p>
            <w:pPr>
              <w:pStyle w:val="19"/>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 w:type="pct"/>
            <w:vMerge w:val="restart"/>
            <w:vAlign w:val="center"/>
          </w:tcPr>
          <w:p>
            <w:pPr>
              <w:pStyle w:val="21"/>
              <w:rPr>
                <w:rFonts w:hint="eastAsia" w:ascii="仿宋_GB2312" w:hAnsi="仿宋_GB2312" w:eastAsia="仿宋_GB2312" w:cs="仿宋_GB2312"/>
              </w:rPr>
            </w:pPr>
            <w:r>
              <w:rPr>
                <w:rFonts w:hint="eastAsia" w:ascii="仿宋_GB2312" w:hAnsi="仿宋_GB2312" w:eastAsia="仿宋_GB2312" w:cs="仿宋_GB2312"/>
              </w:rPr>
              <w:t>产出指标</w:t>
            </w:r>
          </w:p>
        </w:tc>
        <w:tc>
          <w:tcPr>
            <w:tcW w:w="509"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数量指标</w:t>
            </w:r>
          </w:p>
        </w:tc>
        <w:tc>
          <w:tcPr>
            <w:tcW w:w="966"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建设新时代文明实践中心（所、站）</w:t>
            </w:r>
          </w:p>
        </w:tc>
        <w:tc>
          <w:tcPr>
            <w:tcW w:w="1068"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建设新时代文明实践中心（所、站）</w:t>
            </w:r>
          </w:p>
        </w:tc>
        <w:tc>
          <w:tcPr>
            <w:tcW w:w="559"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180个</w:t>
            </w:r>
          </w:p>
        </w:tc>
        <w:tc>
          <w:tcPr>
            <w:tcW w:w="1605"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《河北省宣传文化（发展）专项资金使用管理办法》（冀财规[2017]138号）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 w:type="pct"/>
            <w:vMerge w:val="continue"/>
            <w:vAlign w:val="center"/>
          </w:tcPr>
          <w:p>
            <w:pPr>
              <w:rPr>
                <w:rFonts w:hint="eastAsia" w:ascii="仿宋_GB2312" w:hAnsi="仿宋_GB2312" w:eastAsia="仿宋_GB2312" w:cs="仿宋_GB2312"/>
              </w:rPr>
            </w:pPr>
          </w:p>
        </w:tc>
        <w:tc>
          <w:tcPr>
            <w:tcW w:w="509"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数量指标</w:t>
            </w:r>
          </w:p>
        </w:tc>
        <w:tc>
          <w:tcPr>
            <w:tcW w:w="966"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区级文明实践志愿服务队伍数量</w:t>
            </w:r>
          </w:p>
        </w:tc>
        <w:tc>
          <w:tcPr>
            <w:tcW w:w="1068"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区级文明实践志愿服务队伍数量</w:t>
            </w:r>
          </w:p>
        </w:tc>
        <w:tc>
          <w:tcPr>
            <w:tcW w:w="559"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≥8支</w:t>
            </w:r>
          </w:p>
        </w:tc>
        <w:tc>
          <w:tcPr>
            <w:tcW w:w="1605"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《河北省宣传文化（发展）专项资金使用管理办法》（冀财规[2017]138号）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 w:type="pct"/>
            <w:vMerge w:val="continue"/>
            <w:vAlign w:val="center"/>
          </w:tcPr>
          <w:p>
            <w:pPr>
              <w:rPr>
                <w:rFonts w:hint="eastAsia" w:ascii="仿宋_GB2312" w:hAnsi="仿宋_GB2312" w:eastAsia="仿宋_GB2312" w:cs="仿宋_GB2312"/>
              </w:rPr>
            </w:pPr>
          </w:p>
        </w:tc>
        <w:tc>
          <w:tcPr>
            <w:tcW w:w="509"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质量指标</w:t>
            </w:r>
          </w:p>
        </w:tc>
        <w:tc>
          <w:tcPr>
            <w:tcW w:w="966"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区级有影响力的文明实践志愿服务活动品牌数量</w:t>
            </w:r>
          </w:p>
        </w:tc>
        <w:tc>
          <w:tcPr>
            <w:tcW w:w="1068"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区级有影响力的文明实践志愿服务活动品牌数量</w:t>
            </w:r>
          </w:p>
        </w:tc>
        <w:tc>
          <w:tcPr>
            <w:tcW w:w="559"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≥2个</w:t>
            </w:r>
          </w:p>
        </w:tc>
        <w:tc>
          <w:tcPr>
            <w:tcW w:w="1605"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《河北省宣传文化（发展）专项资金使用管理办法》（冀财规[2017]138号）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 w:type="pct"/>
            <w:vMerge w:val="continue"/>
            <w:vAlign w:val="center"/>
          </w:tcPr>
          <w:p>
            <w:pPr>
              <w:rPr>
                <w:rFonts w:hint="eastAsia" w:ascii="仿宋_GB2312" w:hAnsi="仿宋_GB2312" w:eastAsia="仿宋_GB2312" w:cs="仿宋_GB2312"/>
              </w:rPr>
            </w:pPr>
          </w:p>
        </w:tc>
        <w:tc>
          <w:tcPr>
            <w:tcW w:w="509"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质量指标</w:t>
            </w:r>
          </w:p>
        </w:tc>
        <w:tc>
          <w:tcPr>
            <w:tcW w:w="966"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完成区级阵地平台整合</w:t>
            </w:r>
          </w:p>
        </w:tc>
        <w:tc>
          <w:tcPr>
            <w:tcW w:w="1068"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完成区级阵地平台整合</w:t>
            </w:r>
          </w:p>
        </w:tc>
        <w:tc>
          <w:tcPr>
            <w:tcW w:w="559"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显著</w:t>
            </w:r>
          </w:p>
        </w:tc>
        <w:tc>
          <w:tcPr>
            <w:tcW w:w="1605"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《河北省宣传文化（发展）专项资金使用管理办法》（冀财规[2017]138号）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 w:type="pct"/>
            <w:vMerge w:val="continue"/>
            <w:vAlign w:val="center"/>
          </w:tcPr>
          <w:p>
            <w:pPr>
              <w:rPr>
                <w:rFonts w:hint="eastAsia" w:ascii="仿宋_GB2312" w:hAnsi="仿宋_GB2312" w:eastAsia="仿宋_GB2312" w:cs="仿宋_GB2312"/>
              </w:rPr>
            </w:pPr>
          </w:p>
        </w:tc>
        <w:tc>
          <w:tcPr>
            <w:tcW w:w="509"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时效指标</w:t>
            </w:r>
          </w:p>
        </w:tc>
        <w:tc>
          <w:tcPr>
            <w:tcW w:w="966"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形成富有地方特色的工作经验完成时间</w:t>
            </w:r>
          </w:p>
        </w:tc>
        <w:tc>
          <w:tcPr>
            <w:tcW w:w="1068"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形成富有地方特色的工作经验完成时间</w:t>
            </w:r>
          </w:p>
        </w:tc>
        <w:tc>
          <w:tcPr>
            <w:tcW w:w="559"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2022年12月</w:t>
            </w:r>
          </w:p>
        </w:tc>
        <w:tc>
          <w:tcPr>
            <w:tcW w:w="1605"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《河北省宣传文化（发展）专项资金使用管理办法》（冀财规[2017]138号）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 w:type="pct"/>
            <w:vMerge w:val="continue"/>
            <w:vAlign w:val="center"/>
          </w:tcPr>
          <w:p>
            <w:pPr>
              <w:rPr>
                <w:rFonts w:hint="eastAsia" w:ascii="仿宋_GB2312" w:hAnsi="仿宋_GB2312" w:eastAsia="仿宋_GB2312" w:cs="仿宋_GB2312"/>
              </w:rPr>
            </w:pPr>
          </w:p>
        </w:tc>
        <w:tc>
          <w:tcPr>
            <w:tcW w:w="509"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成本指标</w:t>
            </w:r>
          </w:p>
        </w:tc>
        <w:tc>
          <w:tcPr>
            <w:tcW w:w="966"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设备配置经费限于新时代文明实践所及本年度补助资金占比</w:t>
            </w:r>
          </w:p>
        </w:tc>
        <w:tc>
          <w:tcPr>
            <w:tcW w:w="1068"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设备配置经费限于新时代文明实践所及本年度补助资金占比</w:t>
            </w:r>
          </w:p>
        </w:tc>
        <w:tc>
          <w:tcPr>
            <w:tcW w:w="559"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≤50%</w:t>
            </w:r>
          </w:p>
        </w:tc>
        <w:tc>
          <w:tcPr>
            <w:tcW w:w="1605"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《河北省宣传文化（发展）专项资金使用管理办法》（冀财规[2017]138号）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 w:type="pct"/>
            <w:vAlign w:val="center"/>
          </w:tcPr>
          <w:p>
            <w:pPr>
              <w:pStyle w:val="21"/>
              <w:rPr>
                <w:rFonts w:hint="eastAsia" w:ascii="仿宋_GB2312" w:hAnsi="仿宋_GB2312" w:eastAsia="仿宋_GB2312" w:cs="仿宋_GB2312"/>
              </w:rPr>
            </w:pPr>
            <w:r>
              <w:rPr>
                <w:rFonts w:hint="eastAsia" w:ascii="仿宋_GB2312" w:hAnsi="仿宋_GB2312" w:eastAsia="仿宋_GB2312" w:cs="仿宋_GB2312"/>
              </w:rPr>
              <w:t>效益指标</w:t>
            </w:r>
          </w:p>
        </w:tc>
        <w:tc>
          <w:tcPr>
            <w:tcW w:w="509"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966"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文明实践志愿服务者骨干培训次数占计划培训次数比率</w:t>
            </w:r>
          </w:p>
        </w:tc>
        <w:tc>
          <w:tcPr>
            <w:tcW w:w="1068"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文明实践志愿服务者骨干培训次数占计划培训次数比率</w:t>
            </w:r>
          </w:p>
        </w:tc>
        <w:tc>
          <w:tcPr>
            <w:tcW w:w="559"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≥91%</w:t>
            </w:r>
          </w:p>
        </w:tc>
        <w:tc>
          <w:tcPr>
            <w:tcW w:w="1605"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《河北省宣传文化（发展）专项资金使用管理办法》（冀财规[2017]138号）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 w:type="pct"/>
            <w:vAlign w:val="center"/>
          </w:tcPr>
          <w:p>
            <w:pPr>
              <w:pStyle w:val="21"/>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509"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966"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服务对象满意度</w:t>
            </w:r>
          </w:p>
        </w:tc>
        <w:tc>
          <w:tcPr>
            <w:tcW w:w="1068"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对新时代文明工作满意人数占总人数的比率</w:t>
            </w:r>
          </w:p>
        </w:tc>
        <w:tc>
          <w:tcPr>
            <w:tcW w:w="559"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≥82%</w:t>
            </w:r>
          </w:p>
        </w:tc>
        <w:tc>
          <w:tcPr>
            <w:tcW w:w="1605"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实际调查</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docGrid w:linePitch="312" w:charSpace="0"/>
        </w:sectPr>
      </w:pPr>
    </w:p>
    <w:p>
      <w:pPr>
        <w:jc w:val="center"/>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ind w:firstLine="560"/>
        <w:jc w:val="left"/>
        <w:outlineLvl w:val="3"/>
        <w:rPr>
          <w:rFonts w:hint="eastAsia" w:ascii="仿宋_GB2312" w:hAnsi="仿宋_GB2312" w:eastAsia="仿宋_GB2312" w:cs="仿宋_GB2312"/>
        </w:rPr>
      </w:pPr>
      <w:bookmarkStart w:id="17" w:name="_Toc_4_4_0000000021"/>
      <w:r>
        <w:rPr>
          <w:rFonts w:hint="eastAsia" w:ascii="仿宋_GB2312" w:hAnsi="仿宋_GB2312" w:eastAsia="仿宋_GB2312" w:cs="仿宋_GB2312"/>
          <w:color w:val="000000"/>
          <w:sz w:val="28"/>
        </w:rPr>
        <w:t>18.原乡镇（公社）老电影放映员生活补助专项资金[区级]绩效目标表</w:t>
      </w:r>
      <w:bookmarkEnd w:id="17"/>
    </w:p>
    <w:tbl>
      <w:tblPr>
        <w:tblStyle w:val="11"/>
        <w:tblW w:w="5000"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8"/>
        <w:gridCol w:w="12140"/>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Align w:val="center"/>
          </w:tcPr>
          <w:p>
            <w:pPr>
              <w:pStyle w:val="19"/>
              <w:rPr>
                <w:rFonts w:hint="eastAsia" w:ascii="仿宋_GB2312" w:hAnsi="仿宋_GB2312" w:eastAsia="仿宋_GB2312" w:cs="仿宋_GB2312"/>
              </w:rPr>
            </w:pPr>
            <w:r>
              <w:rPr>
                <w:rFonts w:hint="eastAsia" w:ascii="仿宋_GB2312" w:hAnsi="仿宋_GB2312" w:eastAsia="仿宋_GB2312" w:cs="仿宋_GB2312"/>
              </w:rPr>
              <w:t>绩效目标</w:t>
            </w:r>
          </w:p>
        </w:tc>
        <w:tc>
          <w:tcPr>
            <w:tcW w:w="4355"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1.该项目采取生活补助的形式，妥善解决原乡镇（公社）老放映员的历史遗留问题，妥善解决老放映员的保障和生活困难问题，积极改善民生。</w:t>
            </w:r>
          </w:p>
        </w:tc>
      </w:tr>
    </w:tbl>
    <w:p>
      <w:pPr>
        <w:spacing w:line="2" w:lineRule="exact"/>
        <w:jc w:val="center"/>
        <w:rPr>
          <w:rFonts w:hint="eastAsia" w:ascii="仿宋_GB2312" w:hAnsi="仿宋_GB2312" w:eastAsia="仿宋_GB2312" w:cs="仿宋_GB2312"/>
        </w:rPr>
      </w:pPr>
      <w:r>
        <w:rPr>
          <w:rFonts w:hint="eastAsia" w:ascii="仿宋_GB2312" w:hAnsi="仿宋_GB2312" w:eastAsia="仿宋_GB2312" w:cs="仿宋_GB2312"/>
          <w:color w:val="000000"/>
        </w:rPr>
        <w:t xml:space="preserve"> </w:t>
      </w:r>
    </w:p>
    <w:tbl>
      <w:tblPr>
        <w:tblStyle w:val="11"/>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1"/>
        <w:gridCol w:w="1991"/>
        <w:gridCol w:w="1991"/>
        <w:gridCol w:w="2629"/>
        <w:gridCol w:w="2205"/>
        <w:gridCol w:w="313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pPr>
              <w:pStyle w:val="19"/>
              <w:rPr>
                <w:rFonts w:hint="eastAsia" w:ascii="仿宋_GB2312" w:hAnsi="仿宋_GB2312" w:eastAsia="仿宋_GB2312" w:cs="仿宋_GB2312"/>
              </w:rPr>
            </w:pPr>
            <w:r>
              <w:rPr>
                <w:rFonts w:hint="eastAsia" w:ascii="仿宋_GB2312" w:hAnsi="仿宋_GB2312" w:eastAsia="仿宋_GB2312" w:cs="仿宋_GB2312"/>
              </w:rPr>
              <w:t>一级指标</w:t>
            </w:r>
          </w:p>
        </w:tc>
        <w:tc>
          <w:tcPr>
            <w:tcW w:w="714" w:type="pct"/>
            <w:vAlign w:val="center"/>
          </w:tcPr>
          <w:p>
            <w:pPr>
              <w:pStyle w:val="19"/>
              <w:rPr>
                <w:rFonts w:hint="eastAsia" w:ascii="仿宋_GB2312" w:hAnsi="仿宋_GB2312" w:eastAsia="仿宋_GB2312" w:cs="仿宋_GB2312"/>
              </w:rPr>
            </w:pPr>
            <w:r>
              <w:rPr>
                <w:rFonts w:hint="eastAsia" w:ascii="仿宋_GB2312" w:hAnsi="仿宋_GB2312" w:eastAsia="仿宋_GB2312" w:cs="仿宋_GB2312"/>
              </w:rPr>
              <w:t>二级指标</w:t>
            </w:r>
          </w:p>
        </w:tc>
        <w:tc>
          <w:tcPr>
            <w:tcW w:w="714" w:type="pct"/>
            <w:vAlign w:val="center"/>
          </w:tcPr>
          <w:p>
            <w:pPr>
              <w:pStyle w:val="19"/>
              <w:rPr>
                <w:rFonts w:hint="eastAsia" w:ascii="仿宋_GB2312" w:hAnsi="仿宋_GB2312" w:eastAsia="仿宋_GB2312" w:cs="仿宋_GB2312"/>
              </w:rPr>
            </w:pPr>
            <w:r>
              <w:rPr>
                <w:rFonts w:hint="eastAsia" w:ascii="仿宋_GB2312" w:hAnsi="仿宋_GB2312" w:eastAsia="仿宋_GB2312" w:cs="仿宋_GB2312"/>
              </w:rPr>
              <w:t>三级指标</w:t>
            </w:r>
          </w:p>
        </w:tc>
        <w:tc>
          <w:tcPr>
            <w:tcW w:w="943" w:type="pct"/>
            <w:vAlign w:val="center"/>
          </w:tcPr>
          <w:p>
            <w:pPr>
              <w:pStyle w:val="19"/>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791" w:type="pct"/>
            <w:vAlign w:val="center"/>
          </w:tcPr>
          <w:p>
            <w:pPr>
              <w:pStyle w:val="19"/>
              <w:rPr>
                <w:rFonts w:hint="eastAsia" w:ascii="仿宋_GB2312" w:hAnsi="仿宋_GB2312" w:eastAsia="仿宋_GB2312" w:cs="仿宋_GB2312"/>
              </w:rPr>
            </w:pPr>
            <w:r>
              <w:rPr>
                <w:rFonts w:hint="eastAsia" w:ascii="仿宋_GB2312" w:hAnsi="仿宋_GB2312" w:eastAsia="仿宋_GB2312" w:cs="仿宋_GB2312"/>
              </w:rPr>
              <w:t>指标值</w:t>
            </w:r>
          </w:p>
        </w:tc>
        <w:tc>
          <w:tcPr>
            <w:tcW w:w="1123" w:type="pct"/>
            <w:vAlign w:val="center"/>
          </w:tcPr>
          <w:p>
            <w:pPr>
              <w:pStyle w:val="19"/>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21"/>
              <w:rPr>
                <w:rFonts w:hint="eastAsia" w:ascii="仿宋_GB2312" w:hAnsi="仿宋_GB2312" w:eastAsia="仿宋_GB2312" w:cs="仿宋_GB2312"/>
              </w:rPr>
            </w:pPr>
            <w:r>
              <w:rPr>
                <w:rFonts w:hint="eastAsia" w:ascii="仿宋_GB2312" w:hAnsi="仿宋_GB2312" w:eastAsia="仿宋_GB2312" w:cs="仿宋_GB2312"/>
              </w:rPr>
              <w:t>产出指标</w:t>
            </w:r>
          </w:p>
        </w:tc>
        <w:tc>
          <w:tcPr>
            <w:tcW w:w="714"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数量指标</w:t>
            </w:r>
          </w:p>
        </w:tc>
        <w:tc>
          <w:tcPr>
            <w:tcW w:w="714"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补助人数　</w:t>
            </w:r>
          </w:p>
        </w:tc>
        <w:tc>
          <w:tcPr>
            <w:tcW w:w="943"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补助人数　</w:t>
            </w:r>
          </w:p>
        </w:tc>
        <w:tc>
          <w:tcPr>
            <w:tcW w:w="791"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9人</w:t>
            </w:r>
          </w:p>
        </w:tc>
        <w:tc>
          <w:tcPr>
            <w:tcW w:w="1123"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关于妥善解决乡镇（公社）老放映员历史遗留问题实施方案（冀政办函〔2013〕17号）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_GB2312" w:hAnsi="仿宋_GB2312" w:eastAsia="仿宋_GB2312" w:cs="仿宋_GB2312"/>
              </w:rPr>
            </w:pPr>
          </w:p>
        </w:tc>
        <w:tc>
          <w:tcPr>
            <w:tcW w:w="714"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质量指标</w:t>
            </w:r>
          </w:p>
        </w:tc>
        <w:tc>
          <w:tcPr>
            <w:tcW w:w="714"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补贴资金到位率　</w:t>
            </w:r>
          </w:p>
        </w:tc>
        <w:tc>
          <w:tcPr>
            <w:tcW w:w="943"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补贴资金到位率　</w:t>
            </w:r>
          </w:p>
        </w:tc>
        <w:tc>
          <w:tcPr>
            <w:tcW w:w="791"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100%</w:t>
            </w:r>
          </w:p>
        </w:tc>
        <w:tc>
          <w:tcPr>
            <w:tcW w:w="1123"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关于妥善解决乡镇（公社）老放映员历史遗留问题实施方案（冀政办函〔2013〕17号）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_GB2312" w:hAnsi="仿宋_GB2312" w:eastAsia="仿宋_GB2312" w:cs="仿宋_GB2312"/>
              </w:rPr>
            </w:pPr>
          </w:p>
        </w:tc>
        <w:tc>
          <w:tcPr>
            <w:tcW w:w="714"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时效指标</w:t>
            </w:r>
          </w:p>
        </w:tc>
        <w:tc>
          <w:tcPr>
            <w:tcW w:w="714"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补助发放及时　</w:t>
            </w:r>
          </w:p>
        </w:tc>
        <w:tc>
          <w:tcPr>
            <w:tcW w:w="943"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补助发放及时　</w:t>
            </w:r>
          </w:p>
        </w:tc>
        <w:tc>
          <w:tcPr>
            <w:tcW w:w="791"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6月份一次，12月份一次</w:t>
            </w:r>
          </w:p>
        </w:tc>
        <w:tc>
          <w:tcPr>
            <w:tcW w:w="1123"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关于妥善解决乡镇（公社）老放映员历史遗留问题实施方案（冀政办函〔2013〕17号）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_GB2312" w:hAnsi="仿宋_GB2312" w:eastAsia="仿宋_GB2312" w:cs="仿宋_GB2312"/>
              </w:rPr>
            </w:pPr>
          </w:p>
        </w:tc>
        <w:tc>
          <w:tcPr>
            <w:tcW w:w="714"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成本指标</w:t>
            </w:r>
          </w:p>
        </w:tc>
        <w:tc>
          <w:tcPr>
            <w:tcW w:w="714"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补助资金成本　</w:t>
            </w:r>
          </w:p>
        </w:tc>
        <w:tc>
          <w:tcPr>
            <w:tcW w:w="943"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补助资金成本　</w:t>
            </w:r>
          </w:p>
        </w:tc>
        <w:tc>
          <w:tcPr>
            <w:tcW w:w="791"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≤3万元</w:t>
            </w:r>
          </w:p>
        </w:tc>
        <w:tc>
          <w:tcPr>
            <w:tcW w:w="1123"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关于妥善解决乡镇（公社）老放映员历史遗留问题实施方案（冀政办函〔2013〕17号）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21"/>
              <w:rPr>
                <w:rFonts w:hint="eastAsia" w:ascii="仿宋_GB2312" w:hAnsi="仿宋_GB2312" w:eastAsia="仿宋_GB2312" w:cs="仿宋_GB2312"/>
              </w:rPr>
            </w:pPr>
            <w:r>
              <w:rPr>
                <w:rFonts w:hint="eastAsia" w:ascii="仿宋_GB2312" w:hAnsi="仿宋_GB2312" w:eastAsia="仿宋_GB2312" w:cs="仿宋_GB2312"/>
              </w:rPr>
              <w:t>效益指标</w:t>
            </w:r>
          </w:p>
        </w:tc>
        <w:tc>
          <w:tcPr>
            <w:tcW w:w="714"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714"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提升老放映员生活保障　</w:t>
            </w:r>
          </w:p>
        </w:tc>
        <w:tc>
          <w:tcPr>
            <w:tcW w:w="943"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提升老放映员生活保障　</w:t>
            </w:r>
          </w:p>
        </w:tc>
        <w:tc>
          <w:tcPr>
            <w:tcW w:w="791"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提升</w:t>
            </w:r>
          </w:p>
        </w:tc>
        <w:tc>
          <w:tcPr>
            <w:tcW w:w="1123"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关于妥善解决乡镇（公社）老放映员历史遗留问题实施方案（冀政办函〔2013〕17号）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21"/>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714"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714"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受益人员满意度　</w:t>
            </w:r>
          </w:p>
        </w:tc>
        <w:tc>
          <w:tcPr>
            <w:tcW w:w="943"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满意的老放映员数量占总人数的比率</w:t>
            </w:r>
          </w:p>
        </w:tc>
        <w:tc>
          <w:tcPr>
            <w:tcW w:w="791"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≥90%</w:t>
            </w:r>
          </w:p>
        </w:tc>
        <w:tc>
          <w:tcPr>
            <w:tcW w:w="1123"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实际调查</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docGrid w:linePitch="312" w:charSpace="0"/>
        </w:sectPr>
      </w:pPr>
    </w:p>
    <w:p>
      <w:pPr>
        <w:jc w:val="center"/>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ind w:firstLine="560"/>
        <w:jc w:val="left"/>
        <w:outlineLvl w:val="3"/>
        <w:rPr>
          <w:rFonts w:hint="eastAsia" w:ascii="仿宋_GB2312" w:hAnsi="仿宋_GB2312" w:eastAsia="仿宋_GB2312" w:cs="仿宋_GB2312"/>
        </w:rPr>
      </w:pPr>
      <w:bookmarkStart w:id="18" w:name="_Toc_4_4_0000000022"/>
      <w:r>
        <w:rPr>
          <w:rFonts w:hint="eastAsia" w:ascii="仿宋_GB2312" w:hAnsi="仿宋_GB2312" w:eastAsia="仿宋_GB2312" w:cs="仿宋_GB2312"/>
          <w:color w:val="000000"/>
          <w:sz w:val="28"/>
        </w:rPr>
        <w:t>19.原乡镇（公社）老电影放映员生活补助专项资金[省级]绩效目标表</w:t>
      </w:r>
      <w:bookmarkEnd w:id="18"/>
    </w:p>
    <w:tbl>
      <w:tblPr>
        <w:tblStyle w:val="11"/>
        <w:tblW w:w="5000"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8"/>
        <w:gridCol w:w="12140"/>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Align w:val="center"/>
          </w:tcPr>
          <w:p>
            <w:pPr>
              <w:pStyle w:val="19"/>
              <w:rPr>
                <w:rFonts w:hint="eastAsia" w:ascii="仿宋_GB2312" w:hAnsi="仿宋_GB2312" w:eastAsia="仿宋_GB2312" w:cs="仿宋_GB2312"/>
              </w:rPr>
            </w:pPr>
            <w:r>
              <w:rPr>
                <w:rFonts w:hint="eastAsia" w:ascii="仿宋_GB2312" w:hAnsi="仿宋_GB2312" w:eastAsia="仿宋_GB2312" w:cs="仿宋_GB2312"/>
              </w:rPr>
              <w:t>绩效目标</w:t>
            </w:r>
          </w:p>
        </w:tc>
        <w:tc>
          <w:tcPr>
            <w:tcW w:w="4355"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1.专项用于2022年原乡镇（公社）电影放映员生活补助，按照规定的补贴标准，及时足额发放到位。妥善解决原乡镇（公社）老放映员的历史遗留问题，妥善解决老放映员的保障和生活困难问题，积极改善民生。</w:t>
            </w:r>
          </w:p>
        </w:tc>
      </w:tr>
    </w:tbl>
    <w:p>
      <w:pPr>
        <w:spacing w:line="2" w:lineRule="exact"/>
        <w:jc w:val="center"/>
        <w:rPr>
          <w:rFonts w:hint="eastAsia" w:ascii="仿宋_GB2312" w:hAnsi="仿宋_GB2312" w:eastAsia="仿宋_GB2312" w:cs="仿宋_GB2312"/>
        </w:rPr>
      </w:pPr>
      <w:r>
        <w:rPr>
          <w:rFonts w:hint="eastAsia" w:ascii="仿宋_GB2312" w:hAnsi="仿宋_GB2312" w:eastAsia="仿宋_GB2312" w:cs="仿宋_GB2312"/>
          <w:color w:val="000000"/>
        </w:rPr>
        <w:t xml:space="preserve"> </w:t>
      </w:r>
    </w:p>
    <w:tbl>
      <w:tblPr>
        <w:tblStyle w:val="11"/>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8"/>
        <w:gridCol w:w="1798"/>
        <w:gridCol w:w="1876"/>
        <w:gridCol w:w="4073"/>
        <w:gridCol w:w="1798"/>
        <w:gridCol w:w="25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45" w:type="pct"/>
            <w:vAlign w:val="center"/>
          </w:tcPr>
          <w:p>
            <w:pPr>
              <w:pStyle w:val="19"/>
              <w:rPr>
                <w:rFonts w:hint="eastAsia" w:ascii="仿宋_GB2312" w:hAnsi="仿宋_GB2312" w:eastAsia="仿宋_GB2312" w:cs="仿宋_GB2312"/>
              </w:rPr>
            </w:pPr>
            <w:r>
              <w:rPr>
                <w:rFonts w:hint="eastAsia" w:ascii="仿宋_GB2312" w:hAnsi="仿宋_GB2312" w:eastAsia="仿宋_GB2312" w:cs="仿宋_GB2312"/>
              </w:rPr>
              <w:t>一级指标</w:t>
            </w:r>
          </w:p>
        </w:tc>
        <w:tc>
          <w:tcPr>
            <w:tcW w:w="645" w:type="pct"/>
            <w:vAlign w:val="center"/>
          </w:tcPr>
          <w:p>
            <w:pPr>
              <w:pStyle w:val="19"/>
              <w:rPr>
                <w:rFonts w:hint="eastAsia" w:ascii="仿宋_GB2312" w:hAnsi="仿宋_GB2312" w:eastAsia="仿宋_GB2312" w:cs="仿宋_GB2312"/>
              </w:rPr>
            </w:pPr>
            <w:r>
              <w:rPr>
                <w:rFonts w:hint="eastAsia" w:ascii="仿宋_GB2312" w:hAnsi="仿宋_GB2312" w:eastAsia="仿宋_GB2312" w:cs="仿宋_GB2312"/>
              </w:rPr>
              <w:t>二级指标</w:t>
            </w:r>
          </w:p>
        </w:tc>
        <w:tc>
          <w:tcPr>
            <w:tcW w:w="673" w:type="pct"/>
            <w:vAlign w:val="center"/>
          </w:tcPr>
          <w:p>
            <w:pPr>
              <w:pStyle w:val="19"/>
              <w:rPr>
                <w:rFonts w:hint="eastAsia" w:ascii="仿宋_GB2312" w:hAnsi="仿宋_GB2312" w:eastAsia="仿宋_GB2312" w:cs="仿宋_GB2312"/>
              </w:rPr>
            </w:pPr>
            <w:r>
              <w:rPr>
                <w:rFonts w:hint="eastAsia" w:ascii="仿宋_GB2312" w:hAnsi="仿宋_GB2312" w:eastAsia="仿宋_GB2312" w:cs="仿宋_GB2312"/>
              </w:rPr>
              <w:t>三级指标</w:t>
            </w:r>
          </w:p>
        </w:tc>
        <w:tc>
          <w:tcPr>
            <w:tcW w:w="1461" w:type="pct"/>
            <w:vAlign w:val="center"/>
          </w:tcPr>
          <w:p>
            <w:pPr>
              <w:pStyle w:val="19"/>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645" w:type="pct"/>
            <w:vAlign w:val="center"/>
          </w:tcPr>
          <w:p>
            <w:pPr>
              <w:pStyle w:val="19"/>
              <w:rPr>
                <w:rFonts w:hint="eastAsia" w:ascii="仿宋_GB2312" w:hAnsi="仿宋_GB2312" w:eastAsia="仿宋_GB2312" w:cs="仿宋_GB2312"/>
              </w:rPr>
            </w:pPr>
            <w:r>
              <w:rPr>
                <w:rFonts w:hint="eastAsia" w:ascii="仿宋_GB2312" w:hAnsi="仿宋_GB2312" w:eastAsia="仿宋_GB2312" w:cs="仿宋_GB2312"/>
              </w:rPr>
              <w:t>指标值</w:t>
            </w:r>
          </w:p>
        </w:tc>
        <w:tc>
          <w:tcPr>
            <w:tcW w:w="931" w:type="pct"/>
            <w:vAlign w:val="center"/>
          </w:tcPr>
          <w:p>
            <w:pPr>
              <w:pStyle w:val="19"/>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restart"/>
            <w:vAlign w:val="center"/>
          </w:tcPr>
          <w:p>
            <w:pPr>
              <w:pStyle w:val="21"/>
              <w:rPr>
                <w:rFonts w:hint="eastAsia" w:ascii="仿宋_GB2312" w:hAnsi="仿宋_GB2312" w:eastAsia="仿宋_GB2312" w:cs="仿宋_GB2312"/>
              </w:rPr>
            </w:pPr>
            <w:r>
              <w:rPr>
                <w:rFonts w:hint="eastAsia" w:ascii="仿宋_GB2312" w:hAnsi="仿宋_GB2312" w:eastAsia="仿宋_GB2312" w:cs="仿宋_GB2312"/>
              </w:rPr>
              <w:t>产出指标</w:t>
            </w:r>
          </w:p>
        </w:tc>
        <w:tc>
          <w:tcPr>
            <w:tcW w:w="645"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数量指标</w:t>
            </w:r>
          </w:p>
        </w:tc>
        <w:tc>
          <w:tcPr>
            <w:tcW w:w="673"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 xml:space="preserve">补助人数 </w:t>
            </w:r>
          </w:p>
          <w:p>
            <w:pPr>
              <w:pStyle w:val="20"/>
              <w:rPr>
                <w:rFonts w:hint="eastAsia" w:ascii="仿宋_GB2312" w:hAnsi="仿宋_GB2312" w:eastAsia="仿宋_GB2312" w:cs="仿宋_GB2312"/>
              </w:rPr>
            </w:pPr>
          </w:p>
        </w:tc>
        <w:tc>
          <w:tcPr>
            <w:tcW w:w="1461"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 xml:space="preserve">补助人数 </w:t>
            </w:r>
          </w:p>
          <w:p>
            <w:pPr>
              <w:pStyle w:val="20"/>
              <w:rPr>
                <w:rFonts w:hint="eastAsia" w:ascii="仿宋_GB2312" w:hAnsi="仿宋_GB2312" w:eastAsia="仿宋_GB2312" w:cs="仿宋_GB2312"/>
              </w:rPr>
            </w:pPr>
          </w:p>
        </w:tc>
        <w:tc>
          <w:tcPr>
            <w:tcW w:w="645"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9人</w:t>
            </w:r>
          </w:p>
        </w:tc>
        <w:tc>
          <w:tcPr>
            <w:tcW w:w="931"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根据实际人数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vAlign w:val="center"/>
          </w:tcPr>
          <w:p>
            <w:pPr>
              <w:rPr>
                <w:rFonts w:hint="eastAsia" w:ascii="仿宋_GB2312" w:hAnsi="仿宋_GB2312" w:eastAsia="仿宋_GB2312" w:cs="仿宋_GB2312"/>
              </w:rPr>
            </w:pPr>
          </w:p>
        </w:tc>
        <w:tc>
          <w:tcPr>
            <w:tcW w:w="645"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质量指标</w:t>
            </w:r>
          </w:p>
        </w:tc>
        <w:tc>
          <w:tcPr>
            <w:tcW w:w="673"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补贴资金到位率</w:t>
            </w:r>
          </w:p>
        </w:tc>
        <w:tc>
          <w:tcPr>
            <w:tcW w:w="1461"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补贴资金到位率</w:t>
            </w:r>
          </w:p>
        </w:tc>
        <w:tc>
          <w:tcPr>
            <w:tcW w:w="645"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100%</w:t>
            </w:r>
          </w:p>
        </w:tc>
        <w:tc>
          <w:tcPr>
            <w:tcW w:w="931"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根据往年经验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vAlign w:val="center"/>
          </w:tcPr>
          <w:p>
            <w:pPr>
              <w:rPr>
                <w:rFonts w:hint="eastAsia" w:ascii="仿宋_GB2312" w:hAnsi="仿宋_GB2312" w:eastAsia="仿宋_GB2312" w:cs="仿宋_GB2312"/>
              </w:rPr>
            </w:pPr>
          </w:p>
        </w:tc>
        <w:tc>
          <w:tcPr>
            <w:tcW w:w="645"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时效指标</w:t>
            </w:r>
          </w:p>
        </w:tc>
        <w:tc>
          <w:tcPr>
            <w:tcW w:w="673"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补助发放及时</w:t>
            </w:r>
          </w:p>
        </w:tc>
        <w:tc>
          <w:tcPr>
            <w:tcW w:w="1461"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补助发放及时</w:t>
            </w:r>
          </w:p>
        </w:tc>
        <w:tc>
          <w:tcPr>
            <w:tcW w:w="645"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6月份1次，12月份1次</w:t>
            </w:r>
          </w:p>
        </w:tc>
        <w:tc>
          <w:tcPr>
            <w:tcW w:w="931"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根据往年经验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vAlign w:val="center"/>
          </w:tcPr>
          <w:p>
            <w:pPr>
              <w:rPr>
                <w:rFonts w:hint="eastAsia" w:ascii="仿宋_GB2312" w:hAnsi="仿宋_GB2312" w:eastAsia="仿宋_GB2312" w:cs="仿宋_GB2312"/>
              </w:rPr>
            </w:pPr>
          </w:p>
        </w:tc>
        <w:tc>
          <w:tcPr>
            <w:tcW w:w="645"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成本指标</w:t>
            </w:r>
          </w:p>
        </w:tc>
        <w:tc>
          <w:tcPr>
            <w:tcW w:w="673"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补助资金成本</w:t>
            </w:r>
          </w:p>
        </w:tc>
        <w:tc>
          <w:tcPr>
            <w:tcW w:w="1461"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补助资金成本</w:t>
            </w:r>
          </w:p>
        </w:tc>
        <w:tc>
          <w:tcPr>
            <w:tcW w:w="645"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≤3912元</w:t>
            </w:r>
          </w:p>
        </w:tc>
        <w:tc>
          <w:tcPr>
            <w:tcW w:w="931"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根据实际金额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Align w:val="center"/>
          </w:tcPr>
          <w:p>
            <w:pPr>
              <w:pStyle w:val="21"/>
              <w:rPr>
                <w:rFonts w:hint="eastAsia" w:ascii="仿宋_GB2312" w:hAnsi="仿宋_GB2312" w:eastAsia="仿宋_GB2312" w:cs="仿宋_GB2312"/>
              </w:rPr>
            </w:pPr>
            <w:r>
              <w:rPr>
                <w:rFonts w:hint="eastAsia" w:ascii="仿宋_GB2312" w:hAnsi="仿宋_GB2312" w:eastAsia="仿宋_GB2312" w:cs="仿宋_GB2312"/>
              </w:rPr>
              <w:t>效益指标</w:t>
            </w:r>
          </w:p>
        </w:tc>
        <w:tc>
          <w:tcPr>
            <w:tcW w:w="645"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673"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提升老放映员生活保障</w:t>
            </w:r>
          </w:p>
        </w:tc>
        <w:tc>
          <w:tcPr>
            <w:tcW w:w="1461"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 xml:space="preserve">提升老放映员生活保障 </w:t>
            </w:r>
          </w:p>
          <w:p>
            <w:pPr>
              <w:pStyle w:val="20"/>
              <w:rPr>
                <w:rFonts w:hint="eastAsia" w:ascii="仿宋_GB2312" w:hAnsi="仿宋_GB2312" w:eastAsia="仿宋_GB2312" w:cs="仿宋_GB2312"/>
              </w:rPr>
            </w:pPr>
          </w:p>
        </w:tc>
        <w:tc>
          <w:tcPr>
            <w:tcW w:w="645"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提升</w:t>
            </w:r>
          </w:p>
        </w:tc>
        <w:tc>
          <w:tcPr>
            <w:tcW w:w="931"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根据往年经验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Align w:val="center"/>
          </w:tcPr>
          <w:p>
            <w:pPr>
              <w:pStyle w:val="21"/>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645"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673"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受益人员满意度</w:t>
            </w:r>
          </w:p>
        </w:tc>
        <w:tc>
          <w:tcPr>
            <w:tcW w:w="1461"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满意的老放映员数量占总人数的比率</w:t>
            </w:r>
          </w:p>
        </w:tc>
        <w:tc>
          <w:tcPr>
            <w:tcW w:w="645"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≥90%</w:t>
            </w:r>
          </w:p>
        </w:tc>
        <w:tc>
          <w:tcPr>
            <w:tcW w:w="931"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实际调查</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docGrid w:linePitch="312" w:charSpace="0"/>
        </w:sectPr>
      </w:pPr>
    </w:p>
    <w:p>
      <w:pPr>
        <w:jc w:val="center"/>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ind w:firstLine="560"/>
        <w:jc w:val="left"/>
        <w:outlineLvl w:val="3"/>
        <w:rPr>
          <w:rFonts w:hint="eastAsia" w:ascii="仿宋_GB2312" w:hAnsi="仿宋_GB2312" w:eastAsia="仿宋_GB2312" w:cs="仿宋_GB2312"/>
        </w:rPr>
      </w:pPr>
      <w:bookmarkStart w:id="19" w:name="_Toc_4_4_0000000023"/>
      <w:r>
        <w:rPr>
          <w:rFonts w:hint="eastAsia" w:ascii="仿宋_GB2312" w:hAnsi="仿宋_GB2312" w:eastAsia="仿宋_GB2312" w:cs="仿宋_GB2312"/>
          <w:color w:val="000000"/>
          <w:sz w:val="28"/>
        </w:rPr>
        <w:t>20.原乡镇（公社）老电影放映员生活补助专项资金[市级]绩效目标表</w:t>
      </w:r>
      <w:bookmarkEnd w:id="19"/>
    </w:p>
    <w:tbl>
      <w:tblPr>
        <w:tblStyle w:val="11"/>
        <w:tblW w:w="5000"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8"/>
        <w:gridCol w:w="12140"/>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Align w:val="center"/>
          </w:tcPr>
          <w:p>
            <w:pPr>
              <w:pStyle w:val="19"/>
              <w:rPr>
                <w:rFonts w:hint="eastAsia" w:ascii="仿宋_GB2312" w:hAnsi="仿宋_GB2312" w:eastAsia="仿宋_GB2312" w:cs="仿宋_GB2312"/>
              </w:rPr>
            </w:pPr>
            <w:r>
              <w:rPr>
                <w:rFonts w:hint="eastAsia" w:ascii="仿宋_GB2312" w:hAnsi="仿宋_GB2312" w:eastAsia="仿宋_GB2312" w:cs="仿宋_GB2312"/>
              </w:rPr>
              <w:t>绩效目标</w:t>
            </w:r>
          </w:p>
        </w:tc>
        <w:tc>
          <w:tcPr>
            <w:tcW w:w="4355"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1.专项用于2022年原乡镇（公社）电影放映员生活补助，按照规定的补贴标准，及时足额发放到位。妥善解决原乡镇（公社）老放映员的历史遗留问题，妥善解决老放映员的保障和生活困难问题，积极改善民生。</w:t>
            </w:r>
          </w:p>
        </w:tc>
      </w:tr>
    </w:tbl>
    <w:p>
      <w:pPr>
        <w:spacing w:line="2" w:lineRule="exact"/>
        <w:jc w:val="center"/>
        <w:rPr>
          <w:rFonts w:hint="eastAsia" w:ascii="仿宋_GB2312" w:hAnsi="仿宋_GB2312" w:eastAsia="仿宋_GB2312" w:cs="仿宋_GB2312"/>
        </w:rPr>
      </w:pPr>
      <w:r>
        <w:rPr>
          <w:rFonts w:hint="eastAsia" w:ascii="仿宋_GB2312" w:hAnsi="仿宋_GB2312" w:eastAsia="仿宋_GB2312" w:cs="仿宋_GB2312"/>
          <w:color w:val="000000"/>
        </w:rPr>
        <w:t xml:space="preserve"> </w:t>
      </w:r>
    </w:p>
    <w:tbl>
      <w:tblPr>
        <w:tblStyle w:val="11"/>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8"/>
        <w:gridCol w:w="1798"/>
        <w:gridCol w:w="1876"/>
        <w:gridCol w:w="4073"/>
        <w:gridCol w:w="1798"/>
        <w:gridCol w:w="25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45" w:type="pct"/>
            <w:vAlign w:val="center"/>
          </w:tcPr>
          <w:p>
            <w:pPr>
              <w:pStyle w:val="19"/>
              <w:rPr>
                <w:rFonts w:hint="eastAsia" w:ascii="仿宋_GB2312" w:hAnsi="仿宋_GB2312" w:eastAsia="仿宋_GB2312" w:cs="仿宋_GB2312"/>
              </w:rPr>
            </w:pPr>
            <w:r>
              <w:rPr>
                <w:rFonts w:hint="eastAsia" w:ascii="仿宋_GB2312" w:hAnsi="仿宋_GB2312" w:eastAsia="仿宋_GB2312" w:cs="仿宋_GB2312"/>
              </w:rPr>
              <w:t>一级指标</w:t>
            </w:r>
          </w:p>
        </w:tc>
        <w:tc>
          <w:tcPr>
            <w:tcW w:w="645" w:type="pct"/>
            <w:vAlign w:val="center"/>
          </w:tcPr>
          <w:p>
            <w:pPr>
              <w:pStyle w:val="19"/>
              <w:rPr>
                <w:rFonts w:hint="eastAsia" w:ascii="仿宋_GB2312" w:hAnsi="仿宋_GB2312" w:eastAsia="仿宋_GB2312" w:cs="仿宋_GB2312"/>
              </w:rPr>
            </w:pPr>
            <w:r>
              <w:rPr>
                <w:rFonts w:hint="eastAsia" w:ascii="仿宋_GB2312" w:hAnsi="仿宋_GB2312" w:eastAsia="仿宋_GB2312" w:cs="仿宋_GB2312"/>
              </w:rPr>
              <w:t>二级指标</w:t>
            </w:r>
          </w:p>
        </w:tc>
        <w:tc>
          <w:tcPr>
            <w:tcW w:w="673" w:type="pct"/>
            <w:vAlign w:val="center"/>
          </w:tcPr>
          <w:p>
            <w:pPr>
              <w:pStyle w:val="19"/>
              <w:rPr>
                <w:rFonts w:hint="eastAsia" w:ascii="仿宋_GB2312" w:hAnsi="仿宋_GB2312" w:eastAsia="仿宋_GB2312" w:cs="仿宋_GB2312"/>
              </w:rPr>
            </w:pPr>
            <w:r>
              <w:rPr>
                <w:rFonts w:hint="eastAsia" w:ascii="仿宋_GB2312" w:hAnsi="仿宋_GB2312" w:eastAsia="仿宋_GB2312" w:cs="仿宋_GB2312"/>
              </w:rPr>
              <w:t>三级指标</w:t>
            </w:r>
          </w:p>
        </w:tc>
        <w:tc>
          <w:tcPr>
            <w:tcW w:w="1461" w:type="pct"/>
            <w:vAlign w:val="center"/>
          </w:tcPr>
          <w:p>
            <w:pPr>
              <w:pStyle w:val="19"/>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645" w:type="pct"/>
            <w:vAlign w:val="center"/>
          </w:tcPr>
          <w:p>
            <w:pPr>
              <w:pStyle w:val="19"/>
              <w:rPr>
                <w:rFonts w:hint="eastAsia" w:ascii="仿宋_GB2312" w:hAnsi="仿宋_GB2312" w:eastAsia="仿宋_GB2312" w:cs="仿宋_GB2312"/>
              </w:rPr>
            </w:pPr>
            <w:r>
              <w:rPr>
                <w:rFonts w:hint="eastAsia" w:ascii="仿宋_GB2312" w:hAnsi="仿宋_GB2312" w:eastAsia="仿宋_GB2312" w:cs="仿宋_GB2312"/>
              </w:rPr>
              <w:t>指标值</w:t>
            </w:r>
          </w:p>
        </w:tc>
        <w:tc>
          <w:tcPr>
            <w:tcW w:w="931" w:type="pct"/>
            <w:vAlign w:val="center"/>
          </w:tcPr>
          <w:p>
            <w:pPr>
              <w:pStyle w:val="19"/>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restart"/>
            <w:vAlign w:val="center"/>
          </w:tcPr>
          <w:p>
            <w:pPr>
              <w:pStyle w:val="21"/>
              <w:rPr>
                <w:rFonts w:hint="eastAsia" w:ascii="仿宋_GB2312" w:hAnsi="仿宋_GB2312" w:eastAsia="仿宋_GB2312" w:cs="仿宋_GB2312"/>
              </w:rPr>
            </w:pPr>
            <w:r>
              <w:rPr>
                <w:rFonts w:hint="eastAsia" w:ascii="仿宋_GB2312" w:hAnsi="仿宋_GB2312" w:eastAsia="仿宋_GB2312" w:cs="仿宋_GB2312"/>
              </w:rPr>
              <w:t>产出指标</w:t>
            </w:r>
          </w:p>
        </w:tc>
        <w:tc>
          <w:tcPr>
            <w:tcW w:w="645"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数量指标</w:t>
            </w:r>
          </w:p>
        </w:tc>
        <w:tc>
          <w:tcPr>
            <w:tcW w:w="673"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 xml:space="preserve">补助人数 </w:t>
            </w:r>
          </w:p>
          <w:p>
            <w:pPr>
              <w:pStyle w:val="20"/>
              <w:rPr>
                <w:rFonts w:hint="eastAsia" w:ascii="仿宋_GB2312" w:hAnsi="仿宋_GB2312" w:eastAsia="仿宋_GB2312" w:cs="仿宋_GB2312"/>
              </w:rPr>
            </w:pPr>
          </w:p>
        </w:tc>
        <w:tc>
          <w:tcPr>
            <w:tcW w:w="1461"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 xml:space="preserve">补助人数 </w:t>
            </w:r>
          </w:p>
          <w:p>
            <w:pPr>
              <w:pStyle w:val="20"/>
              <w:rPr>
                <w:rFonts w:hint="eastAsia" w:ascii="仿宋_GB2312" w:hAnsi="仿宋_GB2312" w:eastAsia="仿宋_GB2312" w:cs="仿宋_GB2312"/>
              </w:rPr>
            </w:pPr>
          </w:p>
        </w:tc>
        <w:tc>
          <w:tcPr>
            <w:tcW w:w="645"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9人</w:t>
            </w:r>
          </w:p>
        </w:tc>
        <w:tc>
          <w:tcPr>
            <w:tcW w:w="931"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根据实际人数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vAlign w:val="center"/>
          </w:tcPr>
          <w:p>
            <w:pPr>
              <w:rPr>
                <w:rFonts w:hint="eastAsia" w:ascii="仿宋_GB2312" w:hAnsi="仿宋_GB2312" w:eastAsia="仿宋_GB2312" w:cs="仿宋_GB2312"/>
              </w:rPr>
            </w:pPr>
          </w:p>
        </w:tc>
        <w:tc>
          <w:tcPr>
            <w:tcW w:w="645"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质量指标</w:t>
            </w:r>
          </w:p>
        </w:tc>
        <w:tc>
          <w:tcPr>
            <w:tcW w:w="673"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补贴资金到位率</w:t>
            </w:r>
          </w:p>
        </w:tc>
        <w:tc>
          <w:tcPr>
            <w:tcW w:w="1461"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补贴资金到位率</w:t>
            </w:r>
          </w:p>
        </w:tc>
        <w:tc>
          <w:tcPr>
            <w:tcW w:w="645"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100%</w:t>
            </w:r>
          </w:p>
        </w:tc>
        <w:tc>
          <w:tcPr>
            <w:tcW w:w="931"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根据往年经验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vAlign w:val="center"/>
          </w:tcPr>
          <w:p>
            <w:pPr>
              <w:rPr>
                <w:rFonts w:hint="eastAsia" w:ascii="仿宋_GB2312" w:hAnsi="仿宋_GB2312" w:eastAsia="仿宋_GB2312" w:cs="仿宋_GB2312"/>
              </w:rPr>
            </w:pPr>
          </w:p>
        </w:tc>
        <w:tc>
          <w:tcPr>
            <w:tcW w:w="645"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时效指标</w:t>
            </w:r>
          </w:p>
        </w:tc>
        <w:tc>
          <w:tcPr>
            <w:tcW w:w="673"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补助发放及时</w:t>
            </w:r>
          </w:p>
        </w:tc>
        <w:tc>
          <w:tcPr>
            <w:tcW w:w="1461"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补助发放及时</w:t>
            </w:r>
          </w:p>
        </w:tc>
        <w:tc>
          <w:tcPr>
            <w:tcW w:w="645"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及时</w:t>
            </w:r>
          </w:p>
        </w:tc>
        <w:tc>
          <w:tcPr>
            <w:tcW w:w="931"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根据往年经验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vAlign w:val="center"/>
          </w:tcPr>
          <w:p>
            <w:pPr>
              <w:rPr>
                <w:rFonts w:hint="eastAsia" w:ascii="仿宋_GB2312" w:hAnsi="仿宋_GB2312" w:eastAsia="仿宋_GB2312" w:cs="仿宋_GB2312"/>
              </w:rPr>
            </w:pPr>
          </w:p>
        </w:tc>
        <w:tc>
          <w:tcPr>
            <w:tcW w:w="645"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成本指标</w:t>
            </w:r>
          </w:p>
        </w:tc>
        <w:tc>
          <w:tcPr>
            <w:tcW w:w="673"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补助资金成本</w:t>
            </w:r>
          </w:p>
        </w:tc>
        <w:tc>
          <w:tcPr>
            <w:tcW w:w="1461"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补助资金成本</w:t>
            </w:r>
          </w:p>
        </w:tc>
        <w:tc>
          <w:tcPr>
            <w:tcW w:w="645"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≤5868元</w:t>
            </w:r>
          </w:p>
        </w:tc>
        <w:tc>
          <w:tcPr>
            <w:tcW w:w="931"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根据实际金额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Align w:val="center"/>
          </w:tcPr>
          <w:p>
            <w:pPr>
              <w:pStyle w:val="21"/>
              <w:rPr>
                <w:rFonts w:hint="eastAsia" w:ascii="仿宋_GB2312" w:hAnsi="仿宋_GB2312" w:eastAsia="仿宋_GB2312" w:cs="仿宋_GB2312"/>
              </w:rPr>
            </w:pPr>
            <w:r>
              <w:rPr>
                <w:rFonts w:hint="eastAsia" w:ascii="仿宋_GB2312" w:hAnsi="仿宋_GB2312" w:eastAsia="仿宋_GB2312" w:cs="仿宋_GB2312"/>
              </w:rPr>
              <w:t>效益指标</w:t>
            </w:r>
          </w:p>
        </w:tc>
        <w:tc>
          <w:tcPr>
            <w:tcW w:w="645"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673"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提升老放映员生活保障</w:t>
            </w:r>
          </w:p>
        </w:tc>
        <w:tc>
          <w:tcPr>
            <w:tcW w:w="1461"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 xml:space="preserve">提升老放映员生活保障 </w:t>
            </w:r>
          </w:p>
          <w:p>
            <w:pPr>
              <w:pStyle w:val="20"/>
              <w:rPr>
                <w:rFonts w:hint="eastAsia" w:ascii="仿宋_GB2312" w:hAnsi="仿宋_GB2312" w:eastAsia="仿宋_GB2312" w:cs="仿宋_GB2312"/>
              </w:rPr>
            </w:pPr>
          </w:p>
        </w:tc>
        <w:tc>
          <w:tcPr>
            <w:tcW w:w="645"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提升</w:t>
            </w:r>
          </w:p>
        </w:tc>
        <w:tc>
          <w:tcPr>
            <w:tcW w:w="931"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根据往年经验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Align w:val="center"/>
          </w:tcPr>
          <w:p>
            <w:pPr>
              <w:pStyle w:val="21"/>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645"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673"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受益人员满意度</w:t>
            </w:r>
          </w:p>
        </w:tc>
        <w:tc>
          <w:tcPr>
            <w:tcW w:w="1461"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满意的老放映员数量占总人数的比率</w:t>
            </w:r>
          </w:p>
        </w:tc>
        <w:tc>
          <w:tcPr>
            <w:tcW w:w="645"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≥90%</w:t>
            </w:r>
          </w:p>
        </w:tc>
        <w:tc>
          <w:tcPr>
            <w:tcW w:w="931"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实际调查</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docGrid w:linePitch="312" w:charSpace="0"/>
        </w:sectPr>
      </w:pPr>
    </w:p>
    <w:p>
      <w:pPr>
        <w:jc w:val="center"/>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ind w:firstLine="560"/>
        <w:jc w:val="left"/>
        <w:outlineLvl w:val="3"/>
        <w:rPr>
          <w:rFonts w:hint="eastAsia" w:ascii="仿宋_GB2312" w:hAnsi="仿宋_GB2312" w:eastAsia="仿宋_GB2312" w:cs="仿宋_GB2312"/>
        </w:rPr>
      </w:pPr>
      <w:bookmarkStart w:id="20" w:name="_Toc_4_4_0000000024"/>
      <w:r>
        <w:rPr>
          <w:rFonts w:hint="eastAsia" w:ascii="仿宋_GB2312" w:hAnsi="仿宋_GB2312" w:eastAsia="仿宋_GB2312" w:cs="仿宋_GB2312"/>
          <w:color w:val="000000"/>
          <w:sz w:val="28"/>
        </w:rPr>
        <w:t>21.政府机关软件正版化采购项目经费绩效目标表</w:t>
      </w:r>
      <w:bookmarkEnd w:id="20"/>
    </w:p>
    <w:tbl>
      <w:tblPr>
        <w:tblStyle w:val="11"/>
        <w:tblW w:w="5000"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8"/>
        <w:gridCol w:w="12140"/>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Align w:val="center"/>
          </w:tcPr>
          <w:p>
            <w:pPr>
              <w:pStyle w:val="19"/>
              <w:rPr>
                <w:rFonts w:hint="eastAsia" w:ascii="仿宋_GB2312" w:hAnsi="仿宋_GB2312" w:eastAsia="仿宋_GB2312" w:cs="仿宋_GB2312"/>
              </w:rPr>
            </w:pPr>
            <w:r>
              <w:rPr>
                <w:rFonts w:hint="eastAsia" w:ascii="仿宋_GB2312" w:hAnsi="仿宋_GB2312" w:eastAsia="仿宋_GB2312" w:cs="仿宋_GB2312"/>
              </w:rPr>
              <w:t>绩效目标</w:t>
            </w:r>
          </w:p>
        </w:tc>
        <w:tc>
          <w:tcPr>
            <w:tcW w:w="4355"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1.软件正版化率100%是全国版权示范城市的一条主要标准，广阳区各级各部门完成软件正版化率100%。</w:t>
            </w:r>
          </w:p>
        </w:tc>
      </w:tr>
    </w:tbl>
    <w:p>
      <w:pPr>
        <w:spacing w:line="2" w:lineRule="exact"/>
        <w:jc w:val="center"/>
        <w:rPr>
          <w:rFonts w:hint="eastAsia" w:ascii="仿宋_GB2312" w:hAnsi="仿宋_GB2312" w:eastAsia="仿宋_GB2312" w:cs="仿宋_GB2312"/>
        </w:rPr>
      </w:pPr>
      <w:r>
        <w:rPr>
          <w:rFonts w:hint="eastAsia" w:ascii="仿宋_GB2312" w:hAnsi="仿宋_GB2312" w:eastAsia="仿宋_GB2312" w:cs="仿宋_GB2312"/>
          <w:color w:val="000000"/>
        </w:rPr>
        <w:t xml:space="preserve"> </w:t>
      </w:r>
    </w:p>
    <w:tbl>
      <w:tblPr>
        <w:tblStyle w:val="11"/>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7"/>
        <w:gridCol w:w="1798"/>
        <w:gridCol w:w="1876"/>
        <w:gridCol w:w="4073"/>
        <w:gridCol w:w="912"/>
        <w:gridCol w:w="348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45" w:type="pct"/>
            <w:vAlign w:val="center"/>
          </w:tcPr>
          <w:p>
            <w:pPr>
              <w:pStyle w:val="19"/>
              <w:rPr>
                <w:rFonts w:hint="eastAsia" w:ascii="仿宋_GB2312" w:hAnsi="仿宋_GB2312" w:eastAsia="仿宋_GB2312" w:cs="仿宋_GB2312"/>
              </w:rPr>
            </w:pPr>
            <w:r>
              <w:rPr>
                <w:rFonts w:hint="eastAsia" w:ascii="仿宋_GB2312" w:hAnsi="仿宋_GB2312" w:eastAsia="仿宋_GB2312" w:cs="仿宋_GB2312"/>
              </w:rPr>
              <w:t>一级指标</w:t>
            </w:r>
          </w:p>
        </w:tc>
        <w:tc>
          <w:tcPr>
            <w:tcW w:w="645" w:type="pct"/>
            <w:vAlign w:val="center"/>
          </w:tcPr>
          <w:p>
            <w:pPr>
              <w:pStyle w:val="19"/>
              <w:rPr>
                <w:rFonts w:hint="eastAsia" w:ascii="仿宋_GB2312" w:hAnsi="仿宋_GB2312" w:eastAsia="仿宋_GB2312" w:cs="仿宋_GB2312"/>
              </w:rPr>
            </w:pPr>
            <w:r>
              <w:rPr>
                <w:rFonts w:hint="eastAsia" w:ascii="仿宋_GB2312" w:hAnsi="仿宋_GB2312" w:eastAsia="仿宋_GB2312" w:cs="仿宋_GB2312"/>
              </w:rPr>
              <w:t>二级指标</w:t>
            </w:r>
          </w:p>
        </w:tc>
        <w:tc>
          <w:tcPr>
            <w:tcW w:w="673" w:type="pct"/>
            <w:vAlign w:val="center"/>
          </w:tcPr>
          <w:p>
            <w:pPr>
              <w:pStyle w:val="19"/>
              <w:rPr>
                <w:rFonts w:hint="eastAsia" w:ascii="仿宋_GB2312" w:hAnsi="仿宋_GB2312" w:eastAsia="仿宋_GB2312" w:cs="仿宋_GB2312"/>
              </w:rPr>
            </w:pPr>
            <w:r>
              <w:rPr>
                <w:rFonts w:hint="eastAsia" w:ascii="仿宋_GB2312" w:hAnsi="仿宋_GB2312" w:eastAsia="仿宋_GB2312" w:cs="仿宋_GB2312"/>
              </w:rPr>
              <w:t>三级指标</w:t>
            </w:r>
          </w:p>
        </w:tc>
        <w:tc>
          <w:tcPr>
            <w:tcW w:w="1461" w:type="pct"/>
            <w:vAlign w:val="center"/>
          </w:tcPr>
          <w:p>
            <w:pPr>
              <w:pStyle w:val="19"/>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327" w:type="pct"/>
            <w:vAlign w:val="center"/>
          </w:tcPr>
          <w:p>
            <w:pPr>
              <w:pStyle w:val="19"/>
              <w:rPr>
                <w:rFonts w:hint="eastAsia" w:ascii="仿宋_GB2312" w:hAnsi="仿宋_GB2312" w:eastAsia="仿宋_GB2312" w:cs="仿宋_GB2312"/>
              </w:rPr>
            </w:pPr>
            <w:r>
              <w:rPr>
                <w:rFonts w:hint="eastAsia" w:ascii="仿宋_GB2312" w:hAnsi="仿宋_GB2312" w:eastAsia="仿宋_GB2312" w:cs="仿宋_GB2312"/>
              </w:rPr>
              <w:t>指标值</w:t>
            </w:r>
          </w:p>
        </w:tc>
        <w:tc>
          <w:tcPr>
            <w:tcW w:w="1249" w:type="pct"/>
            <w:vAlign w:val="center"/>
          </w:tcPr>
          <w:p>
            <w:pPr>
              <w:pStyle w:val="19"/>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restart"/>
            <w:vAlign w:val="center"/>
          </w:tcPr>
          <w:p>
            <w:pPr>
              <w:pStyle w:val="21"/>
              <w:rPr>
                <w:rFonts w:hint="eastAsia" w:ascii="仿宋_GB2312" w:hAnsi="仿宋_GB2312" w:eastAsia="仿宋_GB2312" w:cs="仿宋_GB2312"/>
              </w:rPr>
            </w:pPr>
            <w:r>
              <w:rPr>
                <w:rFonts w:hint="eastAsia" w:ascii="仿宋_GB2312" w:hAnsi="仿宋_GB2312" w:eastAsia="仿宋_GB2312" w:cs="仿宋_GB2312"/>
              </w:rPr>
              <w:t>产出指标</w:t>
            </w:r>
          </w:p>
        </w:tc>
        <w:tc>
          <w:tcPr>
            <w:tcW w:w="645"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数量指标</w:t>
            </w:r>
          </w:p>
        </w:tc>
        <w:tc>
          <w:tcPr>
            <w:tcW w:w="673"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政府机关安装正版软件计算机台数　</w:t>
            </w:r>
          </w:p>
        </w:tc>
        <w:tc>
          <w:tcPr>
            <w:tcW w:w="1461"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政府机关安装正版软件计算机台数</w:t>
            </w:r>
          </w:p>
        </w:tc>
        <w:tc>
          <w:tcPr>
            <w:tcW w:w="327"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≤2500台</w:t>
            </w:r>
          </w:p>
        </w:tc>
        <w:tc>
          <w:tcPr>
            <w:tcW w:w="1249"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《廊坊市使用正版软件工作领导小组关于政府机关使用正版软件工作的通知》廊正软字【2019】1号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vAlign w:val="center"/>
          </w:tcPr>
          <w:p>
            <w:pPr>
              <w:rPr>
                <w:rFonts w:hint="eastAsia" w:ascii="仿宋_GB2312" w:hAnsi="仿宋_GB2312" w:eastAsia="仿宋_GB2312" w:cs="仿宋_GB2312"/>
              </w:rPr>
            </w:pPr>
          </w:p>
        </w:tc>
        <w:tc>
          <w:tcPr>
            <w:tcW w:w="645"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质量指标</w:t>
            </w:r>
          </w:p>
        </w:tc>
        <w:tc>
          <w:tcPr>
            <w:tcW w:w="673"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政府机关软件正版率　</w:t>
            </w:r>
          </w:p>
        </w:tc>
        <w:tc>
          <w:tcPr>
            <w:tcW w:w="1461"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政府机关软件正版率　</w:t>
            </w:r>
          </w:p>
        </w:tc>
        <w:tc>
          <w:tcPr>
            <w:tcW w:w="327"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100%　</w:t>
            </w:r>
          </w:p>
        </w:tc>
        <w:tc>
          <w:tcPr>
            <w:tcW w:w="1249"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《廊坊市使用正版软件工作领导小组关于政府机关使用正版软件工作的通知》廊正软字【2019】1号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vAlign w:val="center"/>
          </w:tcPr>
          <w:p>
            <w:pPr>
              <w:rPr>
                <w:rFonts w:hint="eastAsia" w:ascii="仿宋_GB2312" w:hAnsi="仿宋_GB2312" w:eastAsia="仿宋_GB2312" w:cs="仿宋_GB2312"/>
              </w:rPr>
            </w:pPr>
          </w:p>
        </w:tc>
        <w:tc>
          <w:tcPr>
            <w:tcW w:w="645"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时效指标</w:t>
            </w:r>
          </w:p>
        </w:tc>
        <w:tc>
          <w:tcPr>
            <w:tcW w:w="673"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完成率　</w:t>
            </w:r>
          </w:p>
        </w:tc>
        <w:tc>
          <w:tcPr>
            <w:tcW w:w="1461"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按照要求和计划完成　</w:t>
            </w:r>
          </w:p>
        </w:tc>
        <w:tc>
          <w:tcPr>
            <w:tcW w:w="327"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≤11月份　</w:t>
            </w:r>
          </w:p>
        </w:tc>
        <w:tc>
          <w:tcPr>
            <w:tcW w:w="1249"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《廊坊市使用正版软件工作领导小组关于政府机关使用正版软件工作的通知》廊正软字【2019】1号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vAlign w:val="center"/>
          </w:tcPr>
          <w:p>
            <w:pPr>
              <w:rPr>
                <w:rFonts w:hint="eastAsia" w:ascii="仿宋_GB2312" w:hAnsi="仿宋_GB2312" w:eastAsia="仿宋_GB2312" w:cs="仿宋_GB2312"/>
              </w:rPr>
            </w:pPr>
          </w:p>
        </w:tc>
        <w:tc>
          <w:tcPr>
            <w:tcW w:w="645"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成本指标</w:t>
            </w:r>
          </w:p>
        </w:tc>
        <w:tc>
          <w:tcPr>
            <w:tcW w:w="673"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成本控制　</w:t>
            </w:r>
          </w:p>
        </w:tc>
        <w:tc>
          <w:tcPr>
            <w:tcW w:w="1461"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成本控制情况　</w:t>
            </w:r>
          </w:p>
        </w:tc>
        <w:tc>
          <w:tcPr>
            <w:tcW w:w="327"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≤20万元　</w:t>
            </w:r>
          </w:p>
        </w:tc>
        <w:tc>
          <w:tcPr>
            <w:tcW w:w="1249"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《廊坊市使用正版软件工作领导小组关于政府机关使用正版软件工作的通知》廊正软字【2019】1号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Align w:val="center"/>
          </w:tcPr>
          <w:p>
            <w:pPr>
              <w:pStyle w:val="21"/>
              <w:rPr>
                <w:rFonts w:hint="eastAsia" w:ascii="仿宋_GB2312" w:hAnsi="仿宋_GB2312" w:eastAsia="仿宋_GB2312" w:cs="仿宋_GB2312"/>
              </w:rPr>
            </w:pPr>
            <w:r>
              <w:rPr>
                <w:rFonts w:hint="eastAsia" w:ascii="仿宋_GB2312" w:hAnsi="仿宋_GB2312" w:eastAsia="仿宋_GB2312" w:cs="仿宋_GB2312"/>
              </w:rPr>
              <w:t>效益指标</w:t>
            </w:r>
          </w:p>
        </w:tc>
        <w:tc>
          <w:tcPr>
            <w:tcW w:w="645"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673"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政府机关带头使用正版软件使用期限　</w:t>
            </w:r>
          </w:p>
        </w:tc>
        <w:tc>
          <w:tcPr>
            <w:tcW w:w="1461"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政府机关带头使用正版软件持续长效使用　</w:t>
            </w:r>
          </w:p>
        </w:tc>
        <w:tc>
          <w:tcPr>
            <w:tcW w:w="327"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1年　</w:t>
            </w:r>
          </w:p>
        </w:tc>
        <w:tc>
          <w:tcPr>
            <w:tcW w:w="1249"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《廊坊市使用正版软件工作领导小组关于政府机关使用正版软件工作的通知》廊正软字【2019】1号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Align w:val="center"/>
          </w:tcPr>
          <w:p>
            <w:pPr>
              <w:pStyle w:val="21"/>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645"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673"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机关工作人员满意度　</w:t>
            </w:r>
          </w:p>
        </w:tc>
        <w:tc>
          <w:tcPr>
            <w:tcW w:w="1461"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　机关工作人员对国产办公软件操作整体满意度</w:t>
            </w:r>
          </w:p>
        </w:tc>
        <w:tc>
          <w:tcPr>
            <w:tcW w:w="327"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≥90%</w:t>
            </w:r>
          </w:p>
        </w:tc>
        <w:tc>
          <w:tcPr>
            <w:tcW w:w="1249"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实际调查</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docGrid w:linePitch="312" w:charSpace="0"/>
        </w:sectPr>
      </w:pPr>
    </w:p>
    <w:p>
      <w:pPr>
        <w:jc w:val="center"/>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ind w:firstLine="560"/>
        <w:jc w:val="left"/>
        <w:outlineLvl w:val="3"/>
        <w:rPr>
          <w:rFonts w:hint="eastAsia" w:ascii="仿宋_GB2312" w:hAnsi="仿宋_GB2312" w:eastAsia="仿宋_GB2312" w:cs="仿宋_GB2312"/>
        </w:rPr>
      </w:pPr>
      <w:bookmarkStart w:id="21" w:name="_Toc_4_4_0000000025"/>
      <w:r>
        <w:rPr>
          <w:rFonts w:hint="eastAsia" w:ascii="仿宋_GB2312" w:hAnsi="仿宋_GB2312" w:eastAsia="仿宋_GB2312" w:cs="仿宋_GB2312"/>
          <w:color w:val="000000"/>
          <w:sz w:val="28"/>
        </w:rPr>
        <w:t>22.培训及科研经费绩效目标表</w:t>
      </w:r>
      <w:bookmarkEnd w:id="21"/>
    </w:p>
    <w:tbl>
      <w:tblPr>
        <w:tblStyle w:val="11"/>
        <w:tblW w:w="5000"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58"/>
        <w:gridCol w:w="1321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8" w:type="pct"/>
            <w:vAlign w:val="center"/>
          </w:tcPr>
          <w:p>
            <w:pPr>
              <w:pStyle w:val="19"/>
              <w:spacing w:line="340" w:lineRule="exact"/>
              <w:rPr>
                <w:rFonts w:hint="eastAsia" w:ascii="仿宋_GB2312" w:hAnsi="仿宋_GB2312" w:eastAsia="仿宋_GB2312" w:cs="仿宋_GB2312"/>
                <w:szCs w:val="21"/>
              </w:rPr>
            </w:pPr>
            <w:r>
              <w:rPr>
                <w:rFonts w:hint="eastAsia" w:ascii="仿宋_GB2312" w:hAnsi="仿宋_GB2312" w:eastAsia="仿宋_GB2312" w:cs="仿宋_GB2312"/>
                <w:szCs w:val="21"/>
              </w:rPr>
              <w:t>绩效目标</w:t>
            </w:r>
          </w:p>
        </w:tc>
        <w:tc>
          <w:tcPr>
            <w:tcW w:w="4662" w:type="pct"/>
            <w:vAlign w:val="center"/>
          </w:tcPr>
          <w:p>
            <w:pPr>
              <w:pStyle w:val="20"/>
              <w:spacing w:line="340" w:lineRule="exact"/>
              <w:rPr>
                <w:rFonts w:hint="eastAsia" w:ascii="仿宋_GB2312" w:hAnsi="仿宋_GB2312" w:eastAsia="仿宋_GB2312" w:cs="仿宋_GB2312"/>
                <w:szCs w:val="21"/>
              </w:rPr>
            </w:pPr>
            <w:r>
              <w:rPr>
                <w:rFonts w:hint="eastAsia" w:ascii="仿宋_GB2312" w:hAnsi="仿宋_GB2312" w:eastAsia="仿宋_GB2312" w:cs="仿宋_GB2312"/>
                <w:szCs w:val="21"/>
              </w:rPr>
              <w:t>1.通过举办培训主体班次，提升学员政治理论，系统学习习近平新时代中国特色社会主义思想，开展专题党性教育和锻炼，学习履职必备的知识和能力，通过科研工作的开展，完成咨询决策工作，为区委、区政府决策提供有价值的对策和建议。</w:t>
            </w:r>
          </w:p>
        </w:tc>
      </w:tr>
    </w:tbl>
    <w:p>
      <w:pPr>
        <w:spacing w:line="340" w:lineRule="exact"/>
        <w:jc w:val="center"/>
        <w:rPr>
          <w:rFonts w:hint="eastAsia" w:ascii="仿宋_GB2312" w:hAnsi="仿宋_GB2312" w:eastAsia="仿宋_GB2312" w:cs="仿宋_GB2312"/>
          <w:szCs w:val="21"/>
        </w:rPr>
      </w:pPr>
      <w:r>
        <w:rPr>
          <w:rFonts w:hint="eastAsia" w:ascii="仿宋_GB2312" w:hAnsi="仿宋_GB2312" w:eastAsia="仿宋_GB2312" w:cs="仿宋_GB2312"/>
          <w:color w:val="000000"/>
          <w:szCs w:val="21"/>
        </w:rPr>
        <w:t xml:space="preserve"> </w:t>
      </w:r>
    </w:p>
    <w:tbl>
      <w:tblPr>
        <w:tblStyle w:val="11"/>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58"/>
        <w:gridCol w:w="1559"/>
        <w:gridCol w:w="3121"/>
        <w:gridCol w:w="6183"/>
        <w:gridCol w:w="774"/>
        <w:gridCol w:w="157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338" w:type="pct"/>
            <w:vAlign w:val="center"/>
          </w:tcPr>
          <w:p>
            <w:pPr>
              <w:pStyle w:val="19"/>
              <w:spacing w:line="340" w:lineRule="exact"/>
              <w:rPr>
                <w:rFonts w:hint="eastAsia" w:ascii="仿宋_GB2312" w:hAnsi="仿宋_GB2312" w:eastAsia="仿宋_GB2312" w:cs="仿宋_GB2312"/>
                <w:szCs w:val="21"/>
              </w:rPr>
            </w:pPr>
            <w:r>
              <w:rPr>
                <w:rFonts w:hint="eastAsia" w:ascii="仿宋_GB2312" w:hAnsi="仿宋_GB2312" w:eastAsia="仿宋_GB2312" w:cs="仿宋_GB2312"/>
                <w:szCs w:val="21"/>
              </w:rPr>
              <w:t>一级指标</w:t>
            </w:r>
          </w:p>
        </w:tc>
        <w:tc>
          <w:tcPr>
            <w:tcW w:w="550" w:type="pct"/>
            <w:vAlign w:val="center"/>
          </w:tcPr>
          <w:p>
            <w:pPr>
              <w:pStyle w:val="19"/>
              <w:spacing w:line="340" w:lineRule="exact"/>
              <w:rPr>
                <w:rFonts w:hint="eastAsia" w:ascii="仿宋_GB2312" w:hAnsi="仿宋_GB2312" w:eastAsia="仿宋_GB2312" w:cs="仿宋_GB2312"/>
                <w:szCs w:val="21"/>
              </w:rPr>
            </w:pPr>
            <w:r>
              <w:rPr>
                <w:rFonts w:hint="eastAsia" w:ascii="仿宋_GB2312" w:hAnsi="仿宋_GB2312" w:eastAsia="仿宋_GB2312" w:cs="仿宋_GB2312"/>
                <w:szCs w:val="21"/>
              </w:rPr>
              <w:t>二级指标</w:t>
            </w:r>
          </w:p>
        </w:tc>
        <w:tc>
          <w:tcPr>
            <w:tcW w:w="1101" w:type="pct"/>
            <w:vAlign w:val="center"/>
          </w:tcPr>
          <w:p>
            <w:pPr>
              <w:pStyle w:val="19"/>
              <w:spacing w:line="340" w:lineRule="exact"/>
              <w:rPr>
                <w:rFonts w:hint="eastAsia" w:ascii="仿宋_GB2312" w:hAnsi="仿宋_GB2312" w:eastAsia="仿宋_GB2312" w:cs="仿宋_GB2312"/>
                <w:szCs w:val="21"/>
              </w:rPr>
            </w:pPr>
            <w:r>
              <w:rPr>
                <w:rFonts w:hint="eastAsia" w:ascii="仿宋_GB2312" w:hAnsi="仿宋_GB2312" w:eastAsia="仿宋_GB2312" w:cs="仿宋_GB2312"/>
                <w:szCs w:val="21"/>
              </w:rPr>
              <w:t>三级指标</w:t>
            </w:r>
          </w:p>
        </w:tc>
        <w:tc>
          <w:tcPr>
            <w:tcW w:w="2181" w:type="pct"/>
            <w:vAlign w:val="center"/>
          </w:tcPr>
          <w:p>
            <w:pPr>
              <w:pStyle w:val="19"/>
              <w:spacing w:line="340" w:lineRule="exact"/>
              <w:rPr>
                <w:rFonts w:hint="eastAsia" w:ascii="仿宋_GB2312" w:hAnsi="仿宋_GB2312" w:eastAsia="仿宋_GB2312" w:cs="仿宋_GB2312"/>
                <w:szCs w:val="21"/>
              </w:rPr>
            </w:pPr>
            <w:r>
              <w:rPr>
                <w:rFonts w:hint="eastAsia" w:ascii="仿宋_GB2312" w:hAnsi="仿宋_GB2312" w:eastAsia="仿宋_GB2312" w:cs="仿宋_GB2312"/>
                <w:szCs w:val="21"/>
              </w:rPr>
              <w:t>绩效指标描述</w:t>
            </w:r>
          </w:p>
        </w:tc>
        <w:tc>
          <w:tcPr>
            <w:tcW w:w="273" w:type="pct"/>
            <w:vAlign w:val="center"/>
          </w:tcPr>
          <w:p>
            <w:pPr>
              <w:pStyle w:val="19"/>
              <w:spacing w:line="340" w:lineRule="exact"/>
              <w:rPr>
                <w:rFonts w:hint="eastAsia" w:ascii="仿宋_GB2312" w:hAnsi="仿宋_GB2312" w:eastAsia="仿宋_GB2312" w:cs="仿宋_GB2312"/>
                <w:szCs w:val="21"/>
              </w:rPr>
            </w:pPr>
            <w:r>
              <w:rPr>
                <w:rFonts w:hint="eastAsia" w:ascii="仿宋_GB2312" w:hAnsi="仿宋_GB2312" w:eastAsia="仿宋_GB2312" w:cs="仿宋_GB2312"/>
                <w:szCs w:val="21"/>
              </w:rPr>
              <w:t>指标值</w:t>
            </w:r>
          </w:p>
        </w:tc>
        <w:tc>
          <w:tcPr>
            <w:tcW w:w="557" w:type="pct"/>
            <w:vAlign w:val="center"/>
          </w:tcPr>
          <w:p>
            <w:pPr>
              <w:pStyle w:val="19"/>
              <w:spacing w:line="340" w:lineRule="exact"/>
              <w:rPr>
                <w:rFonts w:hint="eastAsia" w:ascii="仿宋_GB2312" w:hAnsi="仿宋_GB2312" w:eastAsia="仿宋_GB2312" w:cs="仿宋_GB2312"/>
                <w:szCs w:val="21"/>
              </w:rPr>
            </w:pPr>
            <w:r>
              <w:rPr>
                <w:rFonts w:hint="eastAsia" w:ascii="仿宋_GB2312" w:hAnsi="仿宋_GB2312" w:eastAsia="仿宋_GB2312" w:cs="仿宋_GB2312"/>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8" w:type="pct"/>
            <w:vMerge w:val="restart"/>
            <w:vAlign w:val="center"/>
          </w:tcPr>
          <w:p>
            <w:pPr>
              <w:pStyle w:val="21"/>
              <w:spacing w:line="340" w:lineRule="exact"/>
              <w:rPr>
                <w:rFonts w:hint="eastAsia" w:ascii="仿宋_GB2312" w:hAnsi="仿宋_GB2312" w:eastAsia="仿宋_GB2312" w:cs="仿宋_GB2312"/>
                <w:szCs w:val="21"/>
              </w:rPr>
            </w:pPr>
            <w:r>
              <w:rPr>
                <w:rFonts w:hint="eastAsia" w:ascii="仿宋_GB2312" w:hAnsi="仿宋_GB2312" w:eastAsia="仿宋_GB2312" w:cs="仿宋_GB2312"/>
                <w:szCs w:val="21"/>
              </w:rPr>
              <w:t>产出指标</w:t>
            </w:r>
          </w:p>
        </w:tc>
        <w:tc>
          <w:tcPr>
            <w:tcW w:w="550" w:type="pct"/>
            <w:vAlign w:val="center"/>
          </w:tcPr>
          <w:p>
            <w:pPr>
              <w:pStyle w:val="20"/>
              <w:spacing w:line="340" w:lineRule="exact"/>
              <w:rPr>
                <w:rFonts w:hint="eastAsia" w:ascii="仿宋_GB2312" w:hAnsi="仿宋_GB2312" w:eastAsia="仿宋_GB2312" w:cs="仿宋_GB2312"/>
                <w:szCs w:val="21"/>
              </w:rPr>
            </w:pPr>
            <w:r>
              <w:rPr>
                <w:rFonts w:hint="eastAsia" w:ascii="仿宋_GB2312" w:hAnsi="仿宋_GB2312" w:eastAsia="仿宋_GB2312" w:cs="仿宋_GB2312"/>
                <w:szCs w:val="21"/>
              </w:rPr>
              <w:t>数量指标</w:t>
            </w:r>
          </w:p>
        </w:tc>
        <w:tc>
          <w:tcPr>
            <w:tcW w:w="1101" w:type="pct"/>
            <w:vAlign w:val="center"/>
          </w:tcPr>
          <w:p>
            <w:pPr>
              <w:pStyle w:val="20"/>
              <w:spacing w:line="340" w:lineRule="exact"/>
              <w:rPr>
                <w:rFonts w:hint="eastAsia" w:ascii="仿宋_GB2312" w:hAnsi="仿宋_GB2312" w:eastAsia="仿宋_GB2312" w:cs="仿宋_GB2312"/>
                <w:szCs w:val="21"/>
              </w:rPr>
            </w:pPr>
            <w:r>
              <w:rPr>
                <w:rFonts w:hint="eastAsia" w:ascii="仿宋_GB2312" w:hAnsi="仿宋_GB2312" w:eastAsia="仿宋_GB2312" w:cs="仿宋_GB2312"/>
                <w:szCs w:val="21"/>
              </w:rPr>
              <w:t>全年举办培训班次数</w:t>
            </w:r>
          </w:p>
        </w:tc>
        <w:tc>
          <w:tcPr>
            <w:tcW w:w="2181" w:type="pct"/>
            <w:vAlign w:val="center"/>
          </w:tcPr>
          <w:p>
            <w:pPr>
              <w:pStyle w:val="20"/>
              <w:spacing w:line="340" w:lineRule="exact"/>
              <w:rPr>
                <w:rFonts w:hint="eastAsia" w:ascii="仿宋_GB2312" w:hAnsi="仿宋_GB2312" w:eastAsia="仿宋_GB2312" w:cs="仿宋_GB2312"/>
                <w:szCs w:val="21"/>
              </w:rPr>
            </w:pPr>
            <w:r>
              <w:rPr>
                <w:rFonts w:hint="eastAsia" w:ascii="仿宋_GB2312" w:hAnsi="仿宋_GB2312" w:eastAsia="仿宋_GB2312" w:cs="仿宋_GB2312"/>
                <w:szCs w:val="21"/>
              </w:rPr>
              <w:t>完成培训主体班学员次数</w:t>
            </w:r>
          </w:p>
        </w:tc>
        <w:tc>
          <w:tcPr>
            <w:tcW w:w="273" w:type="pct"/>
            <w:vAlign w:val="center"/>
          </w:tcPr>
          <w:p>
            <w:pPr>
              <w:pStyle w:val="20"/>
              <w:spacing w:line="340" w:lineRule="exact"/>
              <w:rPr>
                <w:rFonts w:hint="eastAsia" w:ascii="仿宋_GB2312" w:hAnsi="仿宋_GB2312" w:eastAsia="仿宋_GB2312" w:cs="仿宋_GB2312"/>
                <w:szCs w:val="21"/>
              </w:rPr>
            </w:pPr>
            <w:r>
              <w:rPr>
                <w:rFonts w:hint="eastAsia" w:ascii="仿宋_GB2312" w:hAnsi="仿宋_GB2312" w:eastAsia="仿宋_GB2312" w:cs="仿宋_GB2312"/>
                <w:szCs w:val="21"/>
              </w:rPr>
              <w:t>≥4次</w:t>
            </w:r>
          </w:p>
        </w:tc>
        <w:tc>
          <w:tcPr>
            <w:tcW w:w="557" w:type="pct"/>
            <w:vAlign w:val="center"/>
          </w:tcPr>
          <w:p>
            <w:pPr>
              <w:pStyle w:val="20"/>
              <w:spacing w:line="340" w:lineRule="exact"/>
              <w:rPr>
                <w:rFonts w:hint="eastAsia" w:ascii="仿宋_GB2312" w:hAnsi="仿宋_GB2312" w:eastAsia="仿宋_GB2312" w:cs="仿宋_GB2312"/>
                <w:szCs w:val="21"/>
              </w:rPr>
            </w:pPr>
            <w:r>
              <w:rPr>
                <w:rFonts w:hint="eastAsia" w:ascii="仿宋_GB2312" w:hAnsi="仿宋_GB2312" w:eastAsia="仿宋_GB2312" w:cs="仿宋_GB2312"/>
                <w:szCs w:val="21"/>
              </w:rPr>
              <w:t>按培训计划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8" w:type="pct"/>
            <w:vMerge w:val="continue"/>
            <w:vAlign w:val="center"/>
          </w:tcPr>
          <w:p>
            <w:pPr>
              <w:spacing w:line="340" w:lineRule="exact"/>
              <w:rPr>
                <w:rFonts w:hint="eastAsia" w:ascii="仿宋_GB2312" w:hAnsi="仿宋_GB2312" w:eastAsia="仿宋_GB2312" w:cs="仿宋_GB2312"/>
                <w:szCs w:val="21"/>
              </w:rPr>
            </w:pPr>
          </w:p>
        </w:tc>
        <w:tc>
          <w:tcPr>
            <w:tcW w:w="550" w:type="pct"/>
            <w:vAlign w:val="center"/>
          </w:tcPr>
          <w:p>
            <w:pPr>
              <w:pStyle w:val="20"/>
              <w:spacing w:line="340" w:lineRule="exact"/>
              <w:rPr>
                <w:rFonts w:hint="eastAsia" w:ascii="仿宋_GB2312" w:hAnsi="仿宋_GB2312" w:eastAsia="仿宋_GB2312" w:cs="仿宋_GB2312"/>
                <w:szCs w:val="21"/>
              </w:rPr>
            </w:pPr>
            <w:r>
              <w:rPr>
                <w:rFonts w:hint="eastAsia" w:ascii="仿宋_GB2312" w:hAnsi="仿宋_GB2312" w:eastAsia="仿宋_GB2312" w:cs="仿宋_GB2312"/>
                <w:szCs w:val="21"/>
              </w:rPr>
              <w:t>数量指标</w:t>
            </w:r>
          </w:p>
        </w:tc>
        <w:tc>
          <w:tcPr>
            <w:tcW w:w="1101" w:type="pct"/>
            <w:vAlign w:val="center"/>
          </w:tcPr>
          <w:p>
            <w:pPr>
              <w:pStyle w:val="20"/>
              <w:spacing w:line="340" w:lineRule="exact"/>
              <w:rPr>
                <w:rFonts w:hint="eastAsia" w:ascii="仿宋_GB2312" w:hAnsi="仿宋_GB2312" w:eastAsia="仿宋_GB2312" w:cs="仿宋_GB2312"/>
                <w:szCs w:val="21"/>
              </w:rPr>
            </w:pPr>
            <w:r>
              <w:rPr>
                <w:rFonts w:hint="eastAsia" w:ascii="仿宋_GB2312" w:hAnsi="仿宋_GB2312" w:eastAsia="仿宋_GB2312" w:cs="仿宋_GB2312"/>
                <w:szCs w:val="21"/>
              </w:rPr>
              <w:t>发表论文数量</w:t>
            </w:r>
          </w:p>
        </w:tc>
        <w:tc>
          <w:tcPr>
            <w:tcW w:w="2181" w:type="pct"/>
            <w:vAlign w:val="center"/>
          </w:tcPr>
          <w:p>
            <w:pPr>
              <w:pStyle w:val="20"/>
              <w:spacing w:line="340" w:lineRule="exact"/>
              <w:rPr>
                <w:rFonts w:hint="eastAsia" w:ascii="仿宋_GB2312" w:hAnsi="仿宋_GB2312" w:eastAsia="仿宋_GB2312" w:cs="仿宋_GB2312"/>
                <w:szCs w:val="21"/>
              </w:rPr>
            </w:pPr>
            <w:r>
              <w:rPr>
                <w:rFonts w:hint="eastAsia" w:ascii="仿宋_GB2312" w:hAnsi="仿宋_GB2312" w:eastAsia="仿宋_GB2312" w:cs="仿宋_GB2312"/>
                <w:szCs w:val="21"/>
              </w:rPr>
              <w:t>反映发表论文情况</w:t>
            </w:r>
          </w:p>
        </w:tc>
        <w:tc>
          <w:tcPr>
            <w:tcW w:w="273" w:type="pct"/>
            <w:vAlign w:val="center"/>
          </w:tcPr>
          <w:p>
            <w:pPr>
              <w:pStyle w:val="20"/>
              <w:spacing w:line="340" w:lineRule="exact"/>
              <w:rPr>
                <w:rFonts w:hint="eastAsia" w:ascii="仿宋_GB2312" w:hAnsi="仿宋_GB2312" w:eastAsia="仿宋_GB2312" w:cs="仿宋_GB2312"/>
                <w:szCs w:val="21"/>
              </w:rPr>
            </w:pPr>
            <w:r>
              <w:rPr>
                <w:rFonts w:hint="eastAsia" w:ascii="仿宋_GB2312" w:hAnsi="仿宋_GB2312" w:eastAsia="仿宋_GB2312" w:cs="仿宋_GB2312"/>
                <w:szCs w:val="21"/>
              </w:rPr>
              <w:t>≥1篇</w:t>
            </w:r>
          </w:p>
        </w:tc>
        <w:tc>
          <w:tcPr>
            <w:tcW w:w="557" w:type="pct"/>
            <w:vAlign w:val="center"/>
          </w:tcPr>
          <w:p>
            <w:pPr>
              <w:pStyle w:val="20"/>
              <w:spacing w:line="340" w:lineRule="exact"/>
              <w:rPr>
                <w:rFonts w:hint="eastAsia" w:ascii="仿宋_GB2312" w:hAnsi="仿宋_GB2312" w:eastAsia="仿宋_GB2312" w:cs="仿宋_GB2312"/>
                <w:szCs w:val="21"/>
              </w:rPr>
            </w:pPr>
            <w:r>
              <w:rPr>
                <w:rFonts w:hint="eastAsia" w:ascii="仿宋_GB2312" w:hAnsi="仿宋_GB2312" w:eastAsia="仿宋_GB2312" w:cs="仿宋_GB2312"/>
                <w:szCs w:val="21"/>
              </w:rPr>
              <w:t>实际发表数量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8" w:type="pct"/>
            <w:vMerge w:val="continue"/>
            <w:vAlign w:val="center"/>
          </w:tcPr>
          <w:p>
            <w:pPr>
              <w:spacing w:line="340" w:lineRule="exact"/>
              <w:rPr>
                <w:rFonts w:hint="eastAsia" w:ascii="仿宋_GB2312" w:hAnsi="仿宋_GB2312" w:eastAsia="仿宋_GB2312" w:cs="仿宋_GB2312"/>
                <w:szCs w:val="21"/>
              </w:rPr>
            </w:pPr>
          </w:p>
        </w:tc>
        <w:tc>
          <w:tcPr>
            <w:tcW w:w="550" w:type="pct"/>
            <w:vAlign w:val="center"/>
          </w:tcPr>
          <w:p>
            <w:pPr>
              <w:pStyle w:val="20"/>
              <w:spacing w:line="340" w:lineRule="exact"/>
              <w:rPr>
                <w:rFonts w:hint="eastAsia" w:ascii="仿宋_GB2312" w:hAnsi="仿宋_GB2312" w:eastAsia="仿宋_GB2312" w:cs="仿宋_GB2312"/>
                <w:szCs w:val="21"/>
              </w:rPr>
            </w:pPr>
            <w:r>
              <w:rPr>
                <w:rFonts w:hint="eastAsia" w:ascii="仿宋_GB2312" w:hAnsi="仿宋_GB2312" w:eastAsia="仿宋_GB2312" w:cs="仿宋_GB2312"/>
                <w:szCs w:val="21"/>
              </w:rPr>
              <w:t>质量指标</w:t>
            </w:r>
          </w:p>
        </w:tc>
        <w:tc>
          <w:tcPr>
            <w:tcW w:w="1101" w:type="pct"/>
            <w:vAlign w:val="center"/>
          </w:tcPr>
          <w:p>
            <w:pPr>
              <w:pStyle w:val="20"/>
              <w:spacing w:line="340" w:lineRule="exact"/>
              <w:rPr>
                <w:rFonts w:hint="eastAsia" w:ascii="仿宋_GB2312" w:hAnsi="仿宋_GB2312" w:eastAsia="仿宋_GB2312" w:cs="仿宋_GB2312"/>
                <w:szCs w:val="21"/>
              </w:rPr>
            </w:pPr>
            <w:r>
              <w:rPr>
                <w:rFonts w:hint="eastAsia" w:ascii="仿宋_GB2312" w:hAnsi="仿宋_GB2312" w:eastAsia="仿宋_GB2312" w:cs="仿宋_GB2312"/>
                <w:szCs w:val="21"/>
              </w:rPr>
              <w:t>培训计划按期完成率　</w:t>
            </w:r>
          </w:p>
        </w:tc>
        <w:tc>
          <w:tcPr>
            <w:tcW w:w="2181" w:type="pct"/>
            <w:vAlign w:val="center"/>
          </w:tcPr>
          <w:p>
            <w:pPr>
              <w:pStyle w:val="20"/>
              <w:spacing w:line="340" w:lineRule="exact"/>
              <w:rPr>
                <w:rFonts w:hint="eastAsia" w:ascii="仿宋_GB2312" w:hAnsi="仿宋_GB2312" w:eastAsia="仿宋_GB2312" w:cs="仿宋_GB2312"/>
                <w:szCs w:val="21"/>
              </w:rPr>
            </w:pPr>
            <w:r>
              <w:rPr>
                <w:rFonts w:hint="eastAsia" w:ascii="仿宋_GB2312" w:hAnsi="仿宋_GB2312" w:eastAsia="仿宋_GB2312" w:cs="仿宋_GB2312"/>
                <w:szCs w:val="21"/>
              </w:rPr>
              <w:t>培训计划按期完成情况</w:t>
            </w:r>
          </w:p>
        </w:tc>
        <w:tc>
          <w:tcPr>
            <w:tcW w:w="273" w:type="pct"/>
            <w:vAlign w:val="center"/>
          </w:tcPr>
          <w:p>
            <w:pPr>
              <w:pStyle w:val="20"/>
              <w:spacing w:line="340" w:lineRule="exact"/>
              <w:rPr>
                <w:rFonts w:hint="eastAsia" w:ascii="仿宋_GB2312" w:hAnsi="仿宋_GB2312" w:eastAsia="仿宋_GB2312" w:cs="仿宋_GB2312"/>
                <w:szCs w:val="21"/>
              </w:rPr>
            </w:pPr>
            <w:r>
              <w:rPr>
                <w:rFonts w:hint="eastAsia" w:ascii="仿宋_GB2312" w:hAnsi="仿宋_GB2312" w:eastAsia="仿宋_GB2312" w:cs="仿宋_GB2312"/>
                <w:szCs w:val="21"/>
              </w:rPr>
              <w:t>100%</w:t>
            </w:r>
          </w:p>
        </w:tc>
        <w:tc>
          <w:tcPr>
            <w:tcW w:w="557" w:type="pct"/>
            <w:vAlign w:val="center"/>
          </w:tcPr>
          <w:p>
            <w:pPr>
              <w:pStyle w:val="20"/>
              <w:spacing w:line="340" w:lineRule="exact"/>
              <w:rPr>
                <w:rFonts w:hint="eastAsia" w:ascii="仿宋_GB2312" w:hAnsi="仿宋_GB2312" w:eastAsia="仿宋_GB2312" w:cs="仿宋_GB2312"/>
                <w:szCs w:val="21"/>
              </w:rPr>
            </w:pPr>
            <w:r>
              <w:rPr>
                <w:rFonts w:hint="eastAsia" w:ascii="仿宋_GB2312" w:hAnsi="仿宋_GB2312" w:eastAsia="仿宋_GB2312" w:cs="仿宋_GB2312"/>
                <w:szCs w:val="21"/>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8" w:type="pct"/>
            <w:vMerge w:val="continue"/>
            <w:vAlign w:val="center"/>
          </w:tcPr>
          <w:p>
            <w:pPr>
              <w:spacing w:line="340" w:lineRule="exact"/>
              <w:rPr>
                <w:rFonts w:hint="eastAsia" w:ascii="仿宋_GB2312" w:hAnsi="仿宋_GB2312" w:eastAsia="仿宋_GB2312" w:cs="仿宋_GB2312"/>
                <w:szCs w:val="21"/>
              </w:rPr>
            </w:pPr>
          </w:p>
        </w:tc>
        <w:tc>
          <w:tcPr>
            <w:tcW w:w="550" w:type="pct"/>
            <w:vAlign w:val="center"/>
          </w:tcPr>
          <w:p>
            <w:pPr>
              <w:pStyle w:val="20"/>
              <w:spacing w:line="340" w:lineRule="exact"/>
              <w:rPr>
                <w:rFonts w:hint="eastAsia" w:ascii="仿宋_GB2312" w:hAnsi="仿宋_GB2312" w:eastAsia="仿宋_GB2312" w:cs="仿宋_GB2312"/>
                <w:szCs w:val="21"/>
              </w:rPr>
            </w:pPr>
            <w:r>
              <w:rPr>
                <w:rFonts w:hint="eastAsia" w:ascii="仿宋_GB2312" w:hAnsi="仿宋_GB2312" w:eastAsia="仿宋_GB2312" w:cs="仿宋_GB2312"/>
                <w:szCs w:val="21"/>
              </w:rPr>
              <w:t>质量指标</w:t>
            </w:r>
          </w:p>
        </w:tc>
        <w:tc>
          <w:tcPr>
            <w:tcW w:w="1101" w:type="pct"/>
            <w:vAlign w:val="center"/>
          </w:tcPr>
          <w:p>
            <w:pPr>
              <w:pStyle w:val="20"/>
              <w:spacing w:line="340" w:lineRule="exact"/>
              <w:rPr>
                <w:rFonts w:hint="eastAsia" w:ascii="仿宋_GB2312" w:hAnsi="仿宋_GB2312" w:eastAsia="仿宋_GB2312" w:cs="仿宋_GB2312"/>
                <w:szCs w:val="21"/>
              </w:rPr>
            </w:pPr>
            <w:r>
              <w:rPr>
                <w:rFonts w:hint="eastAsia" w:ascii="仿宋_GB2312" w:hAnsi="仿宋_GB2312" w:eastAsia="仿宋_GB2312" w:cs="仿宋_GB2312"/>
                <w:szCs w:val="21"/>
              </w:rPr>
              <w:t>高质量论文发表占比率</w:t>
            </w:r>
          </w:p>
        </w:tc>
        <w:tc>
          <w:tcPr>
            <w:tcW w:w="2181" w:type="pct"/>
            <w:vAlign w:val="center"/>
          </w:tcPr>
          <w:p>
            <w:pPr>
              <w:pStyle w:val="20"/>
              <w:spacing w:line="340" w:lineRule="exact"/>
              <w:rPr>
                <w:rFonts w:hint="eastAsia" w:ascii="仿宋_GB2312" w:hAnsi="仿宋_GB2312" w:eastAsia="仿宋_GB2312" w:cs="仿宋_GB2312"/>
                <w:szCs w:val="21"/>
              </w:rPr>
            </w:pPr>
            <w:r>
              <w:rPr>
                <w:rFonts w:hint="eastAsia" w:ascii="仿宋_GB2312" w:hAnsi="仿宋_GB2312" w:eastAsia="仿宋_GB2312" w:cs="仿宋_GB2312"/>
                <w:szCs w:val="21"/>
              </w:rPr>
              <w:t>核心期刊及省级重要报刊发表、转载论文量在论文发表中的占比</w:t>
            </w:r>
          </w:p>
        </w:tc>
        <w:tc>
          <w:tcPr>
            <w:tcW w:w="273" w:type="pct"/>
            <w:vAlign w:val="center"/>
          </w:tcPr>
          <w:p>
            <w:pPr>
              <w:pStyle w:val="20"/>
              <w:spacing w:line="340" w:lineRule="exact"/>
              <w:rPr>
                <w:rFonts w:hint="eastAsia" w:ascii="仿宋_GB2312" w:hAnsi="仿宋_GB2312" w:eastAsia="仿宋_GB2312" w:cs="仿宋_GB2312"/>
                <w:szCs w:val="21"/>
              </w:rPr>
            </w:pPr>
            <w:r>
              <w:rPr>
                <w:rFonts w:hint="eastAsia" w:ascii="仿宋_GB2312" w:hAnsi="仿宋_GB2312" w:eastAsia="仿宋_GB2312" w:cs="仿宋_GB2312"/>
                <w:szCs w:val="21"/>
              </w:rPr>
              <w:t>100%</w:t>
            </w:r>
          </w:p>
        </w:tc>
        <w:tc>
          <w:tcPr>
            <w:tcW w:w="557" w:type="pct"/>
            <w:vAlign w:val="center"/>
          </w:tcPr>
          <w:p>
            <w:pPr>
              <w:pStyle w:val="20"/>
              <w:spacing w:line="340" w:lineRule="exact"/>
              <w:rPr>
                <w:rFonts w:hint="eastAsia" w:ascii="仿宋_GB2312" w:hAnsi="仿宋_GB2312" w:eastAsia="仿宋_GB2312" w:cs="仿宋_GB2312"/>
                <w:szCs w:val="21"/>
              </w:rPr>
            </w:pPr>
            <w:r>
              <w:rPr>
                <w:rFonts w:hint="eastAsia" w:ascii="仿宋_GB2312" w:hAnsi="仿宋_GB2312" w:eastAsia="仿宋_GB2312" w:cs="仿宋_GB2312"/>
                <w:szCs w:val="21"/>
              </w:rPr>
              <w:t>依据相关文件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8" w:type="pct"/>
            <w:vMerge w:val="continue"/>
            <w:vAlign w:val="center"/>
          </w:tcPr>
          <w:p>
            <w:pPr>
              <w:spacing w:line="340" w:lineRule="exact"/>
              <w:rPr>
                <w:rFonts w:hint="eastAsia" w:ascii="仿宋_GB2312" w:hAnsi="仿宋_GB2312" w:eastAsia="仿宋_GB2312" w:cs="仿宋_GB2312"/>
                <w:szCs w:val="21"/>
              </w:rPr>
            </w:pPr>
          </w:p>
        </w:tc>
        <w:tc>
          <w:tcPr>
            <w:tcW w:w="550" w:type="pct"/>
            <w:vAlign w:val="center"/>
          </w:tcPr>
          <w:p>
            <w:pPr>
              <w:pStyle w:val="20"/>
              <w:spacing w:line="340" w:lineRule="exact"/>
              <w:rPr>
                <w:rFonts w:hint="eastAsia" w:ascii="仿宋_GB2312" w:hAnsi="仿宋_GB2312" w:eastAsia="仿宋_GB2312" w:cs="仿宋_GB2312"/>
                <w:szCs w:val="21"/>
              </w:rPr>
            </w:pPr>
            <w:r>
              <w:rPr>
                <w:rFonts w:hint="eastAsia" w:ascii="仿宋_GB2312" w:hAnsi="仿宋_GB2312" w:eastAsia="仿宋_GB2312" w:cs="仿宋_GB2312"/>
                <w:szCs w:val="21"/>
              </w:rPr>
              <w:t>时效指标</w:t>
            </w:r>
          </w:p>
        </w:tc>
        <w:tc>
          <w:tcPr>
            <w:tcW w:w="1101" w:type="pct"/>
            <w:vAlign w:val="center"/>
          </w:tcPr>
          <w:p>
            <w:pPr>
              <w:pStyle w:val="20"/>
              <w:spacing w:line="340" w:lineRule="exact"/>
              <w:rPr>
                <w:rFonts w:hint="eastAsia" w:ascii="仿宋_GB2312" w:hAnsi="仿宋_GB2312" w:eastAsia="仿宋_GB2312" w:cs="仿宋_GB2312"/>
                <w:szCs w:val="21"/>
              </w:rPr>
            </w:pPr>
            <w:r>
              <w:rPr>
                <w:rFonts w:hint="eastAsia" w:ascii="仿宋_GB2312" w:hAnsi="仿宋_GB2312" w:eastAsia="仿宋_GB2312" w:cs="仿宋_GB2312"/>
                <w:szCs w:val="21"/>
              </w:rPr>
              <w:t>培训及科研工作是否及时开展</w:t>
            </w:r>
          </w:p>
        </w:tc>
        <w:tc>
          <w:tcPr>
            <w:tcW w:w="2181" w:type="pct"/>
            <w:vAlign w:val="center"/>
          </w:tcPr>
          <w:p>
            <w:pPr>
              <w:pStyle w:val="20"/>
              <w:spacing w:line="340" w:lineRule="exact"/>
              <w:rPr>
                <w:rFonts w:hint="eastAsia" w:ascii="仿宋_GB2312" w:hAnsi="仿宋_GB2312" w:eastAsia="仿宋_GB2312" w:cs="仿宋_GB2312"/>
                <w:szCs w:val="21"/>
              </w:rPr>
            </w:pPr>
            <w:r>
              <w:rPr>
                <w:rFonts w:hint="eastAsia" w:ascii="仿宋_GB2312" w:hAnsi="仿宋_GB2312" w:eastAsia="仿宋_GB2312" w:cs="仿宋_GB2312"/>
                <w:szCs w:val="21"/>
              </w:rPr>
              <w:t>培训及科研开展及时情况</w:t>
            </w:r>
          </w:p>
        </w:tc>
        <w:tc>
          <w:tcPr>
            <w:tcW w:w="273" w:type="pct"/>
            <w:vAlign w:val="center"/>
          </w:tcPr>
          <w:p>
            <w:pPr>
              <w:pStyle w:val="20"/>
              <w:spacing w:line="340" w:lineRule="exact"/>
              <w:rPr>
                <w:rFonts w:hint="eastAsia" w:ascii="仿宋_GB2312" w:hAnsi="仿宋_GB2312" w:eastAsia="仿宋_GB2312" w:cs="仿宋_GB2312"/>
                <w:szCs w:val="21"/>
              </w:rPr>
            </w:pPr>
            <w:r>
              <w:rPr>
                <w:rFonts w:hint="eastAsia" w:ascii="仿宋_GB2312" w:hAnsi="仿宋_GB2312" w:eastAsia="仿宋_GB2312" w:cs="仿宋_GB2312"/>
                <w:szCs w:val="21"/>
              </w:rPr>
              <w:t>及时</w:t>
            </w:r>
          </w:p>
        </w:tc>
        <w:tc>
          <w:tcPr>
            <w:tcW w:w="557" w:type="pct"/>
            <w:vAlign w:val="center"/>
          </w:tcPr>
          <w:p>
            <w:pPr>
              <w:pStyle w:val="20"/>
              <w:spacing w:line="340" w:lineRule="exact"/>
              <w:rPr>
                <w:rFonts w:hint="eastAsia" w:ascii="仿宋_GB2312" w:hAnsi="仿宋_GB2312" w:eastAsia="仿宋_GB2312" w:cs="仿宋_GB2312"/>
                <w:szCs w:val="21"/>
              </w:rPr>
            </w:pPr>
            <w:r>
              <w:rPr>
                <w:rFonts w:hint="eastAsia" w:ascii="仿宋_GB2312" w:hAnsi="仿宋_GB2312" w:eastAsia="仿宋_GB2312" w:cs="仿宋_GB2312"/>
                <w:szCs w:val="21"/>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8" w:type="pct"/>
            <w:vMerge w:val="continue"/>
            <w:vAlign w:val="center"/>
          </w:tcPr>
          <w:p>
            <w:pPr>
              <w:spacing w:line="340" w:lineRule="exact"/>
              <w:rPr>
                <w:rFonts w:hint="eastAsia" w:ascii="仿宋_GB2312" w:hAnsi="仿宋_GB2312" w:eastAsia="仿宋_GB2312" w:cs="仿宋_GB2312"/>
                <w:szCs w:val="21"/>
              </w:rPr>
            </w:pPr>
          </w:p>
        </w:tc>
        <w:tc>
          <w:tcPr>
            <w:tcW w:w="550" w:type="pct"/>
            <w:vAlign w:val="center"/>
          </w:tcPr>
          <w:p>
            <w:pPr>
              <w:pStyle w:val="20"/>
              <w:spacing w:line="340" w:lineRule="exact"/>
              <w:rPr>
                <w:rFonts w:hint="eastAsia" w:ascii="仿宋_GB2312" w:hAnsi="仿宋_GB2312" w:eastAsia="仿宋_GB2312" w:cs="仿宋_GB2312"/>
                <w:szCs w:val="21"/>
              </w:rPr>
            </w:pPr>
            <w:r>
              <w:rPr>
                <w:rFonts w:hint="eastAsia" w:ascii="仿宋_GB2312" w:hAnsi="仿宋_GB2312" w:eastAsia="仿宋_GB2312" w:cs="仿宋_GB2312"/>
                <w:szCs w:val="21"/>
              </w:rPr>
              <w:t>成本指标</w:t>
            </w:r>
          </w:p>
        </w:tc>
        <w:tc>
          <w:tcPr>
            <w:tcW w:w="1101" w:type="pct"/>
            <w:vAlign w:val="center"/>
          </w:tcPr>
          <w:p>
            <w:pPr>
              <w:pStyle w:val="20"/>
              <w:spacing w:line="340" w:lineRule="exact"/>
              <w:rPr>
                <w:rFonts w:hint="eastAsia" w:ascii="仿宋_GB2312" w:hAnsi="仿宋_GB2312" w:eastAsia="仿宋_GB2312" w:cs="仿宋_GB2312"/>
                <w:szCs w:val="21"/>
              </w:rPr>
            </w:pPr>
            <w:r>
              <w:rPr>
                <w:rFonts w:hint="eastAsia" w:ascii="仿宋_GB2312" w:hAnsi="仿宋_GB2312" w:eastAsia="仿宋_GB2312" w:cs="仿宋_GB2312"/>
                <w:szCs w:val="21"/>
              </w:rPr>
              <w:t>项目计划完成及时率</w:t>
            </w:r>
          </w:p>
        </w:tc>
        <w:tc>
          <w:tcPr>
            <w:tcW w:w="2181" w:type="pct"/>
            <w:vAlign w:val="center"/>
          </w:tcPr>
          <w:p>
            <w:pPr>
              <w:pStyle w:val="20"/>
              <w:spacing w:line="340" w:lineRule="exact"/>
              <w:rPr>
                <w:rFonts w:hint="eastAsia" w:ascii="仿宋_GB2312" w:hAnsi="仿宋_GB2312" w:eastAsia="仿宋_GB2312" w:cs="仿宋_GB2312"/>
                <w:szCs w:val="21"/>
              </w:rPr>
            </w:pPr>
            <w:r>
              <w:rPr>
                <w:rFonts w:hint="eastAsia" w:ascii="仿宋_GB2312" w:hAnsi="仿宋_GB2312" w:eastAsia="仿宋_GB2312" w:cs="仿宋_GB2312"/>
                <w:szCs w:val="21"/>
              </w:rPr>
              <w:t>项目按照计划完成任务及时率</w:t>
            </w:r>
          </w:p>
        </w:tc>
        <w:tc>
          <w:tcPr>
            <w:tcW w:w="273" w:type="pct"/>
            <w:vAlign w:val="center"/>
          </w:tcPr>
          <w:p>
            <w:pPr>
              <w:pStyle w:val="20"/>
              <w:spacing w:line="340" w:lineRule="exact"/>
              <w:rPr>
                <w:rFonts w:hint="eastAsia" w:ascii="仿宋_GB2312" w:hAnsi="仿宋_GB2312" w:eastAsia="仿宋_GB2312" w:cs="仿宋_GB2312"/>
                <w:szCs w:val="21"/>
              </w:rPr>
            </w:pPr>
            <w:r>
              <w:rPr>
                <w:rFonts w:hint="eastAsia" w:ascii="仿宋_GB2312" w:hAnsi="仿宋_GB2312" w:eastAsia="仿宋_GB2312" w:cs="仿宋_GB2312"/>
                <w:szCs w:val="21"/>
              </w:rPr>
              <w:t>≥95%</w:t>
            </w:r>
          </w:p>
        </w:tc>
        <w:tc>
          <w:tcPr>
            <w:tcW w:w="557" w:type="pct"/>
            <w:vAlign w:val="center"/>
          </w:tcPr>
          <w:p>
            <w:pPr>
              <w:pStyle w:val="20"/>
              <w:spacing w:line="340" w:lineRule="exact"/>
              <w:rPr>
                <w:rFonts w:hint="eastAsia" w:ascii="仿宋_GB2312" w:hAnsi="仿宋_GB2312" w:eastAsia="仿宋_GB2312" w:cs="仿宋_GB2312"/>
                <w:szCs w:val="21"/>
              </w:rPr>
            </w:pPr>
            <w:r>
              <w:rPr>
                <w:rFonts w:hint="eastAsia" w:ascii="仿宋_GB2312" w:hAnsi="仿宋_GB2312" w:eastAsia="仿宋_GB2312" w:cs="仿宋_GB2312"/>
                <w:szCs w:val="21"/>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8" w:type="pct"/>
            <w:vMerge w:val="restart"/>
            <w:vAlign w:val="center"/>
          </w:tcPr>
          <w:p>
            <w:pPr>
              <w:pStyle w:val="21"/>
              <w:spacing w:line="340" w:lineRule="exact"/>
              <w:rPr>
                <w:rFonts w:hint="eastAsia" w:ascii="仿宋_GB2312" w:hAnsi="仿宋_GB2312" w:eastAsia="仿宋_GB2312" w:cs="仿宋_GB2312"/>
                <w:szCs w:val="21"/>
              </w:rPr>
            </w:pPr>
            <w:r>
              <w:rPr>
                <w:rFonts w:hint="eastAsia" w:ascii="仿宋_GB2312" w:hAnsi="仿宋_GB2312" w:eastAsia="仿宋_GB2312" w:cs="仿宋_GB2312"/>
                <w:szCs w:val="21"/>
              </w:rPr>
              <w:t>效益指标</w:t>
            </w:r>
          </w:p>
        </w:tc>
        <w:tc>
          <w:tcPr>
            <w:tcW w:w="550" w:type="pct"/>
            <w:vAlign w:val="center"/>
          </w:tcPr>
          <w:p>
            <w:pPr>
              <w:pStyle w:val="20"/>
              <w:spacing w:line="340" w:lineRule="exact"/>
              <w:rPr>
                <w:rFonts w:hint="eastAsia" w:ascii="仿宋_GB2312" w:hAnsi="仿宋_GB2312" w:eastAsia="仿宋_GB2312" w:cs="仿宋_GB2312"/>
                <w:szCs w:val="21"/>
              </w:rPr>
            </w:pPr>
            <w:r>
              <w:rPr>
                <w:rFonts w:hint="eastAsia" w:ascii="仿宋_GB2312" w:hAnsi="仿宋_GB2312" w:eastAsia="仿宋_GB2312" w:cs="仿宋_GB2312"/>
                <w:szCs w:val="21"/>
              </w:rPr>
              <w:t>社会效益指标</w:t>
            </w:r>
          </w:p>
        </w:tc>
        <w:tc>
          <w:tcPr>
            <w:tcW w:w="1101" w:type="pct"/>
            <w:vAlign w:val="center"/>
          </w:tcPr>
          <w:p>
            <w:pPr>
              <w:pStyle w:val="20"/>
              <w:spacing w:line="340" w:lineRule="exact"/>
              <w:rPr>
                <w:rFonts w:hint="eastAsia" w:ascii="仿宋_GB2312" w:hAnsi="仿宋_GB2312" w:eastAsia="仿宋_GB2312" w:cs="仿宋_GB2312"/>
                <w:szCs w:val="21"/>
              </w:rPr>
            </w:pPr>
            <w:r>
              <w:rPr>
                <w:rFonts w:hint="eastAsia" w:ascii="仿宋_GB2312" w:hAnsi="仿宋_GB2312" w:eastAsia="仿宋_GB2312" w:cs="仿宋_GB2312"/>
                <w:szCs w:val="21"/>
              </w:rPr>
              <w:t>影响覆盖面较广</w:t>
            </w:r>
          </w:p>
        </w:tc>
        <w:tc>
          <w:tcPr>
            <w:tcW w:w="2181" w:type="pct"/>
            <w:vAlign w:val="center"/>
          </w:tcPr>
          <w:p>
            <w:pPr>
              <w:pStyle w:val="20"/>
              <w:spacing w:line="340" w:lineRule="exact"/>
              <w:rPr>
                <w:rFonts w:hint="eastAsia" w:ascii="仿宋_GB2312" w:hAnsi="仿宋_GB2312" w:eastAsia="仿宋_GB2312" w:cs="仿宋_GB2312"/>
                <w:szCs w:val="21"/>
              </w:rPr>
            </w:pPr>
            <w:r>
              <w:rPr>
                <w:rFonts w:hint="eastAsia" w:ascii="仿宋_GB2312" w:hAnsi="仿宋_GB2312" w:eastAsia="仿宋_GB2312" w:cs="仿宋_GB2312"/>
                <w:szCs w:val="21"/>
              </w:rPr>
              <w:t>影响覆盖面涉及党建、科社等领域影响率</w:t>
            </w:r>
          </w:p>
        </w:tc>
        <w:tc>
          <w:tcPr>
            <w:tcW w:w="273" w:type="pct"/>
            <w:vAlign w:val="center"/>
          </w:tcPr>
          <w:p>
            <w:pPr>
              <w:pStyle w:val="20"/>
              <w:spacing w:line="340" w:lineRule="exact"/>
              <w:rPr>
                <w:rFonts w:hint="eastAsia" w:ascii="仿宋_GB2312" w:hAnsi="仿宋_GB2312" w:eastAsia="仿宋_GB2312" w:cs="仿宋_GB2312"/>
                <w:szCs w:val="21"/>
              </w:rPr>
            </w:pPr>
            <w:r>
              <w:rPr>
                <w:rFonts w:hint="eastAsia" w:ascii="仿宋_GB2312" w:hAnsi="仿宋_GB2312" w:eastAsia="仿宋_GB2312" w:cs="仿宋_GB2312"/>
                <w:szCs w:val="21"/>
              </w:rPr>
              <w:t>≥95%</w:t>
            </w:r>
          </w:p>
        </w:tc>
        <w:tc>
          <w:tcPr>
            <w:tcW w:w="557" w:type="pct"/>
            <w:vAlign w:val="center"/>
          </w:tcPr>
          <w:p>
            <w:pPr>
              <w:pStyle w:val="20"/>
              <w:spacing w:line="340" w:lineRule="exact"/>
              <w:rPr>
                <w:rFonts w:hint="eastAsia" w:ascii="仿宋_GB2312" w:hAnsi="仿宋_GB2312" w:eastAsia="仿宋_GB2312" w:cs="仿宋_GB2312"/>
                <w:szCs w:val="21"/>
              </w:rPr>
            </w:pPr>
            <w:r>
              <w:rPr>
                <w:rFonts w:hint="eastAsia" w:ascii="仿宋_GB2312" w:hAnsi="仿宋_GB2312" w:eastAsia="仿宋_GB2312" w:cs="仿宋_GB2312"/>
                <w:szCs w:val="21"/>
              </w:rPr>
              <w:t>依据相关文件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8" w:type="pct"/>
            <w:vMerge w:val="continue"/>
            <w:vAlign w:val="center"/>
          </w:tcPr>
          <w:p>
            <w:pPr>
              <w:spacing w:line="340" w:lineRule="exact"/>
              <w:rPr>
                <w:rFonts w:hint="eastAsia" w:ascii="仿宋_GB2312" w:hAnsi="仿宋_GB2312" w:eastAsia="仿宋_GB2312" w:cs="仿宋_GB2312"/>
                <w:szCs w:val="21"/>
              </w:rPr>
            </w:pPr>
          </w:p>
        </w:tc>
        <w:tc>
          <w:tcPr>
            <w:tcW w:w="550" w:type="pct"/>
            <w:vAlign w:val="center"/>
          </w:tcPr>
          <w:p>
            <w:pPr>
              <w:pStyle w:val="20"/>
              <w:spacing w:line="340" w:lineRule="exact"/>
              <w:rPr>
                <w:rFonts w:hint="eastAsia" w:ascii="仿宋_GB2312" w:hAnsi="仿宋_GB2312" w:eastAsia="仿宋_GB2312" w:cs="仿宋_GB2312"/>
                <w:szCs w:val="21"/>
              </w:rPr>
            </w:pPr>
            <w:r>
              <w:rPr>
                <w:rFonts w:hint="eastAsia" w:ascii="仿宋_GB2312" w:hAnsi="仿宋_GB2312" w:eastAsia="仿宋_GB2312" w:cs="仿宋_GB2312"/>
                <w:szCs w:val="21"/>
              </w:rPr>
              <w:t>社会效益指标</w:t>
            </w:r>
          </w:p>
        </w:tc>
        <w:tc>
          <w:tcPr>
            <w:tcW w:w="1101" w:type="pct"/>
            <w:vAlign w:val="center"/>
          </w:tcPr>
          <w:p>
            <w:pPr>
              <w:pStyle w:val="20"/>
              <w:spacing w:line="340" w:lineRule="exact"/>
              <w:rPr>
                <w:rFonts w:hint="eastAsia" w:ascii="仿宋_GB2312" w:hAnsi="仿宋_GB2312" w:eastAsia="仿宋_GB2312" w:cs="仿宋_GB2312"/>
                <w:szCs w:val="21"/>
              </w:rPr>
            </w:pPr>
            <w:r>
              <w:rPr>
                <w:rFonts w:hint="eastAsia" w:ascii="仿宋_GB2312" w:hAnsi="仿宋_GB2312" w:eastAsia="仿宋_GB2312" w:cs="仿宋_GB2312"/>
                <w:szCs w:val="21"/>
              </w:rPr>
              <w:t>提升参训学员政治理论水平、党性</w:t>
            </w:r>
          </w:p>
        </w:tc>
        <w:tc>
          <w:tcPr>
            <w:tcW w:w="2181" w:type="pct"/>
            <w:vAlign w:val="center"/>
          </w:tcPr>
          <w:p>
            <w:pPr>
              <w:pStyle w:val="20"/>
              <w:spacing w:line="340" w:lineRule="exact"/>
              <w:rPr>
                <w:rFonts w:hint="eastAsia" w:ascii="仿宋_GB2312" w:hAnsi="仿宋_GB2312" w:eastAsia="仿宋_GB2312" w:cs="仿宋_GB2312"/>
                <w:szCs w:val="21"/>
              </w:rPr>
            </w:pPr>
            <w:r>
              <w:rPr>
                <w:rFonts w:hint="eastAsia" w:ascii="仿宋_GB2312" w:hAnsi="仿宋_GB2312" w:eastAsia="仿宋_GB2312" w:cs="仿宋_GB2312"/>
                <w:szCs w:val="21"/>
              </w:rPr>
              <w:t>系统学习习近平新时代中国特色社会主义思想，开展专题党性教育和锻炼，学习履职必备的知识和能力</w:t>
            </w:r>
          </w:p>
        </w:tc>
        <w:tc>
          <w:tcPr>
            <w:tcW w:w="273" w:type="pct"/>
            <w:vAlign w:val="center"/>
          </w:tcPr>
          <w:p>
            <w:pPr>
              <w:pStyle w:val="20"/>
              <w:spacing w:line="340" w:lineRule="exact"/>
              <w:rPr>
                <w:rFonts w:hint="eastAsia" w:ascii="仿宋_GB2312" w:hAnsi="仿宋_GB2312" w:eastAsia="仿宋_GB2312" w:cs="仿宋_GB2312"/>
                <w:szCs w:val="21"/>
              </w:rPr>
            </w:pPr>
            <w:r>
              <w:rPr>
                <w:rFonts w:hint="eastAsia" w:ascii="仿宋_GB2312" w:hAnsi="仿宋_GB2312" w:eastAsia="仿宋_GB2312" w:cs="仿宋_GB2312"/>
                <w:szCs w:val="21"/>
              </w:rPr>
              <w:t>提高</w:t>
            </w:r>
          </w:p>
        </w:tc>
        <w:tc>
          <w:tcPr>
            <w:tcW w:w="557" w:type="pct"/>
            <w:vAlign w:val="center"/>
          </w:tcPr>
          <w:p>
            <w:pPr>
              <w:pStyle w:val="20"/>
              <w:spacing w:line="340" w:lineRule="exact"/>
              <w:rPr>
                <w:rFonts w:hint="eastAsia" w:ascii="仿宋_GB2312" w:hAnsi="仿宋_GB2312" w:eastAsia="仿宋_GB2312" w:cs="仿宋_GB2312"/>
                <w:szCs w:val="21"/>
              </w:rPr>
            </w:pPr>
            <w:r>
              <w:rPr>
                <w:rFonts w:hint="eastAsia" w:ascii="仿宋_GB2312" w:hAnsi="仿宋_GB2312" w:eastAsia="仿宋_GB2312" w:cs="仿宋_GB2312"/>
                <w:szCs w:val="21"/>
              </w:rPr>
              <w:t>实际考察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8" w:type="pct"/>
            <w:vMerge w:val="restart"/>
            <w:vAlign w:val="center"/>
          </w:tcPr>
          <w:p>
            <w:pPr>
              <w:pStyle w:val="21"/>
              <w:spacing w:line="340" w:lineRule="exact"/>
              <w:rPr>
                <w:rFonts w:hint="eastAsia" w:ascii="仿宋_GB2312" w:hAnsi="仿宋_GB2312" w:eastAsia="仿宋_GB2312" w:cs="仿宋_GB2312"/>
                <w:szCs w:val="21"/>
              </w:rPr>
            </w:pPr>
            <w:r>
              <w:rPr>
                <w:rFonts w:hint="eastAsia" w:ascii="仿宋_GB2312" w:hAnsi="仿宋_GB2312" w:eastAsia="仿宋_GB2312" w:cs="仿宋_GB2312"/>
                <w:szCs w:val="21"/>
              </w:rPr>
              <w:t>满意度指标</w:t>
            </w:r>
          </w:p>
        </w:tc>
        <w:tc>
          <w:tcPr>
            <w:tcW w:w="550" w:type="pct"/>
            <w:vAlign w:val="center"/>
          </w:tcPr>
          <w:p>
            <w:pPr>
              <w:pStyle w:val="20"/>
              <w:spacing w:line="340" w:lineRule="exact"/>
              <w:rPr>
                <w:rFonts w:hint="eastAsia" w:ascii="仿宋_GB2312" w:hAnsi="仿宋_GB2312" w:eastAsia="仿宋_GB2312" w:cs="仿宋_GB2312"/>
                <w:szCs w:val="21"/>
              </w:rPr>
            </w:pPr>
            <w:r>
              <w:rPr>
                <w:rFonts w:hint="eastAsia" w:ascii="仿宋_GB2312" w:hAnsi="仿宋_GB2312" w:eastAsia="仿宋_GB2312" w:cs="仿宋_GB2312"/>
                <w:szCs w:val="21"/>
              </w:rPr>
              <w:t>服务对象满意度指标</w:t>
            </w:r>
          </w:p>
        </w:tc>
        <w:tc>
          <w:tcPr>
            <w:tcW w:w="1101" w:type="pct"/>
            <w:vAlign w:val="center"/>
          </w:tcPr>
          <w:p>
            <w:pPr>
              <w:pStyle w:val="20"/>
              <w:spacing w:line="340" w:lineRule="exact"/>
              <w:rPr>
                <w:rFonts w:hint="eastAsia" w:ascii="仿宋_GB2312" w:hAnsi="仿宋_GB2312" w:eastAsia="仿宋_GB2312" w:cs="仿宋_GB2312"/>
                <w:szCs w:val="21"/>
              </w:rPr>
            </w:pPr>
            <w:r>
              <w:rPr>
                <w:rFonts w:hint="eastAsia" w:ascii="仿宋_GB2312" w:hAnsi="仿宋_GB2312" w:eastAsia="仿宋_GB2312" w:cs="仿宋_GB2312"/>
                <w:szCs w:val="21"/>
              </w:rPr>
              <w:t>项目、决策报告服务对象满意度</w:t>
            </w:r>
          </w:p>
        </w:tc>
        <w:tc>
          <w:tcPr>
            <w:tcW w:w="2181" w:type="pct"/>
            <w:vAlign w:val="center"/>
          </w:tcPr>
          <w:p>
            <w:pPr>
              <w:pStyle w:val="20"/>
              <w:spacing w:line="340" w:lineRule="exact"/>
              <w:rPr>
                <w:rFonts w:hint="eastAsia" w:ascii="仿宋_GB2312" w:hAnsi="仿宋_GB2312" w:eastAsia="仿宋_GB2312" w:cs="仿宋_GB2312"/>
                <w:szCs w:val="21"/>
              </w:rPr>
            </w:pPr>
            <w:r>
              <w:rPr>
                <w:rFonts w:hint="eastAsia" w:ascii="仿宋_GB2312" w:hAnsi="仿宋_GB2312" w:eastAsia="仿宋_GB2312" w:cs="仿宋_GB2312"/>
                <w:szCs w:val="21"/>
              </w:rPr>
              <w:t>是否达到区委、区政府满意度</w:t>
            </w:r>
          </w:p>
        </w:tc>
        <w:tc>
          <w:tcPr>
            <w:tcW w:w="273" w:type="pct"/>
            <w:vAlign w:val="center"/>
          </w:tcPr>
          <w:p>
            <w:pPr>
              <w:pStyle w:val="20"/>
              <w:spacing w:line="340" w:lineRule="exact"/>
              <w:rPr>
                <w:rFonts w:hint="eastAsia" w:ascii="仿宋_GB2312" w:hAnsi="仿宋_GB2312" w:eastAsia="仿宋_GB2312" w:cs="仿宋_GB2312"/>
                <w:szCs w:val="21"/>
              </w:rPr>
            </w:pPr>
            <w:r>
              <w:rPr>
                <w:rFonts w:hint="eastAsia" w:ascii="仿宋_GB2312" w:hAnsi="仿宋_GB2312" w:eastAsia="仿宋_GB2312" w:cs="仿宋_GB2312"/>
                <w:szCs w:val="21"/>
              </w:rPr>
              <w:t>≥90%</w:t>
            </w:r>
          </w:p>
        </w:tc>
        <w:tc>
          <w:tcPr>
            <w:tcW w:w="557" w:type="pct"/>
            <w:vAlign w:val="center"/>
          </w:tcPr>
          <w:p>
            <w:pPr>
              <w:pStyle w:val="20"/>
              <w:spacing w:line="340" w:lineRule="exact"/>
              <w:rPr>
                <w:rFonts w:hint="eastAsia" w:ascii="仿宋_GB2312" w:hAnsi="仿宋_GB2312" w:eastAsia="仿宋_GB2312" w:cs="仿宋_GB2312"/>
                <w:szCs w:val="21"/>
              </w:rPr>
            </w:pPr>
            <w:r>
              <w:rPr>
                <w:rFonts w:hint="eastAsia" w:ascii="仿宋_GB2312" w:hAnsi="仿宋_GB2312" w:eastAsia="仿宋_GB2312" w:cs="仿宋_GB2312"/>
                <w:szCs w:val="21"/>
              </w:rP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8" w:type="pct"/>
            <w:vMerge w:val="continue"/>
            <w:vAlign w:val="center"/>
          </w:tcPr>
          <w:p>
            <w:pPr>
              <w:spacing w:line="340" w:lineRule="exact"/>
              <w:rPr>
                <w:rFonts w:hint="eastAsia" w:ascii="仿宋_GB2312" w:hAnsi="仿宋_GB2312" w:eastAsia="仿宋_GB2312" w:cs="仿宋_GB2312"/>
                <w:szCs w:val="21"/>
              </w:rPr>
            </w:pPr>
          </w:p>
        </w:tc>
        <w:tc>
          <w:tcPr>
            <w:tcW w:w="550" w:type="pct"/>
            <w:vAlign w:val="center"/>
          </w:tcPr>
          <w:p>
            <w:pPr>
              <w:pStyle w:val="20"/>
              <w:spacing w:line="340" w:lineRule="exact"/>
              <w:rPr>
                <w:rFonts w:hint="eastAsia" w:ascii="仿宋_GB2312" w:hAnsi="仿宋_GB2312" w:eastAsia="仿宋_GB2312" w:cs="仿宋_GB2312"/>
                <w:szCs w:val="21"/>
              </w:rPr>
            </w:pPr>
            <w:r>
              <w:rPr>
                <w:rFonts w:hint="eastAsia" w:ascii="仿宋_GB2312" w:hAnsi="仿宋_GB2312" w:eastAsia="仿宋_GB2312" w:cs="仿宋_GB2312"/>
                <w:szCs w:val="21"/>
              </w:rPr>
              <w:t>服务对象满意度指标</w:t>
            </w:r>
          </w:p>
        </w:tc>
        <w:tc>
          <w:tcPr>
            <w:tcW w:w="1101" w:type="pct"/>
            <w:vAlign w:val="center"/>
          </w:tcPr>
          <w:p>
            <w:pPr>
              <w:pStyle w:val="20"/>
              <w:spacing w:line="340" w:lineRule="exact"/>
              <w:rPr>
                <w:rFonts w:hint="eastAsia" w:ascii="仿宋_GB2312" w:hAnsi="仿宋_GB2312" w:eastAsia="仿宋_GB2312" w:cs="仿宋_GB2312"/>
                <w:szCs w:val="21"/>
              </w:rPr>
            </w:pPr>
            <w:r>
              <w:rPr>
                <w:rFonts w:hint="eastAsia" w:ascii="仿宋_GB2312" w:hAnsi="仿宋_GB2312" w:eastAsia="仿宋_GB2312" w:cs="仿宋_GB2312"/>
                <w:szCs w:val="21"/>
              </w:rPr>
              <w:t>学员综合评优率</w:t>
            </w:r>
          </w:p>
        </w:tc>
        <w:tc>
          <w:tcPr>
            <w:tcW w:w="2181" w:type="pct"/>
            <w:vAlign w:val="center"/>
          </w:tcPr>
          <w:p>
            <w:pPr>
              <w:pStyle w:val="20"/>
              <w:spacing w:line="340" w:lineRule="exact"/>
              <w:rPr>
                <w:rFonts w:hint="eastAsia" w:ascii="仿宋_GB2312" w:hAnsi="仿宋_GB2312" w:eastAsia="仿宋_GB2312" w:cs="仿宋_GB2312"/>
                <w:szCs w:val="21"/>
              </w:rPr>
            </w:pPr>
            <w:r>
              <w:rPr>
                <w:rFonts w:hint="eastAsia" w:ascii="仿宋_GB2312" w:hAnsi="仿宋_GB2312" w:eastAsia="仿宋_GB2312" w:cs="仿宋_GB2312"/>
                <w:szCs w:val="21"/>
              </w:rPr>
              <w:t>参训人数员满意度</w:t>
            </w:r>
          </w:p>
        </w:tc>
        <w:tc>
          <w:tcPr>
            <w:tcW w:w="273" w:type="pct"/>
            <w:vAlign w:val="center"/>
          </w:tcPr>
          <w:p>
            <w:pPr>
              <w:pStyle w:val="20"/>
              <w:spacing w:line="340" w:lineRule="exact"/>
              <w:rPr>
                <w:rFonts w:hint="eastAsia" w:ascii="仿宋_GB2312" w:hAnsi="仿宋_GB2312" w:eastAsia="仿宋_GB2312" w:cs="仿宋_GB2312"/>
                <w:szCs w:val="21"/>
              </w:rPr>
            </w:pPr>
            <w:r>
              <w:rPr>
                <w:rFonts w:hint="eastAsia" w:ascii="仿宋_GB2312" w:hAnsi="仿宋_GB2312" w:eastAsia="仿宋_GB2312" w:cs="仿宋_GB2312"/>
                <w:szCs w:val="21"/>
              </w:rPr>
              <w:t>≥90%</w:t>
            </w:r>
          </w:p>
        </w:tc>
        <w:tc>
          <w:tcPr>
            <w:tcW w:w="557" w:type="pct"/>
            <w:vAlign w:val="center"/>
          </w:tcPr>
          <w:p>
            <w:pPr>
              <w:pStyle w:val="20"/>
              <w:spacing w:line="340" w:lineRule="exact"/>
              <w:rPr>
                <w:rFonts w:hint="eastAsia" w:ascii="仿宋_GB2312" w:hAnsi="仿宋_GB2312" w:eastAsia="仿宋_GB2312" w:cs="仿宋_GB2312"/>
                <w:szCs w:val="21"/>
              </w:rPr>
            </w:pPr>
            <w:r>
              <w:rPr>
                <w:rFonts w:hint="eastAsia" w:ascii="仿宋_GB2312" w:hAnsi="仿宋_GB2312" w:eastAsia="仿宋_GB2312" w:cs="仿宋_GB2312"/>
                <w:szCs w:val="21"/>
              </w:rPr>
              <w:t>问卷调查</w:t>
            </w:r>
          </w:p>
        </w:tc>
      </w:tr>
    </w:tbl>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六、政府采购预算情况</w:t>
      </w:r>
      <w:bookmarkStart w:id="22" w:name="_Toc471398468"/>
    </w:p>
    <w:p>
      <w:pPr>
        <w:spacing w:line="584" w:lineRule="exact"/>
        <w:ind w:firstLine="640" w:firstLineChars="200"/>
        <w:outlineLvl w:val="0"/>
        <w:rPr>
          <w:rFonts w:ascii="Times New Roman" w:hAnsi="Times New Roman" w:eastAsia="仿宋_GB2312" w:cs="Times New Roman"/>
          <w:sz w:val="32"/>
          <w:szCs w:val="24"/>
        </w:rPr>
      </w:pPr>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w:t>
      </w:r>
      <w:r>
        <w:rPr>
          <w:rFonts w:ascii="Times New Roman" w:hAnsi="Times New Roman" w:eastAsia="仿宋_GB2312" w:cs="Times New Roman"/>
          <w:sz w:val="32"/>
          <w:szCs w:val="24"/>
        </w:rPr>
        <w:t>2年，我部门安排政府采购预算</w:t>
      </w:r>
      <w:r>
        <w:rPr>
          <w:rFonts w:hint="eastAsia" w:ascii="Times New Roman" w:hAnsi="Times New Roman" w:eastAsia="仿宋_GB2312" w:cs="Times New Roman"/>
          <w:sz w:val="32"/>
          <w:szCs w:val="24"/>
        </w:rPr>
        <w:t>0</w:t>
      </w:r>
      <w:r>
        <w:rPr>
          <w:rFonts w:ascii="Times New Roman" w:hAnsi="Times New Roman" w:eastAsia="仿宋_GB2312" w:cs="Times New Roman"/>
          <w:sz w:val="32"/>
          <w:szCs w:val="24"/>
        </w:rPr>
        <w:t>万元。具体内容见下表。</w:t>
      </w:r>
    </w:p>
    <w:p>
      <w:pPr>
        <w:jc w:val="center"/>
        <w:outlineLvl w:val="1"/>
        <w:rPr>
          <w:rFonts w:ascii="方正小标宋_GBK" w:eastAsia="方正小标宋_GBK" w:cs="Times New Roman"/>
          <w:sz w:val="32"/>
        </w:rPr>
      </w:pPr>
      <w:bookmarkStart w:id="23" w:name="_Toc64920910"/>
      <w:r>
        <w:rPr>
          <w:rFonts w:hint="eastAsia" w:ascii="方正小标宋_GBK" w:eastAsia="方正小标宋_GBK" w:cs="Times New Roman"/>
          <w:sz w:val="32"/>
        </w:rPr>
        <w:t>部门政府采购预算</w:t>
      </w:r>
      <w:bookmarkEnd w:id="23"/>
    </w:p>
    <w:p>
      <w:pPr>
        <w:jc w:val="left"/>
        <w:outlineLvl w:val="1"/>
        <w:rPr>
          <w:rFonts w:ascii="方正小标宋_GBK" w:eastAsia="方正小标宋_GBK" w:cs="Times New Roman"/>
          <w:sz w:val="32"/>
        </w:rPr>
      </w:pPr>
      <w:r>
        <w:rPr>
          <w:rFonts w:hint="eastAsia"/>
        </w:rPr>
        <w:t>[260]中国共产党廊坊市广阳区委员会办公室</w:t>
      </w:r>
      <w:r>
        <w:t xml:space="preserve">                                                                                    单位：万元</w:t>
      </w:r>
    </w:p>
    <w:tbl>
      <w:tblPr>
        <w:tblStyle w:val="11"/>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09"/>
        <w:gridCol w:w="890"/>
        <w:gridCol w:w="1043"/>
        <w:gridCol w:w="1043"/>
        <w:gridCol w:w="652"/>
        <w:gridCol w:w="782"/>
        <w:gridCol w:w="782"/>
        <w:gridCol w:w="887"/>
        <w:gridCol w:w="887"/>
        <w:gridCol w:w="887"/>
        <w:gridCol w:w="887"/>
        <w:gridCol w:w="887"/>
        <w:gridCol w:w="888"/>
        <w:gridCol w:w="888"/>
        <w:gridCol w:w="888"/>
        <w:gridCol w:w="8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04" w:hRule="atLeast"/>
          <w:tblHeader/>
          <w:jc w:val="center"/>
        </w:trPr>
        <w:tc>
          <w:tcPr>
            <w:tcW w:w="670" w:type="pct"/>
            <w:gridSpan w:val="2"/>
            <w:vAlign w:val="center"/>
          </w:tcPr>
          <w:p>
            <w:pPr>
              <w:pStyle w:val="19"/>
            </w:pPr>
            <w:r>
              <w:t>政府采购项目来源</w:t>
            </w:r>
          </w:p>
        </w:tc>
        <w:tc>
          <w:tcPr>
            <w:tcW w:w="368" w:type="pct"/>
            <w:vMerge w:val="restart"/>
            <w:vAlign w:val="center"/>
          </w:tcPr>
          <w:p>
            <w:pPr>
              <w:pStyle w:val="19"/>
            </w:pPr>
            <w:r>
              <w:t>采购物品名称</w:t>
            </w:r>
          </w:p>
        </w:tc>
        <w:tc>
          <w:tcPr>
            <w:tcW w:w="368" w:type="pct"/>
            <w:vMerge w:val="restart"/>
            <w:vAlign w:val="center"/>
          </w:tcPr>
          <w:p>
            <w:pPr>
              <w:pStyle w:val="19"/>
            </w:pPr>
            <w:r>
              <w:t>政府采购目录序号</w:t>
            </w:r>
          </w:p>
        </w:tc>
        <w:tc>
          <w:tcPr>
            <w:tcW w:w="230" w:type="pct"/>
            <w:vMerge w:val="restart"/>
            <w:vAlign w:val="center"/>
          </w:tcPr>
          <w:p>
            <w:pPr>
              <w:pStyle w:val="19"/>
            </w:pPr>
            <w:r>
              <w:t>计量  单位</w:t>
            </w:r>
          </w:p>
        </w:tc>
        <w:tc>
          <w:tcPr>
            <w:tcW w:w="276" w:type="pct"/>
            <w:vMerge w:val="restart"/>
            <w:vAlign w:val="center"/>
          </w:tcPr>
          <w:p>
            <w:pPr>
              <w:pStyle w:val="19"/>
            </w:pPr>
            <w:r>
              <w:t>数量</w:t>
            </w:r>
          </w:p>
        </w:tc>
        <w:tc>
          <w:tcPr>
            <w:tcW w:w="276" w:type="pct"/>
            <w:vMerge w:val="restart"/>
            <w:vAlign w:val="center"/>
          </w:tcPr>
          <w:p>
            <w:pPr>
              <w:pStyle w:val="19"/>
            </w:pPr>
            <w:r>
              <w:t>单价</w:t>
            </w:r>
          </w:p>
        </w:tc>
        <w:tc>
          <w:tcPr>
            <w:tcW w:w="2503" w:type="pct"/>
            <w:gridSpan w:val="8"/>
            <w:vAlign w:val="center"/>
          </w:tcPr>
          <w:p>
            <w:pPr>
              <w:pStyle w:val="19"/>
            </w:pPr>
            <w:r>
              <w:t>政府采购金额（当年部门预算安排资金）</w:t>
            </w:r>
          </w:p>
        </w:tc>
        <w:tc>
          <w:tcPr>
            <w:tcW w:w="309" w:type="pct"/>
            <w:vMerge w:val="restart"/>
            <w:vAlign w:val="center"/>
          </w:tcPr>
          <w:p>
            <w:pPr>
              <w:pStyle w:val="19"/>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402" w:hRule="atLeast"/>
          <w:tblHeader/>
          <w:jc w:val="center"/>
        </w:trPr>
        <w:tc>
          <w:tcPr>
            <w:tcW w:w="356" w:type="pct"/>
            <w:vAlign w:val="center"/>
          </w:tcPr>
          <w:p>
            <w:pPr>
              <w:pStyle w:val="19"/>
            </w:pPr>
            <w:r>
              <w:t>项目名称</w:t>
            </w:r>
          </w:p>
        </w:tc>
        <w:tc>
          <w:tcPr>
            <w:tcW w:w="313" w:type="pct"/>
            <w:vAlign w:val="center"/>
          </w:tcPr>
          <w:p>
            <w:pPr>
              <w:pStyle w:val="19"/>
            </w:pPr>
            <w:r>
              <w:t>预算    资金</w:t>
            </w:r>
          </w:p>
        </w:tc>
        <w:tc>
          <w:tcPr>
            <w:tcW w:w="368" w:type="pct"/>
            <w:vMerge w:val="continue"/>
          </w:tcPr>
          <w:p/>
        </w:tc>
        <w:tc>
          <w:tcPr>
            <w:tcW w:w="368" w:type="pct"/>
            <w:vMerge w:val="continue"/>
          </w:tcPr>
          <w:p/>
        </w:tc>
        <w:tc>
          <w:tcPr>
            <w:tcW w:w="230" w:type="pct"/>
            <w:vMerge w:val="continue"/>
          </w:tcPr>
          <w:p/>
        </w:tc>
        <w:tc>
          <w:tcPr>
            <w:tcW w:w="276" w:type="pct"/>
            <w:vMerge w:val="continue"/>
          </w:tcPr>
          <w:p/>
        </w:tc>
        <w:tc>
          <w:tcPr>
            <w:tcW w:w="276" w:type="pct"/>
            <w:vMerge w:val="continue"/>
          </w:tcPr>
          <w:p/>
        </w:tc>
        <w:tc>
          <w:tcPr>
            <w:tcW w:w="313" w:type="pct"/>
            <w:vAlign w:val="center"/>
          </w:tcPr>
          <w:p>
            <w:pPr>
              <w:pStyle w:val="19"/>
            </w:pPr>
            <w:r>
              <w:t>合计</w:t>
            </w:r>
          </w:p>
        </w:tc>
        <w:tc>
          <w:tcPr>
            <w:tcW w:w="313" w:type="pct"/>
            <w:vAlign w:val="center"/>
          </w:tcPr>
          <w:p>
            <w:pPr>
              <w:pStyle w:val="19"/>
            </w:pPr>
            <w:r>
              <w:t>一般公共预算拨款</w:t>
            </w:r>
          </w:p>
        </w:tc>
        <w:tc>
          <w:tcPr>
            <w:tcW w:w="313" w:type="pct"/>
            <w:vAlign w:val="center"/>
          </w:tcPr>
          <w:p>
            <w:pPr>
              <w:pStyle w:val="19"/>
            </w:pPr>
            <w:r>
              <w:t>基金预算拨款</w:t>
            </w:r>
          </w:p>
        </w:tc>
        <w:tc>
          <w:tcPr>
            <w:tcW w:w="313" w:type="pct"/>
            <w:vAlign w:val="center"/>
          </w:tcPr>
          <w:p>
            <w:pPr>
              <w:pStyle w:val="19"/>
            </w:pPr>
            <w:r>
              <w:t>国有资本经营预算拨款</w:t>
            </w:r>
          </w:p>
        </w:tc>
        <w:tc>
          <w:tcPr>
            <w:tcW w:w="313" w:type="pct"/>
            <w:vAlign w:val="center"/>
          </w:tcPr>
          <w:p>
            <w:pPr>
              <w:pStyle w:val="19"/>
            </w:pPr>
            <w:r>
              <w:t>财政专户核拨</w:t>
            </w:r>
          </w:p>
        </w:tc>
        <w:tc>
          <w:tcPr>
            <w:tcW w:w="313" w:type="pct"/>
            <w:vAlign w:val="center"/>
          </w:tcPr>
          <w:p>
            <w:pPr>
              <w:pStyle w:val="19"/>
            </w:pPr>
            <w:r>
              <w:t>单位    资金</w:t>
            </w:r>
          </w:p>
        </w:tc>
        <w:tc>
          <w:tcPr>
            <w:tcW w:w="313" w:type="pct"/>
            <w:vAlign w:val="center"/>
          </w:tcPr>
          <w:p>
            <w:pPr>
              <w:pStyle w:val="19"/>
            </w:pPr>
            <w:r>
              <w:t>财政拨    款结转</w:t>
            </w:r>
          </w:p>
        </w:tc>
        <w:tc>
          <w:tcPr>
            <w:tcW w:w="313" w:type="pct"/>
            <w:vAlign w:val="center"/>
          </w:tcPr>
          <w:p>
            <w:pPr>
              <w:pStyle w:val="19"/>
            </w:pPr>
            <w:r>
              <w:t>非财政    拨款结    转结余</w:t>
            </w:r>
          </w:p>
        </w:tc>
        <w:tc>
          <w:tcPr>
            <w:tcW w:w="309"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04" w:hRule="atLeast"/>
          <w:jc w:val="center"/>
        </w:trPr>
        <w:tc>
          <w:tcPr>
            <w:tcW w:w="356" w:type="pct"/>
            <w:vAlign w:val="center"/>
          </w:tcPr>
          <w:p>
            <w:pPr>
              <w:pStyle w:val="22"/>
            </w:pPr>
            <w:r>
              <w:t>合  计</w:t>
            </w:r>
          </w:p>
        </w:tc>
        <w:tc>
          <w:tcPr>
            <w:tcW w:w="313" w:type="pct"/>
            <w:vAlign w:val="center"/>
          </w:tcPr>
          <w:p>
            <w:pPr>
              <w:pStyle w:val="23"/>
            </w:pPr>
          </w:p>
        </w:tc>
        <w:tc>
          <w:tcPr>
            <w:tcW w:w="368" w:type="pct"/>
            <w:vAlign w:val="center"/>
          </w:tcPr>
          <w:p>
            <w:pPr>
              <w:pStyle w:val="17"/>
            </w:pPr>
          </w:p>
        </w:tc>
        <w:tc>
          <w:tcPr>
            <w:tcW w:w="368" w:type="pct"/>
            <w:vAlign w:val="center"/>
          </w:tcPr>
          <w:p>
            <w:pPr>
              <w:pStyle w:val="17"/>
            </w:pPr>
          </w:p>
        </w:tc>
        <w:tc>
          <w:tcPr>
            <w:tcW w:w="230" w:type="pct"/>
            <w:vAlign w:val="center"/>
          </w:tcPr>
          <w:p>
            <w:pPr>
              <w:pStyle w:val="22"/>
            </w:pPr>
          </w:p>
        </w:tc>
        <w:tc>
          <w:tcPr>
            <w:tcW w:w="276" w:type="pct"/>
            <w:vAlign w:val="center"/>
          </w:tcPr>
          <w:p>
            <w:pPr>
              <w:pStyle w:val="23"/>
            </w:pPr>
          </w:p>
        </w:tc>
        <w:tc>
          <w:tcPr>
            <w:tcW w:w="276" w:type="pct"/>
            <w:vAlign w:val="center"/>
          </w:tcPr>
          <w:p>
            <w:pPr>
              <w:pStyle w:val="23"/>
            </w:pPr>
          </w:p>
        </w:tc>
        <w:tc>
          <w:tcPr>
            <w:tcW w:w="313" w:type="pct"/>
            <w:vAlign w:val="center"/>
          </w:tcPr>
          <w:p>
            <w:pPr>
              <w:pStyle w:val="23"/>
            </w:pPr>
          </w:p>
        </w:tc>
        <w:tc>
          <w:tcPr>
            <w:tcW w:w="313" w:type="pct"/>
            <w:vAlign w:val="center"/>
          </w:tcPr>
          <w:p>
            <w:pPr>
              <w:pStyle w:val="23"/>
            </w:pPr>
          </w:p>
        </w:tc>
        <w:tc>
          <w:tcPr>
            <w:tcW w:w="313" w:type="pct"/>
            <w:vAlign w:val="center"/>
          </w:tcPr>
          <w:p>
            <w:pPr>
              <w:pStyle w:val="23"/>
            </w:pPr>
          </w:p>
        </w:tc>
        <w:tc>
          <w:tcPr>
            <w:tcW w:w="313" w:type="pct"/>
            <w:vAlign w:val="center"/>
          </w:tcPr>
          <w:p>
            <w:pPr>
              <w:pStyle w:val="23"/>
            </w:pPr>
          </w:p>
        </w:tc>
        <w:tc>
          <w:tcPr>
            <w:tcW w:w="313" w:type="pct"/>
            <w:vAlign w:val="center"/>
          </w:tcPr>
          <w:p>
            <w:pPr>
              <w:pStyle w:val="23"/>
            </w:pPr>
          </w:p>
        </w:tc>
        <w:tc>
          <w:tcPr>
            <w:tcW w:w="313" w:type="pct"/>
            <w:vAlign w:val="center"/>
          </w:tcPr>
          <w:p>
            <w:pPr>
              <w:pStyle w:val="23"/>
            </w:pPr>
          </w:p>
        </w:tc>
        <w:tc>
          <w:tcPr>
            <w:tcW w:w="313" w:type="pct"/>
            <w:vAlign w:val="center"/>
          </w:tcPr>
          <w:p>
            <w:pPr>
              <w:pStyle w:val="23"/>
            </w:pPr>
          </w:p>
        </w:tc>
        <w:tc>
          <w:tcPr>
            <w:tcW w:w="313" w:type="pct"/>
            <w:vAlign w:val="center"/>
          </w:tcPr>
          <w:p>
            <w:pPr>
              <w:pStyle w:val="23"/>
            </w:pPr>
          </w:p>
        </w:tc>
        <w:tc>
          <w:tcPr>
            <w:tcW w:w="309" w:type="pct"/>
            <w:vAlign w:val="center"/>
          </w:tcPr>
          <w:p>
            <w:pPr>
              <w:pStyle w:val="2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90" w:hRule="atLeast"/>
          <w:jc w:val="center"/>
        </w:trPr>
        <w:tc>
          <w:tcPr>
            <w:tcW w:w="356" w:type="pct"/>
            <w:vAlign w:val="center"/>
          </w:tcPr>
          <w:p>
            <w:pPr>
              <w:pStyle w:val="22"/>
            </w:pPr>
          </w:p>
        </w:tc>
        <w:tc>
          <w:tcPr>
            <w:tcW w:w="313" w:type="pct"/>
            <w:vAlign w:val="center"/>
          </w:tcPr>
          <w:p>
            <w:pPr>
              <w:pStyle w:val="23"/>
            </w:pPr>
          </w:p>
        </w:tc>
        <w:tc>
          <w:tcPr>
            <w:tcW w:w="368" w:type="pct"/>
            <w:vAlign w:val="center"/>
          </w:tcPr>
          <w:p>
            <w:pPr>
              <w:pStyle w:val="17"/>
            </w:pPr>
          </w:p>
        </w:tc>
        <w:tc>
          <w:tcPr>
            <w:tcW w:w="368" w:type="pct"/>
            <w:vAlign w:val="center"/>
          </w:tcPr>
          <w:p>
            <w:pPr>
              <w:pStyle w:val="17"/>
            </w:pPr>
          </w:p>
        </w:tc>
        <w:tc>
          <w:tcPr>
            <w:tcW w:w="230" w:type="pct"/>
            <w:vAlign w:val="center"/>
          </w:tcPr>
          <w:p>
            <w:pPr>
              <w:pStyle w:val="22"/>
            </w:pPr>
          </w:p>
        </w:tc>
        <w:tc>
          <w:tcPr>
            <w:tcW w:w="276" w:type="pct"/>
            <w:vAlign w:val="center"/>
          </w:tcPr>
          <w:p>
            <w:pPr>
              <w:pStyle w:val="23"/>
            </w:pPr>
          </w:p>
        </w:tc>
        <w:tc>
          <w:tcPr>
            <w:tcW w:w="276" w:type="pct"/>
            <w:vAlign w:val="center"/>
          </w:tcPr>
          <w:p>
            <w:pPr>
              <w:pStyle w:val="23"/>
            </w:pPr>
          </w:p>
        </w:tc>
        <w:tc>
          <w:tcPr>
            <w:tcW w:w="313" w:type="pct"/>
            <w:vAlign w:val="center"/>
          </w:tcPr>
          <w:p>
            <w:pPr>
              <w:pStyle w:val="23"/>
            </w:pPr>
          </w:p>
        </w:tc>
        <w:tc>
          <w:tcPr>
            <w:tcW w:w="313" w:type="pct"/>
            <w:vAlign w:val="center"/>
          </w:tcPr>
          <w:p>
            <w:pPr>
              <w:pStyle w:val="23"/>
            </w:pPr>
          </w:p>
        </w:tc>
        <w:tc>
          <w:tcPr>
            <w:tcW w:w="313" w:type="pct"/>
            <w:vAlign w:val="center"/>
          </w:tcPr>
          <w:p>
            <w:pPr>
              <w:pStyle w:val="23"/>
            </w:pPr>
          </w:p>
        </w:tc>
        <w:tc>
          <w:tcPr>
            <w:tcW w:w="313" w:type="pct"/>
            <w:vAlign w:val="center"/>
          </w:tcPr>
          <w:p>
            <w:pPr>
              <w:pStyle w:val="23"/>
            </w:pPr>
          </w:p>
        </w:tc>
        <w:tc>
          <w:tcPr>
            <w:tcW w:w="313" w:type="pct"/>
            <w:vAlign w:val="center"/>
          </w:tcPr>
          <w:p>
            <w:pPr>
              <w:pStyle w:val="23"/>
            </w:pPr>
          </w:p>
        </w:tc>
        <w:tc>
          <w:tcPr>
            <w:tcW w:w="313" w:type="pct"/>
            <w:vAlign w:val="center"/>
          </w:tcPr>
          <w:p>
            <w:pPr>
              <w:pStyle w:val="23"/>
            </w:pPr>
          </w:p>
        </w:tc>
        <w:tc>
          <w:tcPr>
            <w:tcW w:w="313" w:type="pct"/>
            <w:vAlign w:val="center"/>
          </w:tcPr>
          <w:p>
            <w:pPr>
              <w:pStyle w:val="23"/>
            </w:pPr>
          </w:p>
        </w:tc>
        <w:tc>
          <w:tcPr>
            <w:tcW w:w="313" w:type="pct"/>
            <w:vAlign w:val="center"/>
          </w:tcPr>
          <w:p>
            <w:pPr>
              <w:pStyle w:val="23"/>
            </w:pPr>
          </w:p>
        </w:tc>
        <w:tc>
          <w:tcPr>
            <w:tcW w:w="309" w:type="pct"/>
            <w:vAlign w:val="center"/>
          </w:tcPr>
          <w:p>
            <w:pPr>
              <w:pStyle w:val="23"/>
            </w:pPr>
          </w:p>
        </w:tc>
      </w:tr>
    </w:tbl>
    <w:p>
      <w:pPr>
        <w:spacing w:line="500" w:lineRule="exact"/>
        <w:ind w:firstLine="420"/>
        <w:rPr>
          <w:rFonts w:ascii="方正仿宋_GBK" w:hAnsi="方正仿宋_GBK" w:eastAsia="方正仿宋_GBK" w:cs="方正仿宋_GBK"/>
          <w:color w:val="000000"/>
        </w:rPr>
      </w:pPr>
      <w:r>
        <w:rPr>
          <w:rFonts w:ascii="方正仿宋_GBK" w:hAnsi="方正仿宋_GBK" w:eastAsia="方正仿宋_GBK" w:cs="方正仿宋_GBK"/>
          <w:color w:val="000000"/>
        </w:rPr>
        <w:t>注：同一采购目录序号的物品，其单价会因配置规格不同而变动，均符合资产配置标准。涉密采购事项按照相关规定执行。</w:t>
      </w:r>
    </w:p>
    <w:p>
      <w:pPr>
        <w:spacing w:line="584" w:lineRule="exact"/>
        <w:ind w:firstLine="640" w:firstLineChars="200"/>
        <w:outlineLvl w:val="0"/>
        <w:rPr>
          <w:rFonts w:ascii="Times New Roman" w:hAnsi="Times New Roman" w:eastAsia="仿宋_GB2312" w:cs="Times New Roman"/>
          <w:sz w:val="32"/>
          <w:szCs w:val="24"/>
        </w:rPr>
      </w:pPr>
    </w:p>
    <w:bookmarkEnd w:id="22"/>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我部门</w:t>
      </w:r>
      <w:r>
        <w:rPr>
          <w:rFonts w:ascii="Times New Roman" w:hAnsi="Times New Roman" w:eastAsia="仿宋_GB2312" w:cs="Times New Roman"/>
          <w:sz w:val="32"/>
          <w:szCs w:val="32"/>
        </w:rPr>
        <w:t>上年末固定资产金额为</w:t>
      </w:r>
      <w:r>
        <w:rPr>
          <w:rFonts w:hint="eastAsia" w:ascii="Times New Roman" w:hAnsi="Times New Roman" w:eastAsia="仿宋_GB2312" w:cs="Times New Roman"/>
          <w:sz w:val="32"/>
          <w:szCs w:val="32"/>
        </w:rPr>
        <w:t>40</w:t>
      </w:r>
      <w:r>
        <w:rPr>
          <w:rFonts w:ascii="Times New Roman" w:hAnsi="Times New Roman" w:eastAsia="仿宋_GB2312" w:cs="Times New Roman"/>
          <w:sz w:val="32"/>
          <w:szCs w:val="32"/>
        </w:rPr>
        <w:t>6.68762万元</w:t>
      </w:r>
      <w:r>
        <w:rPr>
          <w:rFonts w:hint="eastAsia" w:ascii="Times New Roman" w:hAnsi="Times New Roman" w:eastAsia="仿宋_GB2312" w:cs="Times New Roman"/>
          <w:sz w:val="32"/>
          <w:szCs w:val="32"/>
        </w:rPr>
        <w:t>（详见下表）</w:t>
      </w:r>
      <w:r>
        <w:rPr>
          <w:rFonts w:ascii="Times New Roman" w:hAnsi="Times New Roman" w:eastAsia="仿宋_GB2312" w:cs="Times New Roman"/>
          <w:sz w:val="32"/>
          <w:szCs w:val="32"/>
        </w:rPr>
        <w:t>，本年度我部门拟购置固定资产</w:t>
      </w:r>
      <w:r>
        <w:rPr>
          <w:rFonts w:hint="eastAsia" w:ascii="Times New Roman" w:hAnsi="Times New Roman" w:eastAsia="仿宋_GB2312" w:cs="Times New Roman"/>
          <w:sz w:val="32"/>
          <w:szCs w:val="32"/>
        </w:rPr>
        <w:t>总额为</w:t>
      </w:r>
      <w:r>
        <w:rPr>
          <w:rFonts w:ascii="Times New Roman" w:hAnsi="Times New Roman" w:eastAsia="仿宋_GB2312" w:cs="Times New Roman"/>
          <w:sz w:val="32"/>
          <w:szCs w:val="32"/>
        </w:rPr>
        <w:t>0</w:t>
      </w:r>
      <w:r>
        <w:rPr>
          <w:rFonts w:hint="eastAsia" w:ascii="Times New Roman" w:hAnsi="Times New Roman" w:eastAsia="仿宋_GB2312" w:cs="Times New Roman"/>
          <w:sz w:val="32"/>
          <w:szCs w:val="32"/>
        </w:rPr>
        <w:t>万元，</w:t>
      </w:r>
      <w:r>
        <w:rPr>
          <w:rFonts w:ascii="Times New Roman" w:hAnsi="Times New Roman" w:eastAsia="仿宋_GB2312" w:cs="Times New Roman"/>
          <w:sz w:val="32"/>
          <w:szCs w:val="32"/>
        </w:rPr>
        <w:t>详见</w:t>
      </w:r>
      <w:r>
        <w:rPr>
          <w:rFonts w:hint="eastAsia" w:ascii="Times New Roman" w:hAnsi="Times New Roman" w:eastAsia="仿宋_GB2312" w:cs="Times New Roman"/>
          <w:sz w:val="32"/>
          <w:szCs w:val="32"/>
        </w:rPr>
        <w:t>政府采购</w:t>
      </w:r>
      <w:r>
        <w:rPr>
          <w:rFonts w:ascii="Times New Roman" w:hAnsi="Times New Roman" w:eastAsia="仿宋_GB2312" w:cs="Times New Roman"/>
          <w:sz w:val="32"/>
          <w:szCs w:val="32"/>
        </w:rPr>
        <w:t>预算表。</w:t>
      </w:r>
    </w:p>
    <w:tbl>
      <w:tblPr>
        <w:tblStyle w:val="11"/>
        <w:tblW w:w="13482"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84" w:lineRule="exact"/>
              <w:jc w:val="center"/>
              <w:rPr>
                <w:rFonts w:ascii="Times New Roman" w:hAnsi="Times New Roman" w:eastAsia="仿宋_GB2312" w:cs="Times New Roman"/>
                <w:b/>
                <w:bCs/>
                <w:kern w:val="0"/>
                <w:sz w:val="32"/>
                <w:szCs w:val="32"/>
              </w:rPr>
            </w:pPr>
            <w:r>
              <w:rPr>
                <w:rFonts w:hint="eastAsia" w:ascii="Times New Roman" w:hAnsi="Times New Roman" w:eastAsia="仿宋_GB2312" w:cs="Times New Roman"/>
                <w:b/>
                <w:bCs/>
                <w:kern w:val="0"/>
                <w:sz w:val="32"/>
                <w:szCs w:val="32"/>
              </w:rPr>
              <w:t>中国共产党廊坊市广阳区委员会办公室</w:t>
            </w:r>
            <w:r>
              <w:rPr>
                <w:rFonts w:ascii="Times New Roman" w:hAnsi="Times New Roman" w:eastAsia="仿宋_GB2312" w:cs="Times New Roman"/>
                <w:b/>
                <w:bCs/>
                <w:kern w:val="0"/>
                <w:sz w:val="32"/>
                <w:szCs w:val="32"/>
              </w:rPr>
              <w:t>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编制部门：</w:t>
            </w:r>
            <w:r>
              <w:rPr>
                <w:rFonts w:hint="eastAsia" w:ascii="Times New Roman" w:hAnsi="Times New Roman" w:eastAsia="仿宋_GB2312" w:cs="Times New Roman"/>
                <w:kern w:val="0"/>
                <w:sz w:val="22"/>
              </w:rPr>
              <w:t>中国共产党廊坊市广阳区委员会办公室</w:t>
            </w:r>
          </w:p>
        </w:tc>
        <w:tc>
          <w:tcPr>
            <w:tcW w:w="5103" w:type="dxa"/>
            <w:tcBorders>
              <w:top w:val="nil"/>
              <w:left w:val="nil"/>
              <w:bottom w:val="nil"/>
              <w:right w:val="nil"/>
            </w:tcBorders>
            <w:shd w:val="clear" w:color="auto" w:fill="auto"/>
            <w:noWrap/>
            <w:vAlign w:val="center"/>
          </w:tcPr>
          <w:p>
            <w:pPr>
              <w:widowControl/>
              <w:spacing w:line="584" w:lineRule="exact"/>
              <w:ind w:firstLine="1760" w:firstLineChars="800"/>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w:t>
            </w:r>
            <w:r>
              <w:rPr>
                <w:rFonts w:hint="eastAsia" w:ascii="Times New Roman" w:hAnsi="Times New Roman" w:eastAsia="仿宋_GB2312" w:cs="Times New Roman"/>
                <w:kern w:val="0"/>
                <w:sz w:val="22"/>
              </w:rPr>
              <w:t>20</w:t>
            </w:r>
            <w:r>
              <w:rPr>
                <w:rFonts w:ascii="Times New Roman" w:hAnsi="Times New Roman" w:eastAsia="仿宋_GB2312" w:cs="Times New Roman"/>
                <w:kern w:val="0"/>
                <w:sz w:val="22"/>
              </w:rPr>
              <w:t xml:space="preserve">年12月31日  </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   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406.68762</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9000</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240</w:t>
            </w:r>
          </w:p>
        </w:tc>
      </w:tr>
      <w:tr>
        <w:tblPrEx>
          <w:tblCellMar>
            <w:top w:w="0" w:type="dxa"/>
            <w:left w:w="108" w:type="dxa"/>
            <w:bottom w:w="0" w:type="dxa"/>
            <w:right w:w="108" w:type="dxa"/>
          </w:tblCellMar>
        </w:tblPrEx>
        <w:trPr>
          <w:trHeight w:val="575"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9000</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240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6</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106.94</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59.74762</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级财政预算管理的“三公”经费，是指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我部门无其他需要说明的事项。</w:t>
      </w:r>
    </w:p>
    <w:sectPr>
      <w:footerReference r:id="rId3" w:type="default"/>
      <w:pgSz w:w="16838" w:h="11906" w:orient="landscape"/>
      <w:pgMar w:top="1800" w:right="1440" w:bottom="180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宋体"/>
    <w:panose1 w:val="00000000000000000000"/>
    <w:charset w:val="86"/>
    <w:family w:val="script"/>
    <w:pitch w:val="default"/>
    <w:sig w:usb0="00000000" w:usb1="00000000" w:usb2="00000010" w:usb3="00000000" w:csb0="00040000" w:csb1="00000000"/>
  </w:font>
  <w:font w:name="方正书宋_GBK">
    <w:altName w:val="微软雅黑"/>
    <w:panose1 w:val="00000000000000000000"/>
    <w:charset w:val="86"/>
    <w:family w:val="roman"/>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w:t>
    </w:r>
    <w:r>
      <w:fldChar w:fldCharType="begin"/>
    </w:r>
    <w:r>
      <w:instrText xml:space="preserve">PAGE   \* MERGEFORMAT</w:instrText>
    </w:r>
    <w:r>
      <w:fldChar w:fldCharType="separate"/>
    </w:r>
    <w:r>
      <w:rPr>
        <w:lang w:val="zh-CN"/>
      </w:rPr>
      <w:t>7</w:t>
    </w:r>
    <w:r>
      <w:rPr>
        <w:lang w:val="zh-CN"/>
      </w:rPr>
      <w:fldChar w:fldCharType="end"/>
    </w:r>
    <w:r>
      <w:rPr>
        <w:rFonts w:hint="eastAsia"/>
      </w:rPr>
      <w:t>-</w:t>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40E144"/>
    <w:multiLevelType w:val="multilevel"/>
    <w:tmpl w:val="8740E144"/>
    <w:lvl w:ilvl="0" w:tentative="0">
      <w:start w:val="1"/>
      <w:numFmt w:val="chineseCountingThousand"/>
      <w:lvlText w:val="（%1）"/>
      <w:lvlJc w:val="left"/>
      <w:pPr>
        <w:tabs>
          <w:tab w:val="left" w:pos="0"/>
        </w:tabs>
        <w:ind w:left="1624" w:hanging="964"/>
      </w:pPr>
    </w:lvl>
    <w:lvl w:ilvl="1" w:tentative="0">
      <w:start w:val="1"/>
      <w:numFmt w:val="lowerLetter"/>
      <w:lvlText w:val="%2)"/>
      <w:lvlJc w:val="left"/>
      <w:pPr>
        <w:tabs>
          <w:tab w:val="left" w:pos="0"/>
        </w:tabs>
        <w:ind w:left="1500" w:hanging="420"/>
      </w:pPr>
    </w:lvl>
    <w:lvl w:ilvl="2" w:tentative="0">
      <w:start w:val="1"/>
      <w:numFmt w:val="lowerRoman"/>
      <w:lvlText w:val="%3."/>
      <w:lvlJc w:val="right"/>
      <w:pPr>
        <w:tabs>
          <w:tab w:val="left" w:pos="0"/>
        </w:tabs>
        <w:ind w:left="1920" w:hanging="420"/>
      </w:pPr>
    </w:lvl>
    <w:lvl w:ilvl="3" w:tentative="0">
      <w:start w:val="1"/>
      <w:numFmt w:val="decimal"/>
      <w:lvlText w:val="%4."/>
      <w:lvlJc w:val="left"/>
      <w:pPr>
        <w:tabs>
          <w:tab w:val="left" w:pos="0"/>
        </w:tabs>
        <w:ind w:left="2340" w:hanging="420"/>
      </w:pPr>
    </w:lvl>
    <w:lvl w:ilvl="4" w:tentative="0">
      <w:start w:val="1"/>
      <w:numFmt w:val="lowerLetter"/>
      <w:lvlText w:val="%5)"/>
      <w:lvlJc w:val="left"/>
      <w:pPr>
        <w:tabs>
          <w:tab w:val="left" w:pos="0"/>
        </w:tabs>
        <w:ind w:left="2760" w:hanging="420"/>
      </w:pPr>
    </w:lvl>
    <w:lvl w:ilvl="5" w:tentative="0">
      <w:start w:val="1"/>
      <w:numFmt w:val="lowerRoman"/>
      <w:lvlText w:val="%6."/>
      <w:lvlJc w:val="right"/>
      <w:pPr>
        <w:tabs>
          <w:tab w:val="left" w:pos="0"/>
        </w:tabs>
        <w:ind w:left="3180" w:hanging="420"/>
      </w:pPr>
    </w:lvl>
    <w:lvl w:ilvl="6" w:tentative="0">
      <w:start w:val="1"/>
      <w:numFmt w:val="decimal"/>
      <w:lvlText w:val="%7."/>
      <w:lvlJc w:val="left"/>
      <w:pPr>
        <w:tabs>
          <w:tab w:val="left" w:pos="0"/>
        </w:tabs>
        <w:ind w:left="3600" w:hanging="420"/>
      </w:pPr>
    </w:lvl>
    <w:lvl w:ilvl="7" w:tentative="0">
      <w:start w:val="1"/>
      <w:numFmt w:val="lowerLetter"/>
      <w:lvlText w:val="%8)"/>
      <w:lvlJc w:val="left"/>
      <w:pPr>
        <w:tabs>
          <w:tab w:val="left" w:pos="0"/>
        </w:tabs>
        <w:ind w:left="4020" w:hanging="420"/>
      </w:pPr>
    </w:lvl>
    <w:lvl w:ilvl="8" w:tentative="0">
      <w:start w:val="1"/>
      <w:numFmt w:val="lowerRoman"/>
      <w:lvlText w:val="%9."/>
      <w:lvlJc w:val="right"/>
      <w:pPr>
        <w:tabs>
          <w:tab w:val="left" w:pos="0"/>
        </w:tabs>
        <w:ind w:left="44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ulTrailSpace/>
    <w:doNotExpandShiftReturn/>
    <w:adjustLineHeightInTable/>
    <w:growAutofit/>
    <w:useFELayout/>
    <w:doNotUseIndentAsNumberingTabStop/>
    <w:useAltKinsokuLineBreakRules/>
    <w:compatSetting w:name="compatibilityMode" w:uri="http://schemas.microsoft.com/office/word" w:val="14"/>
  </w:compat>
  <w:rsids>
    <w:rsidRoot w:val="00E7098E"/>
    <w:rsid w:val="000C49FF"/>
    <w:rsid w:val="002510D0"/>
    <w:rsid w:val="00320BB3"/>
    <w:rsid w:val="003E0E09"/>
    <w:rsid w:val="00423E57"/>
    <w:rsid w:val="004E4BEF"/>
    <w:rsid w:val="00741A5F"/>
    <w:rsid w:val="009736DC"/>
    <w:rsid w:val="009C09E7"/>
    <w:rsid w:val="00D35332"/>
    <w:rsid w:val="00DB5482"/>
    <w:rsid w:val="00E7098E"/>
    <w:rsid w:val="43B85E5B"/>
    <w:rsid w:val="4CD612C1"/>
    <w:rsid w:val="51256E40"/>
    <w:rsid w:val="5AF16073"/>
    <w:rsid w:val="6AB16644"/>
    <w:rsid w:val="6F903FE0"/>
    <w:rsid w:val="716B40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semiHidden="0" w:name="index 5"/>
    <w:lsdException w:qFormat="1" w:unhideWhenUsed="0" w:uiPriority="0" w:semiHidden="0" w:name="index 6"/>
    <w:lsdException w:qFormat="1" w:unhideWhenUsed="0" w:uiPriority="0" w:semiHidden="0"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2">
    <w:name w:val="index 5"/>
    <w:basedOn w:val="1"/>
    <w:next w:val="1"/>
    <w:qFormat/>
    <w:uiPriority w:val="0"/>
    <w:pPr>
      <w:ind w:left="1680"/>
    </w:pPr>
  </w:style>
  <w:style w:type="paragraph" w:styleId="3">
    <w:name w:val="index 6"/>
    <w:basedOn w:val="1"/>
    <w:next w:val="1"/>
    <w:qFormat/>
    <w:uiPriority w:val="0"/>
    <w:pPr>
      <w:ind w:left="2100"/>
    </w:pPr>
  </w:style>
  <w:style w:type="paragraph" w:styleId="4">
    <w:name w:val="Balloon Text"/>
    <w:basedOn w:val="1"/>
    <w:qFormat/>
    <w:uiPriority w:val="0"/>
    <w:rPr>
      <w:sz w:val="18"/>
      <w:szCs w:val="18"/>
    </w:rPr>
  </w:style>
  <w:style w:type="paragraph" w:styleId="5">
    <w:name w:val="footer"/>
    <w:basedOn w:val="1"/>
    <w:qFormat/>
    <w:uiPriority w:val="0"/>
    <w:pPr>
      <w:tabs>
        <w:tab w:val="center" w:pos="4153"/>
        <w:tab w:val="right" w:pos="8306"/>
      </w:tabs>
      <w:snapToGrid w:val="0"/>
      <w:jc w:val="left"/>
    </w:pPr>
    <w:rPr>
      <w:rFonts w:ascii="Times New Roman" w:hAnsi="Times New Roman" w:cs="Times New Roman"/>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7">
    <w:name w:val="toc 1"/>
    <w:basedOn w:val="1"/>
    <w:next w:val="1"/>
    <w:qFormat/>
    <w:uiPriority w:val="0"/>
    <w:rPr>
      <w:rFonts w:ascii="Times New Roman" w:hAnsi="Times New Roman" w:cs="Times New Roman"/>
      <w:szCs w:val="24"/>
    </w:rPr>
  </w:style>
  <w:style w:type="paragraph" w:styleId="8">
    <w:name w:val="footnote text"/>
    <w:basedOn w:val="1"/>
    <w:qFormat/>
    <w:uiPriority w:val="0"/>
    <w:pPr>
      <w:snapToGrid w:val="0"/>
      <w:jc w:val="left"/>
    </w:pPr>
    <w:rPr>
      <w:rFonts w:cs="Times New Roman"/>
      <w:sz w:val="18"/>
      <w:szCs w:val="18"/>
    </w:rPr>
  </w:style>
  <w:style w:type="paragraph" w:styleId="9">
    <w:name w:val="index 7"/>
    <w:basedOn w:val="1"/>
    <w:next w:val="1"/>
    <w:qFormat/>
    <w:uiPriority w:val="0"/>
    <w:pPr>
      <w:ind w:left="2520"/>
    </w:pPr>
  </w:style>
  <w:style w:type="paragraph" w:styleId="10">
    <w:name w:val="toc 2"/>
    <w:basedOn w:val="1"/>
    <w:next w:val="1"/>
    <w:qFormat/>
    <w:uiPriority w:val="0"/>
    <w:pPr>
      <w:ind w:left="200" w:leftChars="200"/>
    </w:pPr>
    <w:rPr>
      <w:rFonts w:ascii="Times New Roman" w:hAnsi="Times New Roman" w:cs="Times New Roman"/>
      <w:szCs w:val="24"/>
    </w:rPr>
  </w:style>
  <w:style w:type="character" w:styleId="13">
    <w:name w:val="footnote reference"/>
    <w:qFormat/>
    <w:uiPriority w:val="0"/>
    <w:rPr>
      <w:vertAlign w:val="superscript"/>
    </w:rPr>
  </w:style>
  <w:style w:type="paragraph" w:customStyle="1" w:styleId="14">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5">
    <w:name w:val="插入文本样式-插入职责分类绩效目标文件"/>
    <w:next w:val="8"/>
    <w:qFormat/>
    <w:uiPriority w:val="0"/>
    <w:pPr>
      <w:spacing w:line="500" w:lineRule="exact"/>
      <w:ind w:firstLine="560"/>
    </w:pPr>
    <w:rPr>
      <w:rFonts w:ascii="Times New Roman" w:hAnsi="Times New Roman" w:eastAsia="方正仿宋_GBK" w:cs="Times New Roman"/>
      <w:sz w:val="28"/>
      <w:szCs w:val="24"/>
      <w:lang w:val="en-US" w:eastAsia="uk-UA" w:bidi="ar-SA"/>
    </w:rPr>
  </w:style>
  <w:style w:type="paragraph" w:customStyle="1" w:styleId="16">
    <w:name w:val="插入文本样式-插入实现年度发展规划目标的保障措施文件"/>
    <w:next w:val="10"/>
    <w:qFormat/>
    <w:uiPriority w:val="0"/>
    <w:pPr>
      <w:spacing w:line="500" w:lineRule="exact"/>
      <w:ind w:firstLine="560"/>
    </w:pPr>
    <w:rPr>
      <w:rFonts w:ascii="Times New Roman" w:hAnsi="Times New Roman" w:eastAsia="方正仿宋_GBK" w:cs="Times New Roman"/>
      <w:sz w:val="28"/>
      <w:szCs w:val="24"/>
      <w:lang w:val="en-US" w:eastAsia="uk-UA" w:bidi="ar-SA"/>
    </w:rPr>
  </w:style>
  <w:style w:type="paragraph" w:customStyle="1" w:styleId="17">
    <w:name w:val="单元格样式5"/>
    <w:next w:val="14"/>
    <w:qFormat/>
    <w:uiPriority w:val="0"/>
    <w:rPr>
      <w:rFonts w:ascii="方正书宋_GBK" w:hAnsi="Times New Roman" w:eastAsia="方正书宋_GBK" w:cs="方正书宋_GBK"/>
      <w:b/>
      <w:sz w:val="21"/>
      <w:szCs w:val="24"/>
      <w:lang w:val="en-US" w:eastAsia="uk-UA" w:bidi="ar-SA"/>
    </w:rPr>
  </w:style>
  <w:style w:type="paragraph" w:customStyle="1" w:styleId="18">
    <w:name w:val="单元格样式4"/>
    <w:qFormat/>
    <w:uiPriority w:val="0"/>
    <w:pPr>
      <w:jc w:val="right"/>
    </w:pPr>
    <w:rPr>
      <w:rFonts w:ascii="方正书宋_GBK" w:hAnsi="Times New Roman" w:eastAsia="方正书宋_GBK" w:cs="方正书宋_GBK"/>
      <w:sz w:val="21"/>
      <w:szCs w:val="24"/>
      <w:lang w:val="en-US" w:eastAsia="uk-UA" w:bidi="ar-SA"/>
    </w:rPr>
  </w:style>
  <w:style w:type="paragraph" w:customStyle="1" w:styleId="19">
    <w:name w:val="单元格样式1"/>
    <w:next w:val="3"/>
    <w:qFormat/>
    <w:uiPriority w:val="0"/>
    <w:pPr>
      <w:jc w:val="center"/>
    </w:pPr>
    <w:rPr>
      <w:rFonts w:ascii="方正书宋_GBK" w:hAnsi="Times New Roman" w:eastAsia="方正书宋_GBK" w:cs="方正书宋_GBK"/>
      <w:b/>
      <w:sz w:val="21"/>
      <w:szCs w:val="24"/>
      <w:lang w:val="en-US" w:eastAsia="uk-UA" w:bidi="ar-SA"/>
    </w:rPr>
  </w:style>
  <w:style w:type="paragraph" w:customStyle="1" w:styleId="20">
    <w:name w:val="单元格样式2"/>
    <w:next w:val="2"/>
    <w:qFormat/>
    <w:uiPriority w:val="0"/>
    <w:rPr>
      <w:rFonts w:ascii="方正书宋_GBK" w:hAnsi="Times New Roman" w:eastAsia="方正书宋_GBK" w:cs="方正书宋_GBK"/>
      <w:sz w:val="21"/>
      <w:szCs w:val="24"/>
      <w:lang w:val="en-US" w:eastAsia="uk-UA" w:bidi="ar-SA"/>
    </w:rPr>
  </w:style>
  <w:style w:type="paragraph" w:customStyle="1" w:styleId="21">
    <w:name w:val="单元格样式3"/>
    <w:next w:val="9"/>
    <w:qFormat/>
    <w:uiPriority w:val="0"/>
    <w:pPr>
      <w:jc w:val="center"/>
    </w:pPr>
    <w:rPr>
      <w:rFonts w:ascii="方正书宋_GBK" w:hAnsi="Times New Roman" w:eastAsia="方正书宋_GBK" w:cs="方正书宋_GBK"/>
      <w:sz w:val="21"/>
      <w:szCs w:val="24"/>
      <w:lang w:val="en-US" w:eastAsia="uk-UA" w:bidi="ar-SA"/>
    </w:rPr>
  </w:style>
  <w:style w:type="paragraph" w:customStyle="1" w:styleId="22">
    <w:name w:val="单元格样式6"/>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23">
    <w:name w:val="单元格样式7"/>
    <w:basedOn w:val="1"/>
    <w:qFormat/>
    <w:uiPriority w:val="0"/>
    <w:pPr>
      <w:widowControl/>
      <w:jc w:val="right"/>
    </w:pPr>
    <w:rPr>
      <w:rFonts w:ascii="方正书宋_GBK" w:hAnsi="方正书宋_GBK" w:eastAsia="方正书宋_GBK" w:cs="方正书宋_GBK"/>
      <w:b/>
      <w:kern w:val="0"/>
      <w:szCs w:val="24"/>
      <w:lang w:eastAsia="uk-U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50</Pages>
  <Words>4294</Words>
  <Characters>24481</Characters>
  <Lines>204</Lines>
  <Paragraphs>57</Paragraphs>
  <TotalTime>4</TotalTime>
  <ScaleCrop>false</ScaleCrop>
  <LinksUpToDate>false</LinksUpToDate>
  <CharactersWithSpaces>28718</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2020-01-13T03:27:00Z</dcterms:created>
  <dc:creator>guest</dc:creator>
  <cp:lastModifiedBy>111</cp:lastModifiedBy>
  <cp:lastPrinted>2018-01-30T06:12:00Z</cp:lastPrinted>
  <dcterms:modified xsi:type="dcterms:W3CDTF">2024-05-16T00:57:58Z</dcterms:modified>
  <cp:revision>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25C72E12049643C69185D105F7BE3FD4</vt:lpwstr>
  </property>
</Properties>
</file>