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ind w:firstLine="1320" w:firstLineChars="300"/>
        <w:jc w:val="both"/>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 </w:t>
      </w:r>
      <w:r>
        <w:rPr>
          <w:rFonts w:hint="eastAsia" w:ascii="方正小标宋简体" w:eastAsia="方正小标宋简体" w:cs="宋体"/>
          <w:color w:val="000000"/>
          <w:kern w:val="0"/>
          <w:sz w:val="44"/>
          <w:szCs w:val="44"/>
          <w:lang w:eastAsia="zh-CN"/>
        </w:rPr>
        <w:t>中国共产党</w:t>
      </w:r>
      <w:r>
        <w:rPr>
          <w:rFonts w:hint="eastAsia" w:ascii="方正小标宋简体" w:eastAsia="方正小标宋简体" w:cs="宋体"/>
          <w:color w:val="000000"/>
          <w:kern w:val="0"/>
          <w:sz w:val="44"/>
          <w:szCs w:val="44"/>
        </w:rPr>
        <w:t>廊坊市广阳区</w:t>
      </w:r>
      <w:r>
        <w:rPr>
          <w:rFonts w:hint="eastAsia" w:ascii="方正小标宋简体" w:eastAsia="方正小标宋简体" w:cs="宋体"/>
          <w:color w:val="000000"/>
          <w:kern w:val="0"/>
          <w:sz w:val="44"/>
          <w:szCs w:val="44"/>
          <w:lang w:eastAsia="zh-CN"/>
        </w:rPr>
        <w:t>委员会</w:t>
      </w:r>
      <w:r>
        <w:rPr>
          <w:rFonts w:hint="eastAsia" w:ascii="方正小标宋简体" w:eastAsia="方正小标宋简体" w:cs="宋体"/>
          <w:color w:val="000000"/>
          <w:kern w:val="0"/>
          <w:sz w:val="44"/>
          <w:szCs w:val="44"/>
        </w:rPr>
        <w:t>201</w:t>
      </w:r>
      <w:r>
        <w:rPr>
          <w:rFonts w:ascii="方正小标宋简体" w:eastAsia="方正小标宋简体" w:cs="宋体"/>
          <w:color w:val="000000"/>
          <w:kern w:val="0"/>
          <w:sz w:val="44"/>
          <w:szCs w:val="44"/>
        </w:rPr>
        <w:t>8</w:t>
      </w:r>
      <w:r>
        <w:rPr>
          <w:rFonts w:hint="eastAsia" w:ascii="方正小标宋简体" w:eastAsia="方正小标宋简体" w:cs="宋体"/>
          <w:color w:val="000000"/>
          <w:kern w:val="0"/>
          <w:sz w:val="44"/>
          <w:szCs w:val="44"/>
        </w:rPr>
        <w:t>年部门预算信息公开</w:t>
      </w:r>
    </w:p>
    <w:p>
      <w:pPr>
        <w:widowControl/>
        <w:spacing w:line="360" w:lineRule="atLeast"/>
        <w:jc w:val="center"/>
        <w:rPr>
          <w:rFonts w:hint="eastAsia" w:ascii="仿宋_GB2312" w:eastAsia="仿宋_GB2312" w:cs="宋体"/>
          <w:color w:val="000000"/>
          <w:kern w:val="0"/>
          <w:sz w:val="32"/>
          <w:szCs w:val="32"/>
        </w:rPr>
      </w:pP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w:t>
      </w:r>
      <w:r>
        <w:rPr>
          <w:rFonts w:hint="eastAsia" w:ascii="仿宋_GB2312" w:eastAsia="仿宋_GB2312" w:cs="宋体"/>
          <w:color w:val="000000"/>
          <w:kern w:val="0"/>
          <w:sz w:val="32"/>
          <w:szCs w:val="32"/>
          <w:lang w:eastAsia="zh-CN"/>
        </w:rPr>
        <w:t>中国共产党</w:t>
      </w:r>
      <w:r>
        <w:rPr>
          <w:rFonts w:hint="eastAsia" w:ascii="仿宋_GB2312" w:eastAsia="仿宋_GB2312" w:cs="宋体"/>
          <w:color w:val="000000"/>
          <w:kern w:val="0"/>
          <w:sz w:val="32"/>
          <w:szCs w:val="32"/>
        </w:rPr>
        <w:t>廊坊市广阳区</w:t>
      </w:r>
      <w:r>
        <w:rPr>
          <w:rFonts w:hint="eastAsia" w:ascii="仿宋_GB2312" w:eastAsia="仿宋_GB2312" w:cs="宋体"/>
          <w:color w:val="000000"/>
          <w:kern w:val="0"/>
          <w:sz w:val="32"/>
          <w:szCs w:val="32"/>
          <w:lang w:eastAsia="zh-CN"/>
        </w:rPr>
        <w:t>委员会</w:t>
      </w:r>
      <w:r>
        <w:rPr>
          <w:rFonts w:hint="eastAsia" w:ascii="仿宋_GB2312" w:eastAsia="仿宋_GB2312" w:cs="宋体"/>
          <w:color w:val="000000"/>
          <w:kern w:val="0"/>
          <w:sz w:val="32"/>
          <w:szCs w:val="32"/>
        </w:rPr>
        <w:t>20</w:t>
      </w:r>
      <w:r>
        <w:rPr>
          <w:rFonts w:ascii="仿宋_GB2312" w:eastAsia="仿宋_GB2312" w:cs="宋体"/>
          <w:color w:val="000000"/>
          <w:kern w:val="0"/>
          <w:sz w:val="32"/>
          <w:szCs w:val="32"/>
        </w:rPr>
        <w:t>18</w:t>
      </w:r>
      <w:r>
        <w:rPr>
          <w:rFonts w:hint="eastAsia" w:ascii="仿宋_GB2312" w:eastAsia="仿宋_GB2312" w:cs="宋体"/>
          <w:color w:val="000000"/>
          <w:kern w:val="0"/>
          <w:sz w:val="32"/>
          <w:szCs w:val="32"/>
        </w:rPr>
        <w:t>年部门预算公开如下：</w:t>
      </w:r>
    </w:p>
    <w:p>
      <w:pPr>
        <w:widowControl/>
        <w:spacing w:line="360" w:lineRule="atLeast"/>
        <w:ind w:left="420" w:firstLine="160" w:firstLineChars="50"/>
        <w:jc w:val="left"/>
        <w:rPr>
          <w:rFonts w:hint="eastAsia" w:ascii="黑体" w:eastAsia="黑体" w:cs="宋体"/>
          <w:color w:val="000000"/>
          <w:kern w:val="0"/>
          <w:sz w:val="32"/>
          <w:szCs w:val="32"/>
        </w:rPr>
      </w:pPr>
      <w:r>
        <w:rPr>
          <w:rFonts w:hint="eastAsia" w:ascii="黑体" w:eastAsia="黑体" w:cs="宋体"/>
          <w:color w:val="000000"/>
          <w:kern w:val="0"/>
          <w:sz w:val="32"/>
          <w:szCs w:val="32"/>
        </w:rPr>
        <w:t>一、部门职责及机构设置情况</w:t>
      </w:r>
    </w:p>
    <w:p>
      <w:pPr>
        <w:widowControl/>
        <w:spacing w:line="360" w:lineRule="atLeast"/>
        <w:ind w:left="420" w:firstLine="161" w:firstLineChars="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1、参谋协调运转:负责区委公文运转、各种会议和活动组织安排、公务接待等。职责目标：保障区委各种会议、日常工作活动的正常、顺利进行；保障机关公文正常运转。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信息收集与督查调研:主要是围绕区委总体工作部署开展综合调研，收集和处理信息、反映动态；承担党市委重要工作部署贯彻落实的督导检查，区委领导同志批示件的传达和催办落实。职责目标:信息真实完整，领导满意，批示率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3、机关密码管理:负责全区密码通信和密码管理。职责目标：管理好相关涉密工作。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4、保密管理:开展全区保密工作及保密科技监管。职责目标：管理好相关涉密工作。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5、区委事务管理：区委房产、基建、维修、物资分配和其他行政事务工作；机关离、退休干部的生活服务和阅文、参加有关活动的事务服务工作。职责目标：高质量完成年度各项政务管理工作任务。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全面深化改革：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职责目标：形成有价值</w:t>
      </w:r>
      <w:r>
        <w:rPr>
          <w:rFonts w:hint="eastAsia" w:ascii="仿宋_GB2312" w:eastAsia="仿宋_GB2312" w:cs="宋体"/>
          <w:color w:val="000000"/>
          <w:kern w:val="0"/>
          <w:sz w:val="32"/>
          <w:szCs w:val="32"/>
          <w:lang w:eastAsia="zh-CN"/>
        </w:rPr>
        <w:t>有分量</w:t>
      </w:r>
      <w:r>
        <w:rPr>
          <w:rFonts w:hint="eastAsia" w:ascii="仿宋_GB2312" w:eastAsia="仿宋_GB2312" w:cs="宋体"/>
          <w:color w:val="000000"/>
          <w:kern w:val="0"/>
          <w:sz w:val="32"/>
          <w:szCs w:val="32"/>
        </w:rPr>
        <w:t>的研究成果,对改革事项及时督查，对改革重要问题及时汇报请示，对改革政策措施和典型经验及时宣传推广，确保各项改革顺利推进。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7、防范和处理邪教：负责全区防范和处理邪教问题领导小组的日常工作职责目标：（涉密内容）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党校培训教育：根据区委、区政府有关要求，有计划地轮训和培训全区各级党政领导干部和理论骨干，负责对学员在党校学习期间的表现进行考核。职责目标：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团结动员妇女参加经济社会建设：团结、教育全区妇女及各类妇女组织同党中央在思想上、政治上、行动上保持高度一致，全面提高妇女素质。职责目标：把广大妇女紧密团结在党中央周围，围绕中央、区委区政府中心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维护妇女儿童合法权益促进妇女儿童发展：关注并加强研究涉及妇女切身利益的热点、难点问题，及时向区委和区政府反映社情民意，提出对策建议。职责目标：妇女综合素质和发展能力有较大提升。妇女儿童合法权益得到有效维护，男女平等基本国策宣传进一步深入人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参政议政：参政议政、社会服务等事项。职责目标：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13、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14、工商联事务管理：综合性事务管理等事项。职责目标：为做好机关档案、信息、财务、会务、保密、安全保卫、固定资产和日常工作提供保障和服务。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15、促进民营经济发展：加强对民营经济的宏观指导、综合协调，优化发展环境，激活市场主体，破解要素制约，强化公共服务，加强督导、检查和考核，提高民营经济发展质量和水平。职责目标：推动民营经济持续、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16、党员和党组织建设：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职责目标：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17、干部管理：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职责目标：落实国家工资政策和涉及领导干部收入分配的相关政策，准确高效办理区委管理干部的工资及退休费审批；培养锻炼干部，提高干部整体素质；为各级领导班子储配人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18、人才工作及人才队伍建设：负责全区人才工作的综合协调、检查指导，承担区委人才工作领导小组办公室职责任务；负责区管优秀专家等各类专家人才的选拔管理。职责目标：加强人才队伍建设，为广阳区经济社会发展提供有力的人才支撑。</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19、组织事务管理：负责做好部机关机要、文秘、信访、会议、固定资产等工作的计划安排和管理；负责机关自身建设；负责老干部综合服务和保障工作；负责新闻工作网宣与舆情监控、处置；组织系统信息化建设。职责目标：做好部机关机要、文秘、信访、会议、固定资产等工作的计划安排和管理；干部、人事政策科学合理；网宣与舆情监控到位、处置及时；信息系统运行无障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宣传思想工作：指导全区宣传工作；规划组织思想政治工作；指导协调宣传思想文化事业和外宣事业发展；加强舆论舆情引导管理；协调互联网宣传和信息内容管理；加强精神文明建设。职责目标：牢牢掌握意识形态工作领导权、管理权、话语权，弘扬主旋律，汇聚正能量，为经济社会发展提供有力的思想保证、精神动力、舆论支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21、推动文化发展：深化文化体制改革，构建现代公共文化服务体系；加强精神文化产品创作生产。职责目标：进一步解放和发展文化生产力，推动全区文化事业和文化产业健康发展。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22、宣传事务管理：负责系统综合业务管理和机关综合事务管理。职责目标：确保各项业务工作谋划到位、顺利开展。保障机关工作正常高效运转。</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23、党史研究：承担党史研究与宣传教育、资料征编工作。职责目标：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24、党史事务管理：负责综合事务管理工作。职责目标：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25、组织建设和宣传教育：领导全区共青团工作；协助区政府教育部门做好学生教育管理工作。职责目标：基层团组织和青年组织建设加强，活力明显提升。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26、服务、引导青少年工作：调查青年思想动态和工作状况，研究青少年运动、青少年工作理论和思想教育问题并开展各种活动；组织和带领青年在经济建设中发挥生力军和突击队作用；丰富青少年活动，服务青年学习成才、交流交友、社会融入等现实需求。职责目标：围绕青年思想动态和青年工作现状，不断加强青少年社会主义核心价值观教育，加强青年教育引导工作，围绕党政中心工作开展各项活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27、维护青少年权益工作：研究有关青少年发展问题；参与监督青少年法规的执行、处理侵害青少年合法权益的问题。职责目标：加强法治宣传教育，促进青少年健康成长。</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28、团委事务管理：负责团区委综合业务管理。职责目标：年度工作任务圆满完成，促进共青团事业发展。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29、推进新农村建设：通过实施建设美丽乡村，加快建设社会主义新农村。职责目标：通过建设美丽乡村和开展新民居中心村示范点建设，加快建设社会主义新农村。改善农村环境面貌，提升农民生产生活条件。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指导推进农村改革：全面深化农村重点领域、关键环节改革，加快推进农业农村体制机制创新，增强全区农村经济社会发展活力。职责目标：全面深化农村重点领域、关键环节改革，加快推进农业农村体制机制创新，增强全区农村经济社会发展活力。使农业增效、农民增收、农村增活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31、指导农村经济发展：职责目标：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32、推动全区农村工作开展：负责对全区农村工作情况的综合分析和信息反馈。职责目标：负责区直有关部门关于农村经济、农村改革和社会发展重要政策文件的审核把关。</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33、指导全区农村基层民主政治建设：承担区农村基层民主政治建设领导小组办公室工作，促进全区农村基层民主政治建设健康发展。职责目标：完善农村基层民主政治制度，有利于充分调动农民参与政治的积极性，提高农民的政治素质,有力地促进农村社会经济的发展,巩固我党在农村的执政地位。</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34、政务管理：贯彻落实中央和区委、区政府关于“三农”工作的决策部署。职责目标：贯彻落实中央、省和市、区委、区政府关于“三农”工作的决策部署。</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35、完成区委、区政府和区委农村工作领导小组及省市级主管部门交办的其他事项：完成区委、区政府和区委农村工作领导小组及省市级主管部门交办的其他事项。职责目标：完成区委、区政府和区委农村工作领导小组及省市级主管部门交办的其他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36、区直机关党建工作：结合区直机关党建工作实际，贯彻执行党的路线、方针、政策和区委的指示、决定，加强党的思想政治建设、组织建设、区直机关党风廉政建设，做好区直机关纪工委工作。职责目标：政治觉悟和思想道德素质明显提高。</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37、开展统战工作：调查研究统一战线的理论和方针政策，组织贯彻执行中央、省委、市委、区委关于统一战线的方针、政策。负责联系各</w:t>
      </w:r>
      <w:r>
        <w:rPr>
          <w:rFonts w:hint="eastAsia" w:ascii="仿宋_GB2312" w:eastAsia="仿宋_GB2312" w:cs="宋体"/>
          <w:color w:val="000000"/>
          <w:kern w:val="0"/>
          <w:sz w:val="32"/>
          <w:szCs w:val="32"/>
          <w:lang w:eastAsia="zh-CN"/>
        </w:rPr>
        <w:t>民主党派</w:t>
      </w:r>
      <w:r>
        <w:rPr>
          <w:rFonts w:hint="eastAsia" w:ascii="仿宋_GB2312" w:eastAsia="仿宋_GB2312" w:cs="宋体"/>
          <w:color w:val="000000"/>
          <w:kern w:val="0"/>
          <w:sz w:val="32"/>
          <w:szCs w:val="32"/>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职责目标：组织贯彻执行统一战线的方针、政策；向区委反映统一战线全面情况，提出开展统战工作的意见和建议；检查统战政策执行情况，协调统一战线各方面的关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38、党外干部队伍建设：协助区工商联和区有关统战团体做好干部管理工作。职责目标：做好干部管理工作。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39、经济文化交流：会同有关部门统筹协调和指导对台经济工作，组织重要台商的投资活动；参与市政府、区政府大型招商活动;协调指导全区各领域赴台交流的立项、审批、管理和我区赴台交流往来人员的行前教育工作。职责目标：通过双向交流互动，加大招商力度，不断扩大我区在台湾的知名度和影响力。</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40、对台事务管理：调研台湾形势和冀台经济文化交流发展动向，提出对策建议；管理涉台法律事务；负责全区对台宣传和涉台教育工作，受理台胞来冀定居审批，协调处理涉台重大突发事件和活动。职责目标：提出符合我区实际的对台政策建议，做好宣传工作，消除负面影响，保障各项对台事务在序开展。</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41、社区服务：抓好社区服务，发展社区文化，开展社区教育，不断提高市民素质。职责目标：完善社区居家养老服务体系。打造社区文化品牌。开展社区文化大讲堂，不断提高市民素质。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42、社区治安：加强城区社会治安综合治理，维护城区社会稳定。职责目标：维护社区稳定。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43、综合协调：负责社区环卫、环保、市政、治安、劳动用工、文化卫生等方面综合协调职能。职责目标：协调社区环卫、环保、市政、治安、劳动用工、文化卫生等方面职能。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44、推进平安广阳建设：加强首都护城河工程建设，为重大案件顺利侦破提供相应的资金支持，开展司法救助等活动，确保平安建设顺利开展。职责目标：实现全区经济社会发展安全安定、人民生活和谐有序。</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45、推进全区政法工作：领导、组织、指导全区政法队伍建设工作。职责目标：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013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91"/>
        <w:gridCol w:w="1388"/>
        <w:gridCol w:w="1385"/>
        <w:gridCol w:w="31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Header/>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广阳区区委办公室</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政党机关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广阳区区直机关工作委员会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广阳区委员会农村工作部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广阳区委员会组织部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广阳区委员会宣传部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广阳区委城工部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广阳区委员会政法委员会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副处级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广阳区妇女联合会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广阳区工商业联合会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中国共产主义青年团廊坊市广阳区委员会</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广阳区委员会党史研究室</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事业单位</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广阳区委员会统一战线工作部</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9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广阳区委员会党校</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行政机关</w:t>
            </w:r>
          </w:p>
        </w:tc>
        <w:tc>
          <w:tcPr>
            <w:tcW w:w="138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正科级</w:t>
            </w:r>
          </w:p>
        </w:tc>
        <w:tc>
          <w:tcPr>
            <w:tcW w:w="31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hint="eastAsia"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二、部门预算安排的总体情况</w:t>
      </w:r>
    </w:p>
    <w:p>
      <w:pPr>
        <w:widowControl/>
        <w:spacing w:line="570" w:lineRule="exac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lang w:eastAsia="zh-CN"/>
        </w:rPr>
        <w:t>中国共产党</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委员会</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hint="eastAsia"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hint="eastAsia"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hint="eastAsia"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年度廊坊市</w:t>
      </w:r>
      <w:r>
        <w:rPr>
          <w:rFonts w:hint="eastAsia" w:ascii="仿宋_GB2312" w:eastAsia="仿宋_GB2312" w:cs="宋体"/>
          <w:kern w:val="0"/>
          <w:sz w:val="32"/>
          <w:szCs w:val="32"/>
        </w:rPr>
        <w:t>广阳区区委</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年支出预算6911.37万元，其中基本支出2595.77万元，包括人员经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2254.37万元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341.10万元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项目支出4315.6</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，主要为区委事务管理经费、社区文化艺术节经费、政法信息化经费、区直党建活动经费、美丽乡村建设推进经费、星级化管理津贴、流动人口工作经费、社区经费、村级组织运转经费、精神文明建设经费等。</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hint="eastAsia"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6911.37</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1089.58</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238.5</w:t>
      </w:r>
      <w:r>
        <w:rPr>
          <w:rFonts w:hint="eastAsia" w:ascii="仿宋_GB2312" w:eastAsia="仿宋_GB2312" w:cs="宋体"/>
          <w:color w:val="000000"/>
          <w:kern w:val="0"/>
          <w:sz w:val="32"/>
          <w:szCs w:val="32"/>
        </w:rPr>
        <w:t>万元，主要为增加人员支出；项目支出增加</w:t>
      </w:r>
      <w:r>
        <w:rPr>
          <w:rFonts w:ascii="仿宋_GB2312" w:eastAsia="仿宋_GB2312" w:cs="宋体"/>
          <w:color w:val="000000"/>
          <w:kern w:val="0"/>
          <w:sz w:val="32"/>
          <w:szCs w:val="32"/>
        </w:rPr>
        <w:t>851.08</w:t>
      </w:r>
      <w:r>
        <w:rPr>
          <w:rFonts w:hint="eastAsia" w:ascii="仿宋_GB2312" w:eastAsia="仿宋_GB2312" w:cs="宋体"/>
          <w:color w:val="000000"/>
          <w:kern w:val="0"/>
          <w:sz w:val="32"/>
          <w:szCs w:val="32"/>
        </w:rPr>
        <w:t>万元，主要增加</w:t>
      </w:r>
      <w:r>
        <w:rPr>
          <w:rFonts w:ascii="仿宋_GB2312" w:eastAsia="仿宋_GB2312" w:cs="宋体"/>
          <w:color w:val="000000"/>
          <w:kern w:val="0"/>
          <w:sz w:val="32"/>
          <w:szCs w:val="32"/>
        </w:rPr>
        <w:t>村级组织运转经费、社区文化艺术节、流动人口工作经费等项目支出</w:t>
      </w:r>
      <w:r>
        <w:rPr>
          <w:rFonts w:hint="eastAsia" w:ascii="仿宋_GB2312" w:eastAsia="仿宋_GB2312" w:cs="宋体"/>
          <w:color w:val="000000"/>
          <w:kern w:val="0"/>
          <w:sz w:val="32"/>
          <w:szCs w:val="32"/>
        </w:rPr>
        <w:t>。</w:t>
      </w:r>
    </w:p>
    <w:p>
      <w:pPr>
        <w:widowControl/>
        <w:spacing w:line="570" w:lineRule="exact"/>
        <w:ind w:firstLine="643" w:firstLineChars="200"/>
        <w:jc w:val="left"/>
        <w:rPr>
          <w:rFonts w:hint="eastAsia"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13.03</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13.03</w:t>
      </w:r>
      <w:r>
        <w:rPr>
          <w:rFonts w:hint="eastAsia" w:ascii="仿宋_GB2312" w:eastAsia="仿宋_GB2312" w:cs="宋体"/>
          <w:color w:val="000000"/>
          <w:kern w:val="0"/>
          <w:sz w:val="32"/>
          <w:szCs w:val="32"/>
        </w:rPr>
        <w:t>万元，其他业务费</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hint="eastAsia"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130.6</w:t>
      </w:r>
      <w:r>
        <w:rPr>
          <w:rFonts w:hint="eastAsia" w:ascii="仿宋_GB2312" w:eastAsia="仿宋_GB2312" w:cs="宋体"/>
          <w:color w:val="000000"/>
          <w:kern w:val="0"/>
          <w:sz w:val="32"/>
          <w:szCs w:val="32"/>
        </w:rPr>
        <w:t>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80万元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50.6</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公务接待费增加80万元，</w:t>
      </w:r>
      <w:r>
        <w:rPr>
          <w:rFonts w:hint="eastAsia" w:ascii="仿宋_GB2312" w:eastAsia="仿宋_GB2312" w:cs="宋体"/>
          <w:color w:val="000000"/>
          <w:kern w:val="0"/>
          <w:sz w:val="32"/>
          <w:szCs w:val="32"/>
        </w:rPr>
        <w:t>主要原因是2017年</w:t>
      </w:r>
      <w:r>
        <w:rPr>
          <w:rFonts w:ascii="仿宋_GB2312" w:eastAsia="仿宋_GB2312" w:cs="宋体"/>
          <w:color w:val="000000"/>
          <w:kern w:val="0"/>
          <w:sz w:val="32"/>
          <w:szCs w:val="32"/>
        </w:rPr>
        <w:t>未安排</w:t>
      </w:r>
      <w:r>
        <w:rPr>
          <w:rFonts w:hint="eastAsia" w:ascii="仿宋_GB2312" w:eastAsia="仿宋_GB2312" w:cs="宋体"/>
          <w:color w:val="000000"/>
          <w:kern w:val="0"/>
          <w:sz w:val="32"/>
          <w:szCs w:val="32"/>
        </w:rPr>
        <w:t>预算。</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们将紧紧围绕“壮大三产服务业，培育新兴产业群，加快城乡一体化，建设和谐主城区”的发展思路，进一步增强责任感、使命感和紧迫感，以细致认真、埋头苦干、敢打敢拼的实干作风和开拓创新、锐意进取、事争一流的工作理念，更好地服务区委工作，为加快我区在全省率先全面建成小康社会的奋斗目标</w:t>
      </w:r>
      <w:r>
        <w:rPr>
          <w:rFonts w:hint="eastAsia" w:ascii="仿宋_GB2312" w:eastAsia="仿宋_GB2312" w:cs="宋体"/>
          <w:color w:val="000000"/>
          <w:kern w:val="0"/>
          <w:sz w:val="32"/>
          <w:szCs w:val="32"/>
          <w:lang w:eastAsia="zh-CN"/>
        </w:rPr>
        <w:t>作出更大贡献</w:t>
      </w:r>
      <w:r>
        <w:rPr>
          <w:rFonts w:hint="eastAsia"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一是突出服务发展，搞好决策参谋。紧紧围绕区委各项重大活动、重要会议，做好领导讲话、交流总结、汇报材料等各类文字材料的起草工作，努力提高文稿综合质量，为全区精简文稿篇幅</w:t>
      </w:r>
      <w:r>
        <w:rPr>
          <w:rFonts w:hint="eastAsia" w:ascii="仿宋_GB2312" w:eastAsia="仿宋_GB2312" w:cs="宋体"/>
          <w:color w:val="000000"/>
          <w:kern w:val="0"/>
          <w:sz w:val="32"/>
          <w:szCs w:val="32"/>
          <w:lang w:eastAsia="zh-CN"/>
        </w:rPr>
        <w:t>做好表率</w:t>
      </w:r>
      <w:r>
        <w:rPr>
          <w:rFonts w:hint="eastAsia" w:ascii="仿宋_GB2312" w:eastAsia="仿宋_GB2312" w:cs="宋体"/>
          <w:color w:val="000000"/>
          <w:kern w:val="0"/>
          <w:sz w:val="32"/>
          <w:szCs w:val="32"/>
        </w:rPr>
        <w:t>；围绕区委领导交办和高度关注的重点工作，深入思考，周密思考，努力为区委领导科学决策提供详细有力的第一手资料，不断提高参谋水平。善于从区委的角度和全局的高度去观察、思考问题，始终保持敏锐的政治观察力和对客观事物的洞察力，为区委提供有价值的调研材料、典型经验，确保区委正确决策；强化信息服务，在拓面提速、服务决策、建章立制、精准报送上下功夫，进一步提高信息报送时效；认真落实党内法规制度建设和文件审核备案要求，切实把好文件审核的政治关、政策关、内容关，为区委提供高水平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是突出统筹联络，搞好协调服务。充分发挥区委办公室的统筹全局、协调各方的中枢作用，推进工作效率最高化、效能最佳化、成果最大化。认真做好区委领导及领导所在部门之间的协调联系，保证区委领导活动顺利进行；加强区委、区人大常委会、区政府、区政协办公室之间、上下级党委办公室之间统筹协调工作，高效率做好上情下达、下情上传和科学统筹工作；严格值班</w:t>
      </w:r>
      <w:r>
        <w:rPr>
          <w:rFonts w:hint="eastAsia" w:ascii="仿宋_GB2312" w:eastAsia="仿宋_GB2312" w:cs="宋体"/>
          <w:color w:val="999999"/>
          <w:kern w:val="0"/>
          <w:sz w:val="32"/>
          <w:szCs w:val="32"/>
        </w:rPr>
        <w:fldChar w:fldCharType="begin"/>
      </w:r>
      <w:r>
        <w:instrText xml:space="preserve">HYPERLINK "http://www.gwyoo.com/article/shijicailiao/gzzd/"</w:instrText>
      </w:r>
      <w:r>
        <w:rPr>
          <w:rFonts w:hint="eastAsia" w:ascii="仿宋_GB2312" w:eastAsia="仿宋_GB2312" w:cs="宋体"/>
          <w:color w:val="999999"/>
          <w:kern w:val="0"/>
          <w:sz w:val="32"/>
          <w:szCs w:val="32"/>
        </w:rPr>
        <w:fldChar w:fldCharType="separate"/>
      </w:r>
      <w:r>
        <w:rPr>
          <w:rFonts w:hint="eastAsia" w:ascii="仿宋_GB2312" w:eastAsia="仿宋_GB2312" w:cs="宋体"/>
          <w:color w:val="999999"/>
          <w:kern w:val="0"/>
          <w:sz w:val="32"/>
          <w:szCs w:val="32"/>
        </w:rPr>
        <w:t>制度</w:t>
      </w:r>
      <w:r>
        <w:rPr>
          <w:rFonts w:hint="eastAsia" w:ascii="仿宋_GB2312" w:eastAsia="仿宋_GB2312" w:cs="宋体"/>
          <w:color w:val="000000"/>
          <w:kern w:val="0"/>
          <w:sz w:val="32"/>
          <w:szCs w:val="32"/>
        </w:rPr>
        <w:fldChar w:fldCharType="end"/>
      </w:r>
      <w:r>
        <w:rPr>
          <w:rFonts w:hint="eastAsia" w:ascii="仿宋_GB2312" w:eastAsia="仿宋_GB2312" w:cs="宋体"/>
          <w:color w:val="000000"/>
          <w:kern w:val="0"/>
          <w:sz w:val="32"/>
          <w:szCs w:val="32"/>
        </w:rPr>
        <w:t>和重大事项</w:t>
      </w:r>
      <w:r>
        <w:rPr>
          <w:rFonts w:hint="eastAsia" w:ascii="仿宋_GB2312" w:eastAsia="仿宋_GB2312" w:cs="宋体"/>
          <w:color w:val="999999"/>
          <w:kern w:val="0"/>
          <w:sz w:val="32"/>
          <w:szCs w:val="32"/>
        </w:rPr>
        <w:fldChar w:fldCharType="begin"/>
      </w:r>
      <w:r>
        <w:instrText xml:space="preserve">HYPERLINK "http://www.gwyoo.com/article/zhongjibaogao/"</w:instrText>
      </w:r>
      <w:r>
        <w:rPr>
          <w:rFonts w:hint="eastAsia" w:ascii="仿宋_GB2312" w:eastAsia="仿宋_GB2312" w:cs="宋体"/>
          <w:color w:val="999999"/>
          <w:kern w:val="0"/>
          <w:sz w:val="32"/>
          <w:szCs w:val="32"/>
        </w:rPr>
        <w:fldChar w:fldCharType="separate"/>
      </w:r>
      <w:r>
        <w:rPr>
          <w:rFonts w:hint="eastAsia" w:ascii="仿宋_GB2312" w:eastAsia="仿宋_GB2312" w:cs="宋体"/>
          <w:color w:val="999999"/>
          <w:kern w:val="0"/>
          <w:sz w:val="32"/>
          <w:szCs w:val="32"/>
        </w:rPr>
        <w:t>报告</w:t>
      </w:r>
      <w:r>
        <w:rPr>
          <w:rFonts w:hint="eastAsia" w:ascii="仿宋_GB2312" w:eastAsia="仿宋_GB2312" w:cs="宋体"/>
          <w:color w:val="000000"/>
          <w:kern w:val="0"/>
          <w:sz w:val="32"/>
          <w:szCs w:val="32"/>
        </w:rPr>
        <w:fldChar w:fldCharType="end"/>
      </w:r>
      <w:r>
        <w:rPr>
          <w:rFonts w:hint="eastAsia" w:ascii="仿宋_GB2312" w:eastAsia="仿宋_GB2312" w:cs="宋体"/>
          <w:color w:val="000000"/>
          <w:kern w:val="0"/>
          <w:sz w:val="32"/>
          <w:szCs w:val="32"/>
        </w:rPr>
        <w:t>制度，努力打造政治可靠、业务精湛、反应灵敏的应急队伍，确保各类突发事件得到有效处置。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是突出狠抓落实，搞好督促检查。一是推动区委、区政府各项重大决策部署的落实。加大对全区各单位落实“周报告，月小节，季点评”制度情况的督导检查力度，及时通报各级各部门对此项工作的执行情况；继续做好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办公室相关工作，加大对各相关单位运用电子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推动工作落实进行业务指导，健全完善电子</w:t>
      </w:r>
      <w:r>
        <w:rPr>
          <w:rFonts w:hint="eastAsia" w:ascii="仿宋_GB2312" w:eastAsia="仿宋_GB2312" w:cs="宋体"/>
          <w:color w:val="000000"/>
          <w:kern w:val="0"/>
          <w:sz w:val="32"/>
          <w:szCs w:val="32"/>
          <w:lang w:eastAsia="zh-CN"/>
        </w:rPr>
        <w:t>管理台账</w:t>
      </w:r>
      <w:r>
        <w:rPr>
          <w:rFonts w:hint="eastAsia" w:ascii="仿宋_GB2312" w:eastAsia="仿宋_GB2312" w:cs="宋体"/>
          <w:color w:val="000000"/>
          <w:kern w:val="0"/>
          <w:sz w:val="32"/>
          <w:szCs w:val="32"/>
        </w:rPr>
        <w:t>。二是围绕全区重点工作加强督查谋划。着重从土地制约、项目规模、新兴产业、生态环境、重点项目申报等方面进行科学立项督导，确保推动发展；对民心工程及农村基础设施建设、弱势群体救助、医疗保障、住房补贴、社会保障、就业再就业等民生工作开展情况进行督导，确保解决群众生产生活中的难题；对大气污染和水污染治理、农村环境整治治理情况进行督导，确保各项政策落地实处。同时，积极思考落实过程中遇到的新情况、新问题，形成与群众关注点、决策落实关节点有机结合的调研报告</w:t>
      </w:r>
      <w:r>
        <w:rPr>
          <w:rFonts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是突出规范管理，搞好保障工作。严格区委机关公文的起草、印制等办理程序，提高公文流转速度，推进公文处理工作的精细化、规范化。进一步精简文件简报，从严控制发文数量和文件简报字数，提高文件质量。按照记实、精要和重点突出的要求，做好区委常委会、联席会等会议的记录和纪要整理工作；强化涉密计算机信息系统的保密管理，确保涉密系统信息安全；全力做好电报译传办工作，做到及时、准确、保密。精简各类会议，规范各类活动，严格控制会议数量、规模、规格和时间，提高会议实效，切实改进会风。规范和完善财务管理、车辆管理、接待服务、办公用品管理、卫生管理等规章制度，统筹组织好各类后勤保障服务工作，确保周密细致，万无一失。</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五是突出活动引领，搞好素质提升。坚持以开展“三严三实”专题教育、解放思想大讨论为动力，引导党员干部深入学习党的十八大、十八届三中、四中、五</w:t>
      </w:r>
      <w:r>
        <w:rPr>
          <w:rFonts w:hint="eastAsia" w:ascii="仿宋_GB2312" w:eastAsia="仿宋_GB2312" w:cs="宋体"/>
          <w:color w:val="000000"/>
          <w:kern w:val="0"/>
          <w:sz w:val="32"/>
          <w:szCs w:val="32"/>
          <w:lang w:eastAsia="zh-CN"/>
        </w:rPr>
        <w:t>中</w:t>
      </w:r>
      <w:r>
        <w:rPr>
          <w:rFonts w:hint="eastAsia" w:ascii="仿宋_GB2312" w:eastAsia="仿宋_GB2312" w:cs="宋体"/>
          <w:color w:val="000000"/>
          <w:kern w:val="0"/>
          <w:sz w:val="32"/>
          <w:szCs w:val="32"/>
        </w:rPr>
        <w:t>全会和习近平总书记系列重要讲话精神，努力提高学习能力、综合协调能力、善抓落实能力和开拓创新能力。坚持将学习与实践有机结合起来，在干中学习、干中总结、干中提高，努力提高工作水平。严格遵守办公室的规章制度和工作纪律，明确各自责任，规范各自行为，大力倡导苦干实干、勤奋工作的风气，严肃认真、雷厉风行的风气，团结和谐、谦虚谨慎的风气，相互关心、奋发向上的风气。严格执行党风廉政建设的各项规定，加强廉政教育，增强廉洁意识，提高办公室人员的拒腐防变能力，营造办公室干净干事的氛围，全力维护办公室良好的形象，使办公室全体人员始终充满激情和活力，着力推动各项工作迈上更高台阶。</w:t>
      </w:r>
      <w:r>
        <w:rPr>
          <w:rFonts w:hint="eastAsia" w:ascii="宋体" w:hAnsi="宋体" w:eastAsia="仿宋_GB2312" w:cs="宋体"/>
          <w:color w:val="000000"/>
          <w:kern w:val="0"/>
          <w:sz w:val="32"/>
          <w:szCs w:val="32"/>
        </w:rPr>
        <w:t> </w:t>
      </w:r>
      <w:bookmarkStart w:id="0" w:name="_GoBack"/>
      <w:bookmarkEnd w:id="0"/>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hint="eastAsia" w:ascii="方正小标宋_GBK" w:eastAsia="方正小标宋_GBK"/>
                <w:sz w:val="24"/>
                <w:lang w:eastAsia="zh-CN"/>
              </w:rPr>
            </w:pPr>
            <w:r>
              <w:rPr>
                <w:rFonts w:hint="eastAsia" w:ascii="方正小标宋_GBK" w:eastAsia="方正小标宋_GBK"/>
                <w:sz w:val="24"/>
              </w:rPr>
              <w:t>260</w:t>
            </w:r>
            <w:r>
              <w:rPr>
                <w:rFonts w:hint="eastAsia" w:ascii="方正小标宋_GBK" w:eastAsia="方正小标宋_GBK"/>
                <w:sz w:val="24"/>
                <w:lang w:eastAsia="zh-CN"/>
              </w:rPr>
              <w:t>中国共产党</w:t>
            </w:r>
            <w:r>
              <w:rPr>
                <w:rFonts w:hint="eastAsia" w:ascii="方正小标宋_GBK" w:eastAsia="方正小标宋_GBK"/>
                <w:sz w:val="24"/>
              </w:rPr>
              <w:t>廊坊市广阳区</w:t>
            </w:r>
            <w:r>
              <w:rPr>
                <w:rFonts w:hint="eastAsia" w:ascii="方正小标宋_GBK" w:eastAsia="方正小标宋_GBK"/>
                <w:sz w:val="24"/>
                <w:lang w:eastAsia="zh-CN"/>
              </w:rPr>
              <w:t>委员会</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一、参谋协调运转</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区委公文运转、各种会议和活动组织安排、公务接待等。</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保障区委各种会议、日常工作活动的正常、顺利进行；保障机关公文正常运转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1、公文运转</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承担区委、区委领导同志交办的文件、讲话稿的起草或修改工作；承担为区委制定决策和有关政策的服务工作；负责内刊编辑工作。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效率高，无差错，领导满意。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无差错率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精简高效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2、协调区委各种会议和活动</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区委各种会议的会务工作和区委日常工作活动的组织安排。</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严控会议计划、会议规模和会期，严格会议开支标准，严控大型活动数量，降低会议和活动费用开支。</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会议规模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3、公务接待</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管理区接待办公室；负责各种公务接待服务工作；负责区领导同志交办的其他接待任务。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严格执行接待标准，降低接待费规模。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接待标准控制率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接待规模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接待服务质量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二、信息收集与督查调研</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围绕市委总体工作部署开展综合调研，收集和处理信息、反映动态；承担党市委重要工作部署贯彻落实的督导检查，市委领导同志批示件的传达和催办落实。</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1、信息收集及民意调查</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党委系统信息工作的组织、协调和指导。围绕上级精神和区委的重大决策部署收集、整理和反馈信息；加强党委信息网络维护和应用；做好社情民意收集和办理工作。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信息采集上报率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信息采集数量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2、督查调研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区委重大决策部署贯彻落实的督促检查；区委领导同志有关批示件的催办落实；承担区委领导同志批示件及办理情况的综汇工作；围绕区委重大决策的贯彻落实进行调查研究。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信息真实完整，领导满意，批示率高。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信息真实性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批示率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三、机关密码管理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全区密码通信和密码管理。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1、密码通信及管理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全区密码通信和密码管理，负责秘密信息传输、办理工作。负责全区密码通信网络的建设与管理。密码干部管理与培训。应急通信服务。承担区密码工作小组的日常工作。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四、保密管理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开展全区保密工作及保密科技监管。</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1、保密工作及保密科技监管</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委保密委员会的日常工作。全区保密管理工作，组织实施保密工作的法律、法规、规定；全区保密宣传教育、督促检查、协调工作；对重大失泄密事件的组织查处，保密干部培训，保密技术防范；组织推广保密技术应用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五、区委事务管理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337.00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区委房产、基建、维修、物资分配和其他行政事务工作；机关离、退休干部的生活服务和阅文、参加有关活动的事务服务工作。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高质量完成年度各项政务管理工作任务。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337.00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后勤保障、财务管理、卫生绿化、医疗保健、档案资料管理、老干部服务、办公用房和办公厅车辆、办公用品和其他固定资产管理以及办公区物业管理和区委、区政府机关大院安全保卫工作。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综合事务高效率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六、全面深化改革</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全区全面深化改革重大问题的政策研究，协调督促有关方面落实领导小组决定事项、工作部署和要求，协调各专项小组、有关部门和地方、专家学者就改革重要问题进行研究和咨询，负责编辑上报改革动态简报、信息宣传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形成有价值</w:t>
            </w:r>
            <w:r>
              <w:rPr>
                <w:rFonts w:hint="eastAsia" w:ascii="方正书宋_GBK" w:eastAsia="方正书宋_GBK"/>
                <w:lang w:eastAsia="zh-CN"/>
              </w:rPr>
              <w:t>有分量</w:t>
            </w:r>
            <w:r>
              <w:rPr>
                <w:rFonts w:hint="eastAsia" w:ascii="方正书宋_GBK" w:eastAsia="方正书宋_GBK"/>
              </w:rPr>
              <w:t>的研究成果,对改革事项及时督查，对改革重要问题及时汇报请示，对改革政策措施和典型经验及时宣传推广，确保各项改革顺利推进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1、考察调研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组织有关部门，围绕经济体制、生态文明体制、民主法制、文化体制、社会体制、党建制度、纪检体制、农业农村体制等8个领域和各领域改革的关联性、协同性及改革推进中的问题考察调研。</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相关工作领导满意。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调研成果真实性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汇报工作及时性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2、督查落实</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对领导小组决定事项、工作部署和要求，及时进行分解，落实责任分工，建立分领域、分单位改革台帐，对区领导批示件进行催办落实。</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及时督办改革相关工作。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及时高效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落实责任分工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七、防范和处理邪教</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负责全区防范和处理邪教问题领导小组的日常工作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1、全区防范和处理邪教问题领导小组的日常工作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防范处理“法轮功”及其他邪教和对社会有危害气功组织问题的调查研究、政策建议；负责了解、掌握邪教发展方向；协调报导各部门有关防范处理邪教问题工作；负责全区防范和处理邪教问题领导小组的日常工作，督促与协调会议决策事项的落实，负责对“法轮功”练习者转化工作，组织开展宣传教育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八、社区服务</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抓好社区服务，发展社区文化，开展社区教育，不断提高市民素质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完善社区居家养老服务体系。打造社区文化品牌。开展社区文化大讲堂，不断提高市民素质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1、居家养老</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坚持以“区级中心统筹，日间照料为主、社区服务站辅助，求助呼叫畅通”的养老服务体系，进一步加强全区居医养结合服务中心建设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继续建设完善我区居家养老服务体系</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各街道、有关乡镇社区养老服务站建设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社区老年人对养老服务的满意度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全区医养结合服务中心建设率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2、社区文化</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继续利用广阳区“文化艺术节”品牌效益，打造我区社区文化品牌，努力打造“幸福廊坊，和谐广阳”的群众文化品牌，为广大社区居民提供广阔的文化舞台。</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开展一年一度的“广阳区社区文化艺术节”</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每年召开一次社区文化艺术节活动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结合本辖区居民文化需求，开展特色文化活动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积极组织各类活动为载体，丰富社区居民业余文化生活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3、社区教育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托社区市民大讲堂，利用辖区资源，开展不同形式内容的市民大讲堂，不定时对辖区居民开展不同形式的讲座、培训。除集中学习和分散学习相结合之外，聘请教授，组织丰富多彩的宣讲比赛、知识竞赛、有奖征文等活动来调动广大市民群众的学习积极性</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充分利用辖区资源，开展不同形式的教育活动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开展教育活动的各类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组织各街办处、相关乡镇，社区开展活动场次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组织各街办处、相关乡镇，社区开展活动场次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九、社区治安</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加强城区社会治安综合治理，维护城区社会稳定</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维护社区稳定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1、社会综治</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协同综治、公安部门加强社区综合治理，维护城区社会稳定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对社区进行网格化管理，设立楼道单元长，聘请社区和治安积极分子参与社区治安工作。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维护社区稳定</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社区网格化管理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人防、技防、物防有效实施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十、推进平安广阳建设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959.09</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加强首都护城河工程建设，为重大案件顺利侦破提供相应的资金支持，开展司法救助等活动，确保平安建设顺利开展。</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实现全区经济社会发展安全安定、人民生活和谐有序。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1、大要案协调保障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对区直有关政法部门牵头办理的社会影响力大、跨区域等重特大案件侦办、办案经费进行指导、协调，确保案件及时侦破。</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2、司法救助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通过对当事人缓交、减交或免交诉讼费用的救济措施，减轻或者免除经济上确有困难的当事人的负担，保证其能够正常参加诉讼，依法维护其合法权益</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提供适当经济援助</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司法救助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3、维护稳定工作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169.34</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维护稳定工作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安全保卫工作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4、全区社会治安综合治理工作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789.75</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通过社会管理综合治理使社会稳定，重大恶性案件和多发性案件得到控制并逐步有所下降，社会丑恶现象大大减少，治安混乱的地区和单位的面貌彻底改观，治安秩序良好，群众有安全感</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全区社会治安综合治理工作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综治干部培训工作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农村治安保险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巡防队工作保障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流管办工作保障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铁路护路工作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农村技防设备维护</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打击非法传销及依法治理进京非访</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矛盾纠纷排查调解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5、执法监督工作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依法督导重特大案件的办理，协调督导有争议的重大、疑难案件的办理，负责涉法涉诉信访工作。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依法督导重特大案件的办理，协调督导有争议的重大、疑难案件的办理，负责涉法涉诉信访工作。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接访工作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不足10%。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执法监督工作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“三位一体”调解中心业务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十一、推进全区政法工作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13.84</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领导、组织、指导全区政法队伍建设工作；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加强政法队伍建设；承办政法系统考察、考核、任免、审查备案，办理任免报批手续；负责警衔、检察官、法官等级的评定和出国材料的审核；负责全区政法系统的思想政治教育和政法系统宣传工作、教育培训工作；组织推动全区政法队伍的廉政建设和纪律作风建设；组织机关党建活动工作；评选因公致残特困干警工作顺利开展；政法干警因公负伤和牺牲人员的保障工作；加强政法信息化保障工作；加强我市法学会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1、全区政法队伍建设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政法系统的思想政治教育、业务培训和宣传工作，承办政法系统的考察、考核、任免工作，负责政法系统表彰奖励工作，协调督导违法违纪案件的查处工作。组织好法学研究工作，负责全区政法系统干警的申报和审核工作，对干警本人或相关亲属进行定向资助，加强从优待警工作。负责组织推动广大法学工作者、法律工作者参与法学教学和法制宣传，开展法学研究等工作。加强政法信息化保障工作，实现政法工作信息化，为政法机关信息化建设打下坚实基础。</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政法工作宣传业务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2、全区政法工作会议工作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充分利用内部信息渠道和外部各类新闻媒体开展工作。传达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定期进行政治理论学习和专项业务培训，以切实培养出一支一专多能的复合型政法干警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全区政法工作会议工作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3、政法业务工作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传达</w:t>
            </w:r>
            <w:r>
              <w:rPr>
                <w:rFonts w:hint="eastAsia" w:ascii="方正书宋_GBK" w:eastAsia="方正书宋_GBK"/>
                <w:lang w:eastAsia="zh-CN"/>
              </w:rPr>
              <w:t>中央、省、市</w:t>
            </w:r>
            <w:r>
              <w:rPr>
                <w:rFonts w:hint="eastAsia" w:ascii="方正书宋_GBK" w:eastAsia="方正书宋_GBK"/>
              </w:rPr>
              <w:t>政法会议精神，结合我区实际做好工作，总结过来的成功做法，提出今后的努力方向，部署下工作任务。贯彻落实中央、省、市、区政法工作任务，及时部署、贯彻落实全区政法工作各项任务。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政法业务工作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4、全区政法干警培训工作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定期进行政治理论学习</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人文素质培训及经验交流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全区政法干警培训工作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5、政法信息化保障工作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13.84</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为长安网政法信息化工作提供资金、技术、人员保障为综治维稳信息平台等政法信息化工作提供资金、技术、人员保障政法网政法信息化工作提供资金、技术、人员保障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确保政法信息化工作顺利开展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政法信息化保障工作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6、国家安全工作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十二、法学会建设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开展法治实践；参与法律顾问；开展法律服务；参与法制宣传等</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建立健全机制；培养法律人才；做好法治服务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1、法学会建设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筹备成立广阳区法学会，为党委政府提供法律政策支持</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每年至少组织学习培训3次。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完成全年培训及会议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十三、党员和党组织建设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1102.32</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基层组织建设牵头抓总工作；研究和提出党内生活制度建设的意见；协调、规划和指导全区党员教育工作；主管党员的管理和发展工作；承担党建研究会秘书处职责任务,组织新时期党的建设的理论研究。研究和指导各类新的经济组织中党组织的设置和活动方式；负责全区党组织、党员的统计工作；负责全区党费的收缴、管理和使用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1、党组织建设及党员教育管理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负责全区党组织建设；负责区委基层组织建设牵头抓总工作；研究和提出党内生活制度建设的意见；协调、规划和指导全区党员教育工作；承担党建研究会秘书处职责任务。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1、社区“两委”班子健全，凝聚力、战斗力强。2、社区综合服务场所达到市区眼球标准。3、社区党组织根据居民需求开展优质高效的特色服务。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1、社区“两委”班子健全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2、社区综合服务场所达到市区眼球标准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3、开展优质高效的特色服务。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2、党代表管理及服务</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分期分批举办党代表履职能力培训班；                         分批组织党代表进行调研视察系列活动；                          组织党代表和相关工作人员去党代表发挥作用先进地区进行考察； 举办调研学习班；             为党代会代表购置学习资料。</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3、结合全区党员队伍实际，有针对性的开展实用技能培训班，不断提高党员创业就业本领，实现工作能力进一步提高、先锋模范带头作用进一步发挥。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1、开展1期新党员培训班，2期党性教育培训班，2期实用技能培训班，2次党员活动日主题活动。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1、按照省、市、区委要求，以党支部为基本单位，以“三会一课”为基本形式，严格党内组织生活制度，抓好日常学习教育。</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1、按照省、市、区委要求，以党支部为基本单位，以“三会一课”为基本形式，严格党内组织生活制度，抓好日常学习教育。</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3、老党员、困难党员慰问工作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12.32</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发放建国前入党无收入老党员定期生活补助，发放建国前入党老党员及困难党员春节、“七一”慰问款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w:t>
            </w:r>
            <w:r>
              <w:rPr>
                <w:rFonts w:hint="eastAsia" w:ascii="方正书宋_GBK" w:eastAsia="方正书宋_GBK"/>
                <w:lang w:eastAsia="zh-CN"/>
              </w:rPr>
              <w:t>中华人民共和国成立后</w:t>
            </w:r>
            <w:r>
              <w:rPr>
                <w:rFonts w:hint="eastAsia" w:ascii="方正书宋_GBK" w:eastAsia="方正书宋_GBK"/>
              </w:rPr>
              <w:t>入党的生活困难党员进行走访慰问并发放慰问金、慰问品。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1、根据省、市要求，按时开展走访慰问活动。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2、按照省市标准，定时、足额发放老党员定额生活补助。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3、结合七一、春节节点，开展形式多样的走访慰问活动，体现党组织对建国前老党员、生活困难党员的关怀，保障困难党员的基本生活。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4、落实农村干部待遇</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1090.00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提高农村干部待遇，激发农村干部干事创业的热情。按时按标准发放村官工资和补贴</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根据村街星级评定结果落实农村干部星级津贴。</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按时发放工资及时性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按时缴纳养老保险及时性</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对各村进行星级评定完成率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lang w:eastAsia="zh-CN"/>
              </w:rPr>
            </w:pPr>
            <w:r>
              <w:rPr>
                <w:rFonts w:hint="eastAsia" w:ascii="方正书宋_GBK" w:eastAsia="方正书宋_GBK"/>
                <w:b/>
              </w:rPr>
              <w:t>　　5、</w:t>
            </w:r>
            <w:r>
              <w:rPr>
                <w:rFonts w:hint="eastAsia" w:ascii="方正书宋_GBK" w:eastAsia="方正书宋_GBK"/>
                <w:b/>
                <w:lang w:eastAsia="zh-CN"/>
              </w:rPr>
              <w:t>“两学一做”学习教育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在全区内组织开展“两学一做”学习教育实践活动，加强全区各级党组织建设，提升党员队伍整体素质水平，不断提高工作能力，更好服务群众。</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3、结合全区党员队伍实际，有针对性的开展实用技能培训班，不断提高党员创业就业本领，实现工作能力进一步提高、先锋模范带头作用进一步发挥。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按照省市要求，落实规定数量的党员教育培训班次。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2、党性教育实现党员全覆盖，技能培训实现满足党员需求。</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3、通过培训使党员的理想信念进一步坚定，先锋模范作用进一步发挥，为全区发展提供坚强的思想政治和组织保证。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十四、干部管理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区委管理干部及全区干部队伍管理、干部培养选拔、干部调配、交流和安置；对区委管理领导班子和领导干部的考核工作，以及全区干部考核工作的宏观指导和督导检查；指导领导班子的思想作风建设；负责对全区组织部门干部监督工作的综合、协调和宏观指导。</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落实国家工资政策和涉及领导干部收入分配的相关政策，准确高效办理区委管理干部的工资及退休费审批；培养锻炼干部，提高干部整体素质；为各级领导班子储配人才。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1、区委管理干部管理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干部任职考察；干部任免的报批和备案工作；负责区委管理干部的考察和办理任免、工资、待遇、退（离）休审批手续；参与研究全区干部工资政策和区管干部离退休待遇政策；落实干部工资、审批区管干部工资及退休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提高区管干部管理的规范性。</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1.是否做好干部任职考察；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2.是否做好干部任免的报批和备案工作；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3.是否做好负责区委管理干部的考察和办理任免、工资、待遇、退（离）休审批手续；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1.是否及时做好干部任免的报批和备案工作；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3.是否参与研究全区干部工资政策和区管干部离退休待遇政策；</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1.是否做好干部任职考察；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2.是否干部任免的报批和备案工作；负责区委管理干部的考察和办理任免、工资、待遇、退（离）休审批手续；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3.是否参与研究全区干部工资政策和区管干部离退休待遇政策；</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100%完成规范高效地配合市委组织部做好沟通、推荐、考察、请示等相关工作，及时履行任免程序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2、区领导班子换届</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负责配合市委组织部做好区级领导班子换届的考察工作；负责做好区委换届选举工作；负责做好区领导班子换届推荐、考察、呈报研究等相关工作；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完成好区乡两级级领导班子换届的考察工作；组织好区委换届选举工作。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1.是否提前做好换届准备工作。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2.是否认真组织乡镇领导班子换届考察。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3.是否配合市委组织部考察组做好区级班子换届考察工作。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100%完成圆满完成区乡领导班子换届工作。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3、干部队伍管理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负责组织对全区干部考核工作的宏观指导和督导检查；负责对全区组织部门干部监督工作的综合、协调和宏观指导；负责区科级干部的宏观管理和备案审查工作；承办部分干部的调配、交流及安置事宜。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创建广阳区业绩突出干部实际当信息库，对全区干部工作中业绩表现特别突出的，优先在年度考核中评定为优秀，优先推荐到重要岗位，优先确定为后备干部，优先提拔使用。对相关设备定期进行完善升级和必要维护，根据维护次数达到优、良、中目标。2、对收集信息定期进行整理归档。3、做到信息保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1、定期维护信息平台及相关设备次数3次以上（含3次）评定为优，2次（含2次）以上评定为良，1次（含1次）以上评定为中。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1、反映年内对评定为优秀等次的领导班子及领导干部给予奖励。30个工作日内完成评为优，30-60工作日完成评为良，90以上工作日评完成为中。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1、全年定期组织全区考核系统干部培训班，培训考核工作人才。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2、能力素质得到提升,适应新形势、新任务的需要。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3、在全区打造一支素质过硬、作风优良、善谋实干的干部考核队伍。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1、反映区直党群股级以下工作人员奖励经费发放完成情况，30个工作日内完成评为优，30-60工作日完成评为良，90以上工作日评完成为中。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1、定期维护信息平台及相关设备次数3次以上（含3次）评定为优，2次（含2次）以上评定为良，1次（含1次）以上评定为中。对信息定期进行整理归档。做到信息保密。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2、对收集信息定期进行整理归档。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3、做到信息保密。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4、干部监督及干部选拔任用监督</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对全区区级及以下领导班子和领导干部的监督；负责对全区科级及以下领导干部选拔任用工作的监督，组织开展《干部任用条例》及有关法规贯彻执行情况检查；负责受理查核全区科级及以下领导班子、领导干部和干部选拔任用工作方面的信访举报。负责组织全区处级领导干部填报个人有关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严格领导干部个人有关事项抽查核实，加强查核结果运用，切实防止领导干部“带病提拔”。</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1.是否负责对全区区级及以下领导班子和领导干部的监督；</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2.是否负责对全区科级及以下领导干部选拔任用工作的监督，组织开展《干部任用条例》及有关法规贯彻执行情况检查；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3.是否负责受理查核全区科级及以下领导班子、领导干部和干部选拔任用工作方面的信访举报；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上报率70%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5、干部统计工作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对全区党政机关公务员及事业、专业技术人员有关情况进行统计</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1.及时准确了解全区党政机关公务员及事业专业技术人员有关情况</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1.是否及时准确了解全区党政机关公务员及事业专业技术人员有关情况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2.是否能够真实准确反映全区党政机关公务员及事业、专业技术人员有关情况，数据表内逻辑关系、表间逻辑关系清晰准确，准确率达到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3.是否对全区党政机关公务员及事业、专业技术人员有关情况进行统计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能够真实准确反映全区党政机关公务员及事业、专业技术人员有关情况，数据表内逻辑关系、表间逻辑关系清晰准确，准确率达到98%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能够真实准确反映全区党政机关公务员及事业、专业技术人员有关情况，数据表内逻辑关系、表间逻辑关系清晰，数据较为准确，准确率达到95%</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能够真实准确反映全区党政机关公务员及事业、专业技术人员有关情况，数据表内逻辑关系、表间逻辑关系基本清晰，数据基本准确，准确率达到90%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基本能够真实准确反映全区党政机关公务员及事业、专业技术人员有关情况，数据表内逻辑关系、表间逻辑关系混乱，数据准确率较低，准确率低于88%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6、干部档案管理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落实档案管理制度，做好干部档案相关工作；做好干部档案数字化工作，按时更新维护数字档案数据库；及时定期更换档案室六防设备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完善更新干部人事档案，提高科学管理水平，有效的保管和利用档案，更好为干部工作服务。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1.是否落实档案管理制度，做好干部档案相关工作；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2.是否做好干部档案数字化工作，按时更新维护数字档案数据库；</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3.是否及时定期更换档案室六防设备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严格落实档案管理制度；及时接转、整理档案；做好干部档案数字化工作按时更新维护数字档案数据库；完成对管档人员的培训管理工作；做好档案室“六防”工作，定期更换六防设备。100%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严格落实档案管理制度；及时接转、整理档案；做好干部档案数字化工作按时更新维护数字档案数据库；未及时定期更换六防设备。90%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严格落实档案管理制度；及时接转、整理档案；做好干部档案数字化工作按时更新维护数字档案数据库；80%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未按照档案管理规定及时对干部档案进行归档整理、数字化工作；60%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7、干部培养选拔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组织落实培养选拔后备干部、妇女干部、少数民族干部工作。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1.按照各单位各部门的职位需求，坚持德才兼备的用人标准和公平公正的选人原则，把有利于我区经济社会发展的人才选聘到事业需要的岗位上来。</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1.是否按照各单位各部门的职位需求，坚持德才兼备的用人标准和公平公正的选人原则，把有利于我区经济社会发展的人才选聘到事业需要的岗位上来。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2.是否组织落实培养选拔后备干部、妇女干部、少数民族干部工作。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3.是否着眼于提高素质和改善结构，大力加强乡科级优秀年轻干部队伍建设。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8、干部教育培训</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主管全区的干部教育工作。承担区委干部教育工作领导小组办公室的职责任务；制订干部教育工作的方针、政策、规划；研究和探索适合我区情况的干部培训制度；对区直干部培训工作进行协调、指导、检查；组织区委管理的干部和一定层次的其他干部的培训。</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1、将组织人事干部培训纳入干部培训整体规划                           2、组织人事干部培训达到全覆盖      3、分期分批对全区直部门组织人事干部进行培训，进一步强化责任意识，规范工作程序，提高工作质量，促进区直部门组织人事干部业务水平的进一步提高。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1、是否制定全年工作要点和培训规划</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2、全年直接举办6期培训班，培训干部1000人次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3、从严加强干部教育培训管理，严肃培训纪律，强化学风建设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9、区直组织人事干部培训</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组织区直组织人事干部进行培训。</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1、将组织人事干部培训纳入干部培训整体规划                           2、组织人事干部培训达到全覆盖      3、分期分批对全区直部门组织人事干部进行培训，进一步强化责任意识，规范工作程序，提高工作质量，促进区直部门组织人事干部业务水平的进一步提高。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1、组织人事干部培训是否纳入干部培训整体规划</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2、组织人事干部培训覆盖率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3、年底前，将区直组织人事干部全部进行一遍培训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十五、人才工作及人才队伍建设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231.00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负责全区人才工作的综合协调、检查指导，承担区委人才工作领导小组办公室职责任务；负责区管优秀专家等各类专家人才的选拔管理。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加强人才队伍建设，为广阳区经济社会发展提供有力的人才支撑</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1、人才队伍管理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231.00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按照规定周期和程序要求，组织做好区管优秀专家评选和滚动管理工作。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1、做好区管优秀专家评选和决咨委换届                            2、加强对选调生队伍的教育和培养 严格程序，选拔高素质选调生     3、做好上级各类人才评选工作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1、年底前，完成区管优秀专家评选和决咨委换届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2、妥善安排新分配选调生，落实相关待遇，引导选调生发挥作用情况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3、按照上级要求，各类人才评选推荐申报工作完成情况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2、落实区管优秀专家待遇</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依据《廊坊市优秀专家选拔管理办法》（廊发〔2013〕22号）为区管优秀专家落实相关待遇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1、健全完善机制                2、落实有关待遇                3、促进优秀专家发挥作用                        </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1、进一步健全完善优秀专家管理办法和相关制度完成情况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 xml:space="preserve">2、优秀专家落实待遇完成率  </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3、按照上级要求，各类人才评选推荐申报工作完成情况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60%-70%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十六、组织事务管理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1597.35</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负责做好部机关机要、文秘、信访、会议、固定资产等工作的计划安排和管理；负责机关自身建设；负责老干部综合服务和保障工作；负责新闻工作网宣与舆情监控、处置；组织系统信息化建设。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做好部机关机要、文秘、信访、会议、固定资产等工作的计划安排和管理；干部、人事政策科学合理；网宣与舆情监控到位、处置及时；信息系统运行无障碍。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1597.35</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组织、干部工作综合研究，相关政策法规起草、制定、审核；组织、指导、协调全区组织系统互联网宣传工作；信息、信访工作。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大组工网运行正常</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1、组建不少于50人的新闻和网宣工作者队伍。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2、对广阳区涉组涉干网络舆情进行 监控、处置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3、对广阳党建工作经验进行宣传报道。</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1.网络全年每天24小时实现安全、稳定、高效运转；</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2.所有网络、安全、保障类硬件设备正常稳定运转，各类业务应用系统和数据库安全高效运行。</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3.出现网络运行故障及时有效处理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十七、宣传思想工作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指导全区宣传工作；规划组织思想政治工作；指导协调宣传思想文化事业和外宣事业发展；加强舆论舆情引导管理；协调互联网宣传和信息内容管理；加强精神文明建设。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牢牢掌握意识形态工作领导权、管理权、话语权，弘扬主旋律，汇聚正能量，为经济社会发展提供有力的思想保证、精神动力、舆论支持。</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1、思想理论建设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深入实施马克思主义理论研究和建设工程，深化中国特色社会主义和中国梦研究；深入学习宣传习近平总书记系列重要讲话；广泛开展理论宣传活动。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理论研究水平，为全区经济社会发展提供理论支持；提高干部群众运用科学理论解决实际问题能力；增强广大干部群众理论自信、道路自信、制度自信、文化自信，不断巩固全区人民团结奋斗的共同思想基础。</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党员干部学习习近平总书记系列重要讲话精神成果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理论研究课题成果数量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在报纸、电台、电视台、网络等新闻媒体开办理论宣传专栏数量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2、思想政治工作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部署思想政治工作任务，践行社会主义核心价值观，宣传推广先进典型，加强爱国主义教育基地建设和全民国防教育，加强基层党员教育，组织开展系列宣传教育活动。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完成思想政治工作重大任务，推进社会主义核心价值观落地生根。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社会主义核心价值观内容在全社会普及率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爱国主义教育基地参观学习人数（人）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200及以下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组织开展主题宣传教育活动（次）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3、对外宣传事业</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加强和改进新闻发布工作，扩大对外宣传，开展多种形式的文化交流活动。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充分展示我区良好形象，不断提高我区知名度、美誉度。</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组织媒体来采访、宣传（次）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组织举办区内外文化交流活动（次）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组织召开系列主题新闻发布会（场）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4、舆论舆情引导管理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牢牢把握正确导向，为全区经济社会发展提供有力的舆论支持；提升新闻工作者的政治意识、责任意识和职业素养；提高舆情研判能力和信息服务水平，及时化解、妥善处理有关负面舆情。</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舆情信息收集、分析、上报数量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在市及以上媒体播发宣传我区稿件（篇）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突发事件新闻处置完成率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5、互联网宣传和信息内容管理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完善互联网管理领导体制，加强网上舆论引导，营造良好网络舆论氛围，发展健康向上网络文化。</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互联网重大突发事件应急处置率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重大涉冀舆情监测覆盖率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组织开展网络宣传活动（次）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6、新闻内宣《时代广阳》</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加强和改进新闻发布工作，扩大对内宣传，开展多种形式的文化交流活动。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7、精神文明建设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部署精神文明创建工作，组织指导全区群众性精神文明创建活动。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全县城乡文明程度显著提升，和谐向善的社会风气逐步形成。</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社会风气、公民素质及文化生活质量水平</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组织开展精神文明创建活动（次）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开展主题志愿服务活动（次）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十八、推动文化发展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深化文化体制改革，构建现代公共文化服务体系；加强精神文化产品创作生产。</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进一步解放和发展文化生产力，推动全区文化事业和文化产业健康发展。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1、文化事业产业发展</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管理区级各类文化发展专项资金和基金，支持重点文化项目建设，加强文化招商，推动文化事业产业健康发展。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推动文化事业繁荣和文化产业快速发展。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文化事业产业类资金撬动社会资金比例</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全省文化产业增加值年增速</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全省文化产业增加值情况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2、文化艺术发展</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构建现代公共文化服务体系，加强精神文化产品创作生产，传承和保护优秀传统文化，推动文化艺术健康发展。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推动全县文化艺术健康发展。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我省主导创作生产的、在全市产生影响力的文艺精品数量（部）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组织系列文化活动数量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3、文化体制改革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组织实施深化文化体制改革实施方案。</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全面推进文化体制机制创新，激发全县文化创造活力，确保国有文化资产保值增值。</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文化体制改革重点任务和文化改革政策落实协调推进率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国有文化资产保值增值情况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国有文化资产保值增值统计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十九、宣传事务管理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负责系统综合业务管理和机关综合事务管理。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确保各项业务工作谋划到位、顺利开展。保障机关工作正常高效运转。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7.00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开展宣传文化业务管理，加强政策业务宣传等。</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确保各项业务工作谋划到位、顺利开展。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重点工作督察督办数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重点工作督察完成率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二十、党史研究</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承担党史研究与宣传教育、资料征编工作。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撰写廊坊市广阳区历史专著，编辑出版党史书籍。完成专题资料、口述资料、照片资料等搜集工作。围绕党委、政府中心工作，充分发挥党史资政育人作用。让全区人民，特别是广大党员干部全面、系统地了解我区地方党组织的历史发展脉络以及党在领导革命、建设、改革。通过对历史经验的总结，按历史发展的不同时期，通过搜集大量资料，积极推出一批有价值的研究成果。加强党史人才建设，把党史干部培训纳入全区干部培训规划，举办全区党史干部业务培训班。努力建设一支具有丰富的党史知识，具有较高的理论素养和研究能力的党史工作者队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1、党史研究与宣传教育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研究历史，总结历史经验，为党的建设和区委决策提供历史借鉴，充分发挥党史资政育人的作用，为我区改革开放和现代化建设的大局服务。强化党史宣传，大力普及党史知识。</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w:t>
            </w:r>
            <w:r>
              <w:rPr>
                <w:rFonts w:hint="eastAsia" w:ascii="方正书宋_GBK" w:eastAsia="方正书宋_GBK"/>
                <w:lang w:eastAsia="zh-CN"/>
              </w:rPr>
              <w:t>庆祝建党</w:t>
            </w:r>
            <w:r>
              <w:rPr>
                <w:rFonts w:hint="eastAsia" w:ascii="方正书宋_GBK" w:eastAsia="方正书宋_GBK"/>
              </w:rPr>
              <w:t>97周年、抗战胜利73周年系列活动。党史博采宣传利用工作交流会。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开展</w:t>
            </w:r>
            <w:r>
              <w:rPr>
                <w:rFonts w:hint="eastAsia" w:ascii="方正书宋_GBK" w:eastAsia="方正书宋_GBK"/>
                <w:lang w:eastAsia="zh-CN"/>
              </w:rPr>
              <w:t>庆祝建党</w:t>
            </w:r>
            <w:r>
              <w:rPr>
                <w:rFonts w:hint="eastAsia" w:ascii="方正书宋_GBK" w:eastAsia="方正书宋_GBK"/>
              </w:rPr>
              <w:t>97周年</w:t>
            </w:r>
            <w:r>
              <w:rPr>
                <w:rFonts w:hint="eastAsia" w:ascii="方正书宋_GBK" w:eastAsia="方正书宋_GBK"/>
                <w:lang w:eastAsia="zh-CN"/>
              </w:rPr>
              <w:t>庆祝活动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lang w:eastAsia="zh-CN"/>
              </w:rPr>
            </w:pPr>
            <w:r>
              <w:rPr>
                <w:rFonts w:hint="eastAsia" w:ascii="方正书宋_GBK" w:eastAsia="方正书宋_GBK"/>
              </w:rPr>
              <w:t>开展抗战胜利73周年</w:t>
            </w:r>
            <w:r>
              <w:rPr>
                <w:rFonts w:hint="eastAsia" w:ascii="方正书宋_GBK" w:eastAsia="方正书宋_GBK"/>
                <w:lang w:eastAsia="zh-CN"/>
              </w:rPr>
              <w:t>庆祝活动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完成《党史博采》杂志征订</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2、资料征编</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征集、整理、编纂历史资料，收集整理重要口述历史资料、重要党史人物回忆录，搜集、整理和研究有关历史的信息资料；党史二卷本的编写，对有关历史上的重要人物进行综合研究。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完成党史二卷本的编写，专题资料、口述资料、照片资料等搜集工作。征集我区历史上的重要人物资料并进行综合研究，完成部分传稿。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完成党史二卷本第二次修改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继续征集文字和照片资料</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完成上级专题撰写</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二十一、党史事务管理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负责综合事务管理工作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委党史研究室和市委党史研究室部署的工作任务；完成区委交办的党史方面及其他方面的工作任务，为区委解决有关党史方面的问题提供资料的意见，负责和保障单位网络等设施稳定、安全运行及网络维护。机关运转各项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筹建广阳党史教育基地。承担机关运转各项工作。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完成内部刊物编辑和印发；做好计算机网络、办公自动化、资料、文印工作。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完成建立党史教育基地前期资料整理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完成机关日常工作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完成内部资料的编印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完成省、市党史研究室部署的工作任务；完成区委交办的党史方面及其他方面的工作任务，为区委解决有关党史方面的问题提供资料的意见。</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保障正常运转情况</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完成省市委党史研究部署临时工作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完成区委交办的党史方面的工作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为区委解决有关党史方面问题提供意见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80%以上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二十二、组织建设和宣传教育</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领导全区共青团工作；协助区政府教育部门做好学生教育管理工作。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基层团组织和青年组织建设加强，活力明显提升。</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1、组织建设及宣传教育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部门做好大、中、小学学生的教育管理工作，维护学校稳定和社会安定团结。</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区乡村三级团组织规范化建设完成率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团干部培训覆盖率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希望工程资助完成率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二十三、服务、引导青少年工作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围绕青年思想动态和青年工作现状，不断加强青少年社会主义核心价值观教育，加强青年教育引导工作，围绕党政中心工作开展各项活动。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1、青少年服务引导工作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围绕青年思想动态和青年工作状况，研究青少年运动、青少年工作理论和思想教育问题开展调研活动；围绕经济建设开展团的各项活动。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做好青年团结教育工作，为全区积极社会发展贡献力量。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青年中心建设完成率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培训、联谊、竞赛活动完成率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五四表彰评选</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二十四、维护青少年权益工作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研究有关青少年发展问题；参与监督青少年法规的执行、处理侵害青少年合法权益的问题。</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加强法治宣传教育，促进青少年健康成长。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1、预防青少年违法犯罪</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做好中小学学生的教育管理工作，维护学校稳定和社会安定团结；推动青少年事务社会工作开展，提高源头治理力度，做好预防青少年违法犯罪工作。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加强青少年法制宣传教育,增强青少年学法遵法守法用法意识。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全区专家、志愿服务队伍组建数量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法制宣传教育培训讲座完成率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青少年事务社工组织数量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二十五、团委事务管理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负责团区委综合业务管理。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年度工作任务圆满完成，促进共青团事业发展。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参与制定全区的青少年事业发展规划和青少年工作方针、政策;承担区委、区政府和团中央交办的有关事项。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高质量完成全区青少年发展规划和方针政策的制定，圆满完成区委、区政府和团市委交办的各项任务。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机关日常工作完成率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围绕区委、区政府开展活动数量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围绕团市委开展活动数量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二十六、推进新农村建设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通过实施建设美丽乡村，加快建设社会主义新农村。</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通过建设美丽乡村和开展新民居中心村示范点建设，加快建设社会主义新农村。改善农村环境面貌，提升农民生产生活条件。</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1、美丽乡村建设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按照统筹城乡发展要求，组织实施美丽乡村建设。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围绕农村改造十二项专项行动，突出重点，因地制宜，开展美丽乡村建设。按照分期分批推进的要求，每年选定一批重点村实施改造提升。</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重点村改造提升完成率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2、新民居建设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按照民居节能改造的要求，大力推广新民居中心村建设</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按照新民居建设的内容和农村面貌改造提升的十五项任务要求，针对我区村庄和民居特色，分别提出规划和建设要求，因地制宜。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搞好村庄建设规划，严格规划管理，严格执行中心村“规划一张图、审批一支笔、建设一盘棋、管理一个法”的制度。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二十七、指导推进农村改革</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全面深化农村重点领域、关键环节改革，加快推进农业农村体制机制创新，增强全区农村经济社会发展活力。</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全面深化农村重点领域、关键环节改革，加快推进农业农村体制机制创新，增强全区农村经济社会发展活力。使农业增效、农民增收、农村增活力。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1、指导农村综合改革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以建设区级农村产权交易中心为抓手，协调推进全区农村土地制度、产权制度、金融制度改革。</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组织各乡镇各有关部门就农村重点领域改革开展试点，探索经验路径，示范带动全区；指导农村社会化服务体系、农产品保护市场体系和对农业的支出保护提升建设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全区行政村农民合作社覆盖率（%）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指导农村综合改革</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指导农村社会化服务体系、农产品保护市场体系和对农业的支出保护提升建设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提出完善农村土地承包、集体财务及农民负担管理的意见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二十八、指导农村经济发展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协调指导农村经济健康发展，着力促进农民收入持续较快增长。</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积极推动中央、省、市、区委、区政府各项强农惠农富农政策落实，协调指导农村经济健康发展，着力促进农民收入持续快速增长。使农民收入实现持续稳定增长，农村经济持续较快发展。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1、指导区域经济发展，参与全区农村经济结构调整</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完善支持区域经济发展政策体系，指导区域经济结构优化和发展方式转型，加快农村新型家庭手工业发展，促进农民收入持续较快增长。</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做好农村经济指标监测与评价，提出农村经济持续较快发展的意见和建议，为区领导决策提供支撑；推动区域经济实力发展壮大，促进农民收入持续稳定增长。</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提出农村经济运行分析报告和专项分析报告数量（个）</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撰写专题调研</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2、参与全区农村规划的拟定和组织实施农业农村现代化试点及经验推广。组织协调区直各部门参与农业农村现代化建设并掌握全面情况。</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参与全区农业农村现代化建设规划的拟定和组织实施全区农业农村现代化建设、负责指导农业农村现代化试点及经验总结推广工作，组织协调区直各部门参与农业农村现代化建设并掌握全面情况。</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做好农村规划，在规划的蓝图下加强全区农村各项道路、交通、公共安全、公共服务等方面的建设参与农村扶贫、救灾、帮困的调查研究和组织推动</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村庄规划覆盖情况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参与农村扶贫、救灾、帮困的调查研究和组织推动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紧扣村庄规划，结合我区农业、农村及地域特色，找准科教兴农着力点。打破城乡二元结构，加快农村小城镇建设。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二十九、推动全区农村工作开展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负责对全区农村工作情况的综合分析和信息反馈</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负责区直有关部门关于农村经济、农村改革和社会发展重要政策文件的审核把关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1、综合协调全区农口各部门工作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综合协调全区农口部门工作，及时了解农村工作中新情况、新问题。全区农村综合性会议的组织，区下发的农村政策性文件的审核等。</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全区农村工作情况的综合分析和信息反馈，综合协调农口各部门工作，负责区直有关部门关于农村经济、农村改革和社会发展重要政策文件的审核把关。及时了解农村工作中新情况、新动态，有针对性地提出解决的意见和对策，推动全区农村工作的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强化改革主体责任，作为专项小组在区委全面深化改革领导小组领导下，开展工作，负责本领域改革的研究谋划、协调推动、督察落实。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强化改革主体责任，作为牵头部门负责改革任务的方案制定、评估、督察、落实工作，做到全程跟进、全程负责、一抓到底。</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三十、指导全区农村基层民主政治建设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承担区农村基层民主政治建设领导小组办公室工作，促进全区农村基层民主政治建设健康发展。</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完善农村基层民主政治制度，有利于充分调动农民参与政治的积极性，提高农民的政治素质,有力地促进农村社会经济的发展,巩固我党在农村的执政地位。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1、开展农村基层民主政治建设各项活动，并就存在的问题进行调查研究，对活动开展情况进行督导检查。</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落实农民的四项民主权利，村务公开、民主议事、村级民主管理新体制运行、四个专项治理。</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在全区各村街组织开展村务公开、民主议事等活动，提供村务公开载体，保存公开记录，并对活动开展情况进行督导检查，对开展活动中出现的问题进行调查研究，确保全区基层民主政治建设健康发展。对全区基层民主政治建设总体情况进行研究，提出推进村务公开和基层民主政治建设的总体思路</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加强对全区村务公开工作进行宣传、督导、检查力度，及时收取公开档案。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开展基层民主政治建设重点工作督导（次）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政策措施建议采用率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三十一、政务管理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贯彻落实中央和区委、区政府关于“三农”工作的决策部署。</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贯彻落实中央、省和市、区委、区政府关于“三农”工作的决策部署。</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落实区委、区政府农业农村重点工作和重大政策。</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发挥区委区政府农村工作领导小组办公室职能职责。紧密结合我区实际，提出有针对性和可操作性的政策措施建议；督导相关部门落实工作任务。在大量调研的基础上，及时采取切实有效措施，逐步探索建立以乡带村、以村促乡，乡和村宣传文化互促共进的良性互动机制。</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开展“三农”重点工作督导（次）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协调推动区委区政府农村工作领导小组议定事项落实率（%）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结合我区实际和工作开展需要，组织实施多种形式、不同内容的农村宣传工作（次）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完成省、市、区重大调研课题（项）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围绕全区大气污染防治工作，宣传、督导全区秸秆禁烧工作。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2、农村工作宣传</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参与干部下基层、农村稳定、农村基层组织建设、干部培训、思想政治工作、群众工作、精神文明建设和区委关于农村工作重大部署的宣传工作。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三十二、完成区委、区政府和区委农村工作领导小组及省市级主管部门交办的其他事项</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1、完成区委、区政府和区委农村工作领导小组及省市级主管部门交办的其他事项</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学习贯彻落实党的十九大精神等相关内容，落实意识形态主体责任制相关要求。</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加强党风廉政建设责任制和反腐败工作。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完成区委、区政府和区委农村工作领导小组及省市级主管部门交办的其他事项</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三十三、区直机关党建工作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结合区直机关党建工作实际，贯彻执行党的路线、方针、政策和区委的指示、决定，加强党的思想政治建设、组织建设、区直机关党风廉政建设，做好区直机关纪工委工作，。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政治觉悟和思想道德素质明显提高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1、思想政治建设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区直机关各级党组织抓好党的思想、组织、作风建设和党员教育管理，实施对党员特别是党员领导干部的监督，监督党员领导干部过好双重组织生活，负责综合指导区直机关党建工作，承担区直机关思想道德文化建设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利用“三会一课”制度，督促党员领导干部过好组织生活</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完善部门工作职能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利用各种有效载体开展宣传教育活动，效果明显；学习制度得到普遍落实，各项方针、政策得到具体落实</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2、组织建设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指导区直基层党组织抓好党的思想、组织、作风建设和制度建设，做好党员管理教育工作，负责审批区直机关直属党组织设置及委员会组成，做好新党员发展工作，入党积极分子的培养教育，审议、审批区直机关党员的违纪案件。</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党组织、党员作用发挥突出。</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入党积极分子培训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党员的教育管理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区直纪检党风廉政建设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组织区直机关全体党员大培训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组织党务干部、党支部成员、专兼职党务干部培训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发展对象培训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三十四、开展统战工作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调查研究统一战线的理论和方针政策，组织贯彻执行中央、省委、市委、区委关于统一战线的方针、政策。负责联系各</w:t>
            </w:r>
            <w:r>
              <w:rPr>
                <w:rFonts w:hint="eastAsia" w:ascii="方正书宋_GBK" w:eastAsia="方正书宋_GBK"/>
                <w:lang w:eastAsia="zh-CN"/>
              </w:rPr>
              <w:t>民主党派</w:t>
            </w:r>
            <w:r>
              <w:rPr>
                <w:rFonts w:hint="eastAsia" w:ascii="方正书宋_GBK" w:eastAsia="方正书宋_GBK"/>
              </w:rPr>
              <w:t>和无党派代表人士，负责调查研究、协调检查有关民族和宗教工作的重大方针、政策问题，负责开展以祖国统一为重点的海外统战工作，负责党外人士的政治安排，团结、帮助、教育非公有制经济代表人士，联系培养党外知识分子和出国、归国留学人员代表人物。负责全区侨务工作开展海内外统一战线的宣传联络，负责指导乡镇、街办处党委统战工作和统战部门负责人的培训工作。受区委委托，领导区工商联党组，指导工商联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组织贯彻执行统一战线的方针、政策；向区委反映统一战线全面情况，提出开展统战工作的意见和建议；检查统战政策执行情况，协调统一战线各方面的关系。</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1、民主党派和无党派代表人士工作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不断推进多党合作和政治协商的制度化、规范化，协助民主党派建设高素质干部队伍，不断提高参政议政、民主监督水平。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组织培训次数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参政议政活动次数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完成调研篇数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2、民族宗教统战</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协调有关民族和宗教工作的政策问题；联系少数民族和宗教界代表人物；协助有关部门做好少数民族干部的培养举荐工作。牵头有关部门做好宗教维稳、抵御境外渗透工作。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3、非公经济工作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联系、培养非公经济代表人士，开展思想政治工作；负责非公经济领域统战工作的有关方针政策的调研并提出政策性建议，促进民营经济健康发展。</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促进非公经济人士健康成长和非公经济健康发展。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挂职民企活动人数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“送服务”活动次数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三下乡活动次数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4、党外知识分子工作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做好党外知识分子交流管理工作。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凝聚共识，弘扬正能量；发挥人才智力优势，服务经济社会发展。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调研报告篇数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培训考察班期数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创新举措数量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三十五、党外干部队伍建设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协助区工商联和区有关统战团体做好干部管理工作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好干部管理工作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1、党外干部队伍建设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协助区工商联和区有关统战团体做好干部管理工作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提升党外干部队伍整体素质，增强党外干部政治把握能力、参政议政能力、组织领导能力和合作共事能力。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年度培训率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跟踪培养人数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遴选推荐人数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三十六、经济文化交流</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会同有关部门统筹协调和指导对台经济工作，组织重要台商的投资活动；参与市政府、区政府大型招商活动;协调指导全区各领域赴台交流的立项、审批、管理和我区赴台交流往来人员的行前教育工作。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通过双向交流互动，加大招商力度，不断扩大我区在台湾的知名度和影响力。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1、招商活动</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统筹协调全区对台经贸,组织参与台商投资及区政府招商活动。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不断优化我区投资环境，促进落户台企健康发展和产业结构调整。开展对台招商活动，加大招商引资力度，提高招商引资成效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参会人次</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签约项目数量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行业协会数量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2、文化交流</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组织入台交流、三祖文化、宗亲文化等大型交流活动，协调、指导全区涉台文化、学术、科技等领域的文化交流合作。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有效推动与台间文化双向互动，增强两岸同胞同为炎黄子孙的民族认同感和民族凝聚力</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交流次数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交流人数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三十七、对台事务管理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调研台湾形势和冀台经济文化交流发展动向，提出对策建议；管理涉台法律事务；负责全区对台宣传和涉台教育工作，受理台胞来冀定居审批，协调处理涉台重大突发事件和活动。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提出符合我区实际的对台政策建议，做好宣传工作，消除负面影响，保障各项对台事务在序开展。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1、对台政策调研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检查了解全区有关对台工作贯彻落实情况，收集、分析冀台经济、文化等领域交流往来资料及发展形势，提出政策性建议。</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根据调研结果及时提出建设性建议和对策，以改进对台工作，形成对台工作调研报告，为区委区政府决策提供建议和咨询</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完成调研任务情况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政策落实情况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政策性建议采纳情况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2、对台宣传教育工作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组织实施全区对台宣传、涉台教育和有关涉台事务的新闻发布活动</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我区民众了解涉台知识，台湾民众认识了解我区。宣传推介我区，加大正面引导，消除负面影响。</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对台宣传次数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与台湾媒体互动次数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涉台知识宣传</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3、对台工作保障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做好台胞定居服务、平台建设、矛盾排查、对台工作培训、突发事件处置等各项工作。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妥善处置各类涉台事务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对台工作培训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矛盾排查</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三十八、敏感期保卫工作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1、敏感期保卫工作</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三十九、团结动员妇女参加经济社会建设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团结、教育全县妇女及各类妇女组织同党中央在思想上、政治上、行动上保持高度一致，全面提高妇女素质。</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把广大妇女紧密团结在党中央周围，围绕中央、县委县政府中心工作。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1、团结动员妇女参加经济社会建设</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6.00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完成县委县政府交办的工作任务，全县妇女精神面貌有较大改观，创业就业能力逐步增强，素质得到全面提升。</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注册巾帼志愿者人数（万人）</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美丽庭院建设情况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巾帼创业服务情况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妇女之家建设情况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四十、维护妇女儿童合法权益促进妇女儿童发展</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关注并加强研究涉及妇女切身利益的热点、难点问题，及时向县委和县政府反映社情民意，提出对策建议。</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1、关注并加强研究涉及妇女切身利益的热点、难点问题，及时向县委和县政府反映社情民意，提出对策建议。</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帮助权益受到侵害的妇女儿童解决困难和问题，提高广大妇女儿童的维权意识和维权能力，维护妇女儿童合法权益；规范妇女信访秩序，促进社会和谐稳定。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法律援助妇女侵权案件数</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12.4法律宣传情况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巾帼关爱行动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12338维权作用</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四十一、参政议政</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参政议政、社会服务等事项</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1、参政议政</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组织开展调研，向区政协提交大会发言和集体提案，反映社情民意，与区政府对口单位紧密联系。</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提升参政议政水平，为国家治理和社会发展建言献策。</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提交议案数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反映社情民意数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提交调研报告数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2、社会服务</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积极搭建服务平台，举办银企对接会、招商引资、民企入市活动及科技进民企活动。加强与国内外知名企业、海外工商社团的合作交流。组织会员企业参与农村面貌改造提升行动、社会扶贫和公益事业。</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合作与交流次数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法律维权次数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银企对接次数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≥4</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帮扶任务完成率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四十二、组织建设</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发展工商联会员，指导基层商（协）会组织建设等各项工作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1、组织建设及宣传教育</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贯彻全国和省市工商联组织建设工作方针，指导全区基层商会的建设，维护会员合法权益；组织换届、培训、思想政治和基层建设工作；对非公有制经济优秀人士进行宣传</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活动参与满意度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召开执常委会议</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召开</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未召开</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党员活动日次数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w:t>
            </w:r>
          </w:p>
        </w:tc>
      </w:tr>
    </w:tbl>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hint="eastAsia" w:ascii="仿宋_GB2312" w:eastAsia="仿宋_GB2312" w:cs="宋体"/>
          <w:color w:val="000000"/>
          <w:kern w:val="0"/>
          <w:sz w:val="32"/>
          <w:szCs w:val="32"/>
        </w:rPr>
      </w:pPr>
    </w:p>
    <w:p>
      <w:pPr>
        <w:widowControl/>
        <w:spacing w:line="360" w:lineRule="atLeast"/>
        <w:ind w:firstLine="482" w:firstLineChars="150"/>
        <w:jc w:val="left"/>
        <w:rPr>
          <w:rFonts w:ascii="仿宋_GB2312" w:eastAsia="仿宋_GB2312" w:cs="宋体"/>
          <w:b/>
          <w:bCs/>
          <w:color w:val="000000"/>
          <w:kern w:val="0"/>
          <w:sz w:val="32"/>
          <w:szCs w:val="32"/>
        </w:rPr>
      </w:pPr>
    </w:p>
    <w:p>
      <w:pPr>
        <w:widowControl/>
        <w:spacing w:line="360" w:lineRule="atLeast"/>
        <w:ind w:firstLine="480" w:firstLineChars="150"/>
        <w:jc w:val="left"/>
        <w:rPr>
          <w:rFonts w:hint="eastAsia" w:ascii="黑体" w:eastAsia="黑体" w:cs="宋体"/>
          <w:color w:val="000000"/>
          <w:kern w:val="0"/>
          <w:sz w:val="32"/>
          <w:szCs w:val="32"/>
        </w:rPr>
      </w:pPr>
      <w:r>
        <w:rPr>
          <w:rFonts w:hint="eastAsia" w:ascii="黑体" w:eastAsia="黑体" w:cs="宋体"/>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年，我部门安排政府采购预算</w:t>
      </w:r>
      <w:r>
        <w:rPr>
          <w:rFonts w:ascii="仿宋_GB2312" w:eastAsia="仿宋_GB2312" w:cs="宋体"/>
          <w:color w:val="000000"/>
          <w:kern w:val="0"/>
          <w:sz w:val="32"/>
          <w:szCs w:val="32"/>
        </w:rPr>
        <w:t>0.85万元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详见下表</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7"/>
        <w:gridCol w:w="1010"/>
        <w:gridCol w:w="1280"/>
        <w:gridCol w:w="875"/>
        <w:gridCol w:w="831"/>
        <w:gridCol w:w="831"/>
        <w:gridCol w:w="865"/>
        <w:gridCol w:w="902"/>
        <w:gridCol w:w="945"/>
        <w:gridCol w:w="840"/>
        <w:gridCol w:w="637"/>
        <w:gridCol w:w="834"/>
        <w:gridCol w:w="843"/>
        <w:gridCol w:w="7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32"/>
                <w:szCs w:val="32"/>
              </w:rPr>
            </w:pPr>
            <w:r>
              <w:rPr>
                <w:rFonts w:hint="eastAsia" w:ascii="仿宋_GB2312" w:eastAsia="仿宋_GB2312" w:cs="宋体"/>
                <w:color w:val="000000"/>
                <w:kern w:val="0"/>
                <w:sz w:val="28"/>
                <w:szCs w:val="28"/>
                <w:lang w:val="en-US" w:eastAsia="zh-CN"/>
              </w:rPr>
              <w:t>260-</w:t>
            </w:r>
            <w:r>
              <w:rPr>
                <w:rFonts w:hint="eastAsia" w:ascii="仿宋_GB2312" w:eastAsia="仿宋_GB2312" w:cs="宋体"/>
                <w:color w:val="000000"/>
                <w:kern w:val="0"/>
                <w:sz w:val="28"/>
                <w:szCs w:val="28"/>
              </w:rPr>
              <w:t>廊坊市广阳区</w:t>
            </w:r>
            <w:r>
              <w:rPr>
                <w:rFonts w:ascii="仿宋_GB2312" w:eastAsia="仿宋_GB2312" w:cs="宋体"/>
                <w:color w:val="000000"/>
                <w:kern w:val="0"/>
                <w:sz w:val="28"/>
                <w:szCs w:val="28"/>
              </w:rPr>
              <w:t>区委</w:t>
            </w:r>
          </w:p>
        </w:tc>
        <w:tc>
          <w:tcPr>
            <w:tcW w:w="579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7" w:type="dxa"/>
            <w:gridSpan w:val="2"/>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1280"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采购物品名称</w:t>
            </w:r>
          </w:p>
        </w:tc>
        <w:tc>
          <w:tcPr>
            <w:tcW w:w="875"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83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数量  单位</w:t>
            </w:r>
          </w:p>
        </w:tc>
        <w:tc>
          <w:tcPr>
            <w:tcW w:w="83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数量</w:t>
            </w:r>
          </w:p>
        </w:tc>
        <w:tc>
          <w:tcPr>
            <w:tcW w:w="865"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单价</w:t>
            </w:r>
          </w:p>
        </w:tc>
        <w:tc>
          <w:tcPr>
            <w:tcW w:w="5792" w:type="dxa"/>
            <w:gridSpan w:val="7"/>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7"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项目名称</w:t>
            </w:r>
          </w:p>
        </w:tc>
        <w:tc>
          <w:tcPr>
            <w:tcW w:w="1010"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预算资金</w:t>
            </w:r>
          </w:p>
        </w:tc>
        <w:tc>
          <w:tcPr>
            <w:tcW w:w="1280" w:type="dxa"/>
            <w:vMerge w:val="continue"/>
            <w:shd w:val="clear" w:color="auto" w:fill="auto"/>
            <w:vAlign w:val="center"/>
          </w:tcPr>
          <w:p/>
        </w:tc>
        <w:tc>
          <w:tcPr>
            <w:tcW w:w="875"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5" w:type="dxa"/>
            <w:vMerge w:val="continue"/>
            <w:shd w:val="clear" w:color="auto" w:fill="auto"/>
            <w:vAlign w:val="center"/>
          </w:tcPr>
          <w:p/>
        </w:tc>
        <w:tc>
          <w:tcPr>
            <w:tcW w:w="902"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总计</w:t>
            </w:r>
          </w:p>
        </w:tc>
        <w:tc>
          <w:tcPr>
            <w:tcW w:w="4099" w:type="dxa"/>
            <w:gridSpan w:val="5"/>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791"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7" w:type="dxa"/>
            <w:vMerge w:val="continue"/>
            <w:shd w:val="clear" w:color="auto" w:fill="auto"/>
            <w:vAlign w:val="center"/>
          </w:tcPr>
          <w:p/>
        </w:tc>
        <w:tc>
          <w:tcPr>
            <w:tcW w:w="1010" w:type="dxa"/>
            <w:vMerge w:val="continue"/>
            <w:shd w:val="clear" w:color="auto" w:fill="auto"/>
            <w:vAlign w:val="center"/>
          </w:tcPr>
          <w:p/>
        </w:tc>
        <w:tc>
          <w:tcPr>
            <w:tcW w:w="1280" w:type="dxa"/>
            <w:vMerge w:val="continue"/>
            <w:shd w:val="clear" w:color="auto" w:fill="auto"/>
            <w:vAlign w:val="center"/>
          </w:tcPr>
          <w:p/>
        </w:tc>
        <w:tc>
          <w:tcPr>
            <w:tcW w:w="875" w:type="dxa"/>
            <w:vMerge w:val="continue"/>
            <w:shd w:val="clear" w:color="auto" w:fill="auto"/>
            <w:vAlign w:val="center"/>
          </w:tcPr>
          <w:p/>
        </w:tc>
        <w:tc>
          <w:tcPr>
            <w:tcW w:w="831" w:type="dxa"/>
            <w:vMerge w:val="continue"/>
            <w:shd w:val="clear" w:color="auto" w:fill="auto"/>
            <w:vAlign w:val="center"/>
          </w:tcPr>
          <w:p/>
        </w:tc>
        <w:tc>
          <w:tcPr>
            <w:tcW w:w="831" w:type="dxa"/>
            <w:vMerge w:val="continue"/>
            <w:shd w:val="clear" w:color="auto" w:fill="auto"/>
            <w:vAlign w:val="center"/>
          </w:tcPr>
          <w:p/>
        </w:tc>
        <w:tc>
          <w:tcPr>
            <w:tcW w:w="865" w:type="dxa"/>
            <w:vMerge w:val="continue"/>
            <w:shd w:val="clear" w:color="auto" w:fill="auto"/>
            <w:vAlign w:val="center"/>
          </w:tcPr>
          <w:p/>
        </w:tc>
        <w:tc>
          <w:tcPr>
            <w:tcW w:w="902" w:type="dxa"/>
            <w:vMerge w:val="continue"/>
            <w:shd w:val="clear" w:color="auto" w:fill="auto"/>
            <w:vAlign w:val="center"/>
          </w:tcPr>
          <w:p/>
        </w:tc>
        <w:tc>
          <w:tcPr>
            <w:tcW w:w="945"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合计</w:t>
            </w:r>
          </w:p>
        </w:tc>
        <w:tc>
          <w:tcPr>
            <w:tcW w:w="840"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637"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基金预算拨款</w:t>
            </w:r>
          </w:p>
        </w:tc>
        <w:tc>
          <w:tcPr>
            <w:tcW w:w="834"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财政专户核拨</w:t>
            </w:r>
          </w:p>
        </w:tc>
        <w:tc>
          <w:tcPr>
            <w:tcW w:w="843"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其他来源收入</w:t>
            </w:r>
          </w:p>
        </w:tc>
        <w:tc>
          <w:tcPr>
            <w:tcW w:w="79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　计</w:t>
            </w:r>
          </w:p>
        </w:tc>
        <w:tc>
          <w:tcPr>
            <w:tcW w:w="1010" w:type="dxa"/>
            <w:shd w:val="clear" w:color="auto" w:fill="auto"/>
            <w:vAlign w:val="center"/>
          </w:tcPr>
          <w:p>
            <w:pPr>
              <w:spacing w:line="300" w:lineRule="exact"/>
              <w:jc w:val="right"/>
              <w:rPr>
                <w:rFonts w:hint="eastAsia" w:ascii="仿宋_GB2312" w:eastAsia="仿宋_GB2312" w:cs="Times New Roman"/>
                <w:b/>
                <w:sz w:val="32"/>
                <w:szCs w:val="32"/>
              </w:rPr>
            </w:pPr>
          </w:p>
        </w:tc>
        <w:tc>
          <w:tcPr>
            <w:tcW w:w="1280" w:type="dxa"/>
            <w:shd w:val="clear" w:color="auto" w:fill="auto"/>
            <w:vAlign w:val="center"/>
          </w:tcPr>
          <w:p>
            <w:pPr>
              <w:spacing w:line="300" w:lineRule="exact"/>
              <w:jc w:val="left"/>
              <w:rPr>
                <w:rFonts w:hint="eastAsia" w:ascii="仿宋_GB2312" w:eastAsia="仿宋_GB2312" w:cs="Times New Roman"/>
                <w:b/>
                <w:sz w:val="32"/>
                <w:szCs w:val="32"/>
              </w:rPr>
            </w:pPr>
          </w:p>
        </w:tc>
        <w:tc>
          <w:tcPr>
            <w:tcW w:w="875"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right"/>
              <w:rPr>
                <w:rFonts w:hint="eastAsia" w:ascii="仿宋_GB2312" w:eastAsia="仿宋_GB2312" w:cs="Times New Roman"/>
                <w:b/>
                <w:sz w:val="32"/>
                <w:szCs w:val="32"/>
              </w:rPr>
            </w:pPr>
          </w:p>
        </w:tc>
        <w:tc>
          <w:tcPr>
            <w:tcW w:w="865"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0.85</w:t>
            </w:r>
          </w:p>
        </w:tc>
        <w:tc>
          <w:tcPr>
            <w:tcW w:w="945"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0.85</w:t>
            </w:r>
          </w:p>
        </w:tc>
        <w:tc>
          <w:tcPr>
            <w:tcW w:w="840" w:type="dxa"/>
            <w:shd w:val="clear" w:color="auto" w:fill="auto"/>
            <w:vAlign w:val="center"/>
          </w:tcPr>
          <w:p>
            <w:pPr>
              <w:spacing w:line="300" w:lineRule="exact"/>
              <w:jc w:val="right"/>
              <w:rPr>
                <w:rFonts w:hint="eastAsia" w:ascii="仿宋_GB2312" w:eastAsia="仿宋_GB2312" w:cs="Times New Roman"/>
                <w:b/>
                <w:sz w:val="32"/>
                <w:szCs w:val="32"/>
                <w:lang w:val="en-US" w:eastAsia="zh-CN"/>
              </w:rPr>
            </w:pPr>
            <w:r>
              <w:rPr>
                <w:rFonts w:hint="eastAsia" w:ascii="仿宋_GB2312" w:eastAsia="仿宋_GB2312" w:cs="Times New Roman"/>
                <w:b/>
                <w:sz w:val="30"/>
                <w:szCs w:val="30"/>
                <w:lang w:val="en-US" w:eastAsia="zh-CN"/>
              </w:rPr>
              <w:t>0.85</w:t>
            </w:r>
          </w:p>
        </w:tc>
        <w:tc>
          <w:tcPr>
            <w:tcW w:w="637" w:type="dxa"/>
            <w:shd w:val="clear" w:color="auto" w:fill="auto"/>
            <w:vAlign w:val="center"/>
          </w:tcPr>
          <w:p>
            <w:pPr>
              <w:spacing w:line="300" w:lineRule="exact"/>
              <w:jc w:val="right"/>
              <w:rPr>
                <w:rFonts w:hint="eastAsia" w:ascii="仿宋_GB2312" w:eastAsia="仿宋_GB2312" w:cs="Times New Roman"/>
                <w:b/>
                <w:sz w:val="32"/>
                <w:szCs w:val="32"/>
              </w:rPr>
            </w:pPr>
          </w:p>
        </w:tc>
        <w:tc>
          <w:tcPr>
            <w:tcW w:w="834" w:type="dxa"/>
            <w:shd w:val="clear" w:color="auto" w:fill="auto"/>
            <w:vAlign w:val="center"/>
          </w:tcPr>
          <w:p>
            <w:pPr>
              <w:spacing w:line="300" w:lineRule="exact"/>
              <w:jc w:val="right"/>
              <w:rPr>
                <w:rFonts w:hint="eastAsia" w:ascii="仿宋_GB2312" w:eastAsia="仿宋_GB2312" w:cs="Times New Roman"/>
                <w:b/>
                <w:sz w:val="32"/>
                <w:szCs w:val="32"/>
              </w:rPr>
            </w:pPr>
          </w:p>
        </w:tc>
        <w:tc>
          <w:tcPr>
            <w:tcW w:w="843" w:type="dxa"/>
            <w:shd w:val="clear" w:color="auto" w:fill="auto"/>
            <w:vAlign w:val="center"/>
          </w:tcPr>
          <w:p>
            <w:pPr>
              <w:spacing w:line="300" w:lineRule="exact"/>
              <w:jc w:val="right"/>
              <w:rPr>
                <w:rFonts w:hint="eastAsia" w:ascii="仿宋_GB2312" w:eastAsia="仿宋_GB2312" w:cs="Times New Roman"/>
                <w:b/>
                <w:sz w:val="32"/>
                <w:szCs w:val="32"/>
              </w:rPr>
            </w:pPr>
          </w:p>
        </w:tc>
        <w:tc>
          <w:tcPr>
            <w:tcW w:w="791"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hint="eastAsia" w:ascii="仿宋_GB2312" w:eastAsia="仿宋_GB2312" w:cs="Times New Roman"/>
                <w:b/>
                <w:sz w:val="32"/>
                <w:szCs w:val="32"/>
              </w:rPr>
            </w:pPr>
            <w:r>
              <w:rPr>
                <w:rFonts w:ascii="仿宋_GB2312" w:eastAsia="仿宋_GB2312" w:cs="Times New Roman"/>
                <w:b/>
                <w:sz w:val="32"/>
                <w:szCs w:val="32"/>
              </w:rPr>
              <w:t>党校管理经费</w:t>
            </w:r>
          </w:p>
        </w:tc>
        <w:tc>
          <w:tcPr>
            <w:tcW w:w="1010" w:type="dxa"/>
            <w:shd w:val="clear" w:color="auto" w:fill="auto"/>
            <w:vAlign w:val="center"/>
          </w:tcPr>
          <w:p>
            <w:pPr>
              <w:spacing w:line="300" w:lineRule="exact"/>
              <w:jc w:val="right"/>
              <w:rPr>
                <w:rFonts w:hint="eastAsia" w:ascii="仿宋_GB2312" w:eastAsia="仿宋_GB2312" w:cs="Times New Roman"/>
                <w:b/>
                <w:sz w:val="32"/>
                <w:szCs w:val="32"/>
              </w:rPr>
            </w:pPr>
            <w:r>
              <w:rPr>
                <w:rFonts w:ascii="仿宋_GB2312" w:eastAsia="仿宋_GB2312" w:cs="Times New Roman"/>
                <w:b/>
                <w:sz w:val="32"/>
                <w:szCs w:val="32"/>
              </w:rPr>
              <w:t>0.6</w:t>
            </w:r>
          </w:p>
        </w:tc>
        <w:tc>
          <w:tcPr>
            <w:tcW w:w="1280" w:type="dxa"/>
            <w:shd w:val="clear" w:color="auto" w:fill="auto"/>
            <w:vAlign w:val="center"/>
          </w:tcPr>
          <w:p>
            <w:pPr>
              <w:spacing w:line="300" w:lineRule="exact"/>
              <w:jc w:val="left"/>
              <w:rPr>
                <w:rFonts w:hint="eastAsia" w:ascii="仿宋_GB2312" w:eastAsia="仿宋_GB2312" w:cs="Times New Roman"/>
                <w:b/>
                <w:sz w:val="32"/>
                <w:szCs w:val="32"/>
              </w:rPr>
            </w:pPr>
            <w:r>
              <w:rPr>
                <w:rFonts w:ascii="仿宋_GB2312" w:eastAsia="仿宋_GB2312" w:cs="Times New Roman"/>
                <w:b/>
                <w:sz w:val="32"/>
                <w:szCs w:val="32"/>
              </w:rPr>
              <w:t>计算机</w:t>
            </w:r>
          </w:p>
        </w:tc>
        <w:tc>
          <w:tcPr>
            <w:tcW w:w="875" w:type="dxa"/>
            <w:shd w:val="clear" w:color="auto" w:fill="auto"/>
            <w:vAlign w:val="center"/>
          </w:tcPr>
          <w:p>
            <w:pPr>
              <w:spacing w:line="300" w:lineRule="exact"/>
              <w:jc w:val="left"/>
              <w:rPr>
                <w:rFonts w:hint="eastAsia" w:ascii="仿宋_GB2312" w:eastAsia="仿宋_GB2312" w:cs="Times New Roman"/>
                <w:b/>
                <w:sz w:val="32"/>
                <w:szCs w:val="32"/>
              </w:rPr>
            </w:pPr>
          </w:p>
        </w:tc>
        <w:tc>
          <w:tcPr>
            <w:tcW w:w="831" w:type="dxa"/>
            <w:shd w:val="clear" w:color="auto" w:fill="auto"/>
            <w:vAlign w:val="center"/>
          </w:tcPr>
          <w:p>
            <w:pPr>
              <w:spacing w:line="300" w:lineRule="exact"/>
              <w:jc w:val="left"/>
              <w:rPr>
                <w:rFonts w:hint="eastAsia" w:ascii="仿宋_GB2312" w:eastAsia="仿宋_GB2312" w:cs="Times New Roman"/>
                <w:b/>
                <w:sz w:val="32"/>
                <w:szCs w:val="32"/>
              </w:rPr>
            </w:pPr>
            <w:r>
              <w:rPr>
                <w:rFonts w:ascii="仿宋_GB2312" w:eastAsia="仿宋_GB2312" w:cs="Times New Roman"/>
                <w:b/>
                <w:sz w:val="32"/>
                <w:szCs w:val="32"/>
              </w:rPr>
              <w:t>台</w:t>
            </w:r>
          </w:p>
        </w:tc>
        <w:tc>
          <w:tcPr>
            <w:tcW w:w="831"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2</w:t>
            </w:r>
          </w:p>
        </w:tc>
        <w:tc>
          <w:tcPr>
            <w:tcW w:w="865"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0.3</w:t>
            </w:r>
          </w:p>
        </w:tc>
        <w:tc>
          <w:tcPr>
            <w:tcW w:w="902"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945"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840" w:type="dxa"/>
            <w:shd w:val="clear" w:color="auto" w:fill="auto"/>
            <w:vAlign w:val="center"/>
          </w:tcPr>
          <w:p>
            <w:pPr>
              <w:spacing w:line="300" w:lineRule="exact"/>
              <w:jc w:val="right"/>
              <w:rPr>
                <w:rFonts w:hint="eastAsia" w:ascii="仿宋_GB2312" w:eastAsia="仿宋_GB2312" w:cs="Times New Roman"/>
                <w:b/>
                <w:sz w:val="28"/>
                <w:szCs w:val="28"/>
              </w:rPr>
            </w:pPr>
            <w:r>
              <w:rPr>
                <w:rFonts w:ascii="仿宋_GB2312" w:eastAsia="仿宋_GB2312" w:cs="Times New Roman"/>
                <w:b/>
                <w:sz w:val="28"/>
                <w:szCs w:val="28"/>
              </w:rPr>
              <w:t>0.6</w:t>
            </w:r>
          </w:p>
        </w:tc>
        <w:tc>
          <w:tcPr>
            <w:tcW w:w="637" w:type="dxa"/>
            <w:shd w:val="clear" w:color="auto" w:fill="auto"/>
            <w:vAlign w:val="center"/>
          </w:tcPr>
          <w:p>
            <w:pPr>
              <w:spacing w:line="300" w:lineRule="exact"/>
              <w:jc w:val="right"/>
              <w:rPr>
                <w:rFonts w:hint="eastAsia" w:ascii="仿宋_GB2312" w:eastAsia="仿宋_GB2312" w:cs="Times New Roman"/>
                <w:b/>
                <w:sz w:val="32"/>
                <w:szCs w:val="32"/>
              </w:rPr>
            </w:pPr>
          </w:p>
        </w:tc>
        <w:tc>
          <w:tcPr>
            <w:tcW w:w="834" w:type="dxa"/>
            <w:shd w:val="clear" w:color="auto" w:fill="auto"/>
            <w:vAlign w:val="center"/>
          </w:tcPr>
          <w:p>
            <w:pPr>
              <w:spacing w:line="300" w:lineRule="exact"/>
              <w:jc w:val="right"/>
              <w:rPr>
                <w:rFonts w:hint="eastAsia" w:ascii="仿宋_GB2312" w:eastAsia="仿宋_GB2312" w:cs="Times New Roman"/>
                <w:b/>
                <w:sz w:val="32"/>
                <w:szCs w:val="32"/>
              </w:rPr>
            </w:pPr>
          </w:p>
        </w:tc>
        <w:tc>
          <w:tcPr>
            <w:tcW w:w="843" w:type="dxa"/>
            <w:shd w:val="clear" w:color="auto" w:fill="auto"/>
            <w:vAlign w:val="center"/>
          </w:tcPr>
          <w:p>
            <w:pPr>
              <w:spacing w:line="300" w:lineRule="exact"/>
              <w:jc w:val="right"/>
              <w:rPr>
                <w:rFonts w:hint="eastAsia" w:ascii="仿宋_GB2312" w:eastAsia="仿宋_GB2312" w:cs="Times New Roman"/>
                <w:b/>
                <w:sz w:val="32"/>
                <w:szCs w:val="32"/>
              </w:rPr>
            </w:pPr>
          </w:p>
        </w:tc>
        <w:tc>
          <w:tcPr>
            <w:tcW w:w="791"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b/>
                <w:sz w:val="32"/>
                <w:szCs w:val="32"/>
              </w:rPr>
              <w:t>党校管理经费</w:t>
            </w:r>
          </w:p>
        </w:tc>
        <w:tc>
          <w:tcPr>
            <w:tcW w:w="1010" w:type="dxa"/>
            <w:shd w:val="clear" w:color="auto" w:fill="auto"/>
            <w:vAlign w:val="center"/>
          </w:tcPr>
          <w:p>
            <w:pPr>
              <w:spacing w:line="300" w:lineRule="exact"/>
              <w:jc w:val="right"/>
              <w:rPr>
                <w:rFonts w:hint="eastAsia" w:ascii="仿宋_GB2312" w:eastAsia="仿宋_GB2312" w:cs="Times New Roman"/>
                <w:sz w:val="32"/>
                <w:szCs w:val="32"/>
              </w:rPr>
            </w:pPr>
            <w:r>
              <w:rPr>
                <w:rFonts w:ascii="仿宋_GB2312" w:eastAsia="仿宋_GB2312" w:cs="Times New Roman"/>
                <w:sz w:val="32"/>
                <w:szCs w:val="32"/>
              </w:rPr>
              <w:t>0.25</w:t>
            </w:r>
          </w:p>
        </w:tc>
        <w:tc>
          <w:tcPr>
            <w:tcW w:w="1280"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sz w:val="32"/>
                <w:szCs w:val="32"/>
              </w:rPr>
              <w:t>打印机</w:t>
            </w:r>
          </w:p>
        </w:tc>
        <w:tc>
          <w:tcPr>
            <w:tcW w:w="875"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left"/>
              <w:rPr>
                <w:rFonts w:hint="eastAsia" w:ascii="仿宋_GB2312" w:eastAsia="仿宋_GB2312" w:cs="Times New Roman"/>
                <w:sz w:val="32"/>
                <w:szCs w:val="32"/>
              </w:rPr>
            </w:pPr>
            <w:r>
              <w:rPr>
                <w:rFonts w:ascii="仿宋_GB2312" w:eastAsia="仿宋_GB2312" w:cs="Times New Roman"/>
                <w:sz w:val="32"/>
                <w:szCs w:val="32"/>
              </w:rPr>
              <w:t>台</w:t>
            </w:r>
          </w:p>
        </w:tc>
        <w:tc>
          <w:tcPr>
            <w:tcW w:w="831"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1</w:t>
            </w:r>
          </w:p>
        </w:tc>
        <w:tc>
          <w:tcPr>
            <w:tcW w:w="865"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902" w:type="dxa"/>
            <w:shd w:val="clear" w:color="auto" w:fill="auto"/>
            <w:vAlign w:val="center"/>
          </w:tcPr>
          <w:p>
            <w:pPr>
              <w:spacing w:line="300" w:lineRule="exact"/>
              <w:rPr>
                <w:rFonts w:hint="eastAsia" w:ascii="仿宋_GB2312" w:eastAsia="仿宋_GB2312" w:cs="Times New Roman"/>
                <w:sz w:val="28"/>
                <w:szCs w:val="28"/>
              </w:rPr>
            </w:pPr>
            <w:r>
              <w:rPr>
                <w:rFonts w:ascii="仿宋_GB2312" w:eastAsia="仿宋_GB2312" w:cs="Times New Roman"/>
                <w:sz w:val="28"/>
                <w:szCs w:val="28"/>
              </w:rPr>
              <w:t>0.25</w:t>
            </w:r>
          </w:p>
        </w:tc>
        <w:tc>
          <w:tcPr>
            <w:tcW w:w="945"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840" w:type="dxa"/>
            <w:shd w:val="clear" w:color="auto" w:fill="auto"/>
            <w:vAlign w:val="center"/>
          </w:tcPr>
          <w:p>
            <w:pPr>
              <w:spacing w:line="300" w:lineRule="exact"/>
              <w:jc w:val="right"/>
              <w:rPr>
                <w:rFonts w:hint="eastAsia" w:ascii="仿宋_GB2312" w:eastAsia="仿宋_GB2312" w:cs="Times New Roman"/>
                <w:sz w:val="28"/>
                <w:szCs w:val="28"/>
              </w:rPr>
            </w:pPr>
            <w:r>
              <w:rPr>
                <w:rFonts w:ascii="仿宋_GB2312" w:eastAsia="仿宋_GB2312" w:cs="Times New Roman"/>
                <w:sz w:val="28"/>
                <w:szCs w:val="28"/>
              </w:rPr>
              <w:t>0.25</w:t>
            </w:r>
          </w:p>
        </w:tc>
        <w:tc>
          <w:tcPr>
            <w:tcW w:w="637" w:type="dxa"/>
            <w:shd w:val="clear" w:color="auto" w:fill="auto"/>
            <w:vAlign w:val="center"/>
          </w:tcPr>
          <w:p>
            <w:pPr>
              <w:spacing w:line="300" w:lineRule="exact"/>
              <w:jc w:val="right"/>
              <w:rPr>
                <w:rFonts w:hint="eastAsia" w:ascii="仿宋_GB2312" w:eastAsia="仿宋_GB2312" w:cs="Times New Roman"/>
                <w:sz w:val="32"/>
                <w:szCs w:val="32"/>
              </w:rPr>
            </w:pPr>
          </w:p>
        </w:tc>
        <w:tc>
          <w:tcPr>
            <w:tcW w:w="834" w:type="dxa"/>
            <w:shd w:val="clear" w:color="auto" w:fill="auto"/>
            <w:vAlign w:val="center"/>
          </w:tcPr>
          <w:p>
            <w:pPr>
              <w:spacing w:line="300" w:lineRule="exact"/>
              <w:jc w:val="right"/>
              <w:rPr>
                <w:rFonts w:hint="eastAsia" w:ascii="仿宋_GB2312" w:eastAsia="仿宋_GB2312" w:cs="Times New Roman"/>
                <w:sz w:val="32"/>
                <w:szCs w:val="32"/>
              </w:rPr>
            </w:pPr>
          </w:p>
        </w:tc>
        <w:tc>
          <w:tcPr>
            <w:tcW w:w="843" w:type="dxa"/>
            <w:shd w:val="clear" w:color="auto" w:fill="auto"/>
            <w:vAlign w:val="center"/>
          </w:tcPr>
          <w:p>
            <w:pPr>
              <w:spacing w:line="300" w:lineRule="exact"/>
              <w:jc w:val="right"/>
              <w:rPr>
                <w:rFonts w:hint="eastAsia" w:ascii="仿宋_GB2312" w:eastAsia="仿宋_GB2312" w:cs="Times New Roman"/>
                <w:sz w:val="32"/>
                <w:szCs w:val="32"/>
              </w:rPr>
            </w:pPr>
          </w:p>
        </w:tc>
        <w:tc>
          <w:tcPr>
            <w:tcW w:w="791" w:type="dxa"/>
            <w:shd w:val="clear" w:color="auto" w:fill="auto"/>
            <w:vAlign w:val="center"/>
          </w:tcPr>
          <w:p>
            <w:pPr>
              <w:spacing w:line="300" w:lineRule="exact"/>
              <w:jc w:val="right"/>
              <w:rPr>
                <w:rFonts w:hint="eastAsia"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7" w:type="dxa"/>
            <w:shd w:val="clear" w:color="auto" w:fill="auto"/>
            <w:vAlign w:val="center"/>
          </w:tcPr>
          <w:p>
            <w:pPr>
              <w:spacing w:line="300" w:lineRule="exact"/>
              <w:jc w:val="left"/>
              <w:rPr>
                <w:rFonts w:hint="eastAsia" w:ascii="仿宋_GB2312" w:eastAsia="仿宋_GB2312" w:cs="Times New Roman"/>
                <w:sz w:val="32"/>
                <w:szCs w:val="32"/>
              </w:rPr>
            </w:pPr>
          </w:p>
        </w:tc>
        <w:tc>
          <w:tcPr>
            <w:tcW w:w="1010" w:type="dxa"/>
            <w:shd w:val="clear" w:color="auto" w:fill="auto"/>
            <w:vAlign w:val="center"/>
          </w:tcPr>
          <w:p>
            <w:pPr>
              <w:spacing w:line="300" w:lineRule="exact"/>
              <w:jc w:val="right"/>
              <w:rPr>
                <w:rFonts w:hint="eastAsia" w:ascii="仿宋_GB2312" w:eastAsia="仿宋_GB2312" w:cs="Times New Roman"/>
                <w:sz w:val="32"/>
                <w:szCs w:val="32"/>
              </w:rPr>
            </w:pPr>
          </w:p>
        </w:tc>
        <w:tc>
          <w:tcPr>
            <w:tcW w:w="1280" w:type="dxa"/>
            <w:shd w:val="clear" w:color="auto" w:fill="auto"/>
            <w:vAlign w:val="center"/>
          </w:tcPr>
          <w:p>
            <w:pPr>
              <w:spacing w:line="300" w:lineRule="exact"/>
              <w:jc w:val="left"/>
              <w:rPr>
                <w:rFonts w:hint="eastAsia" w:ascii="仿宋_GB2312" w:eastAsia="仿宋_GB2312" w:cs="Times New Roman"/>
                <w:sz w:val="32"/>
                <w:szCs w:val="32"/>
              </w:rPr>
            </w:pPr>
          </w:p>
        </w:tc>
        <w:tc>
          <w:tcPr>
            <w:tcW w:w="875"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left"/>
              <w:rPr>
                <w:rFonts w:hint="eastAsia" w:ascii="仿宋_GB2312" w:eastAsia="仿宋_GB2312" w:cs="Times New Roman"/>
                <w:sz w:val="32"/>
                <w:szCs w:val="32"/>
              </w:rPr>
            </w:pPr>
          </w:p>
        </w:tc>
        <w:tc>
          <w:tcPr>
            <w:tcW w:w="831" w:type="dxa"/>
            <w:shd w:val="clear" w:color="auto" w:fill="auto"/>
            <w:vAlign w:val="center"/>
          </w:tcPr>
          <w:p>
            <w:pPr>
              <w:spacing w:line="300" w:lineRule="exact"/>
              <w:jc w:val="right"/>
              <w:rPr>
                <w:rFonts w:hint="eastAsia" w:ascii="仿宋_GB2312" w:eastAsia="仿宋_GB2312" w:cs="Times New Roman"/>
                <w:sz w:val="32"/>
                <w:szCs w:val="32"/>
              </w:rPr>
            </w:pPr>
          </w:p>
        </w:tc>
        <w:tc>
          <w:tcPr>
            <w:tcW w:w="865"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945" w:type="dxa"/>
            <w:shd w:val="clear" w:color="auto" w:fill="auto"/>
            <w:vAlign w:val="center"/>
          </w:tcPr>
          <w:p>
            <w:pPr>
              <w:spacing w:line="300" w:lineRule="exact"/>
              <w:jc w:val="right"/>
              <w:rPr>
                <w:rFonts w:hint="eastAsia" w:ascii="仿宋_GB2312" w:eastAsia="仿宋_GB2312" w:cs="Times New Roman"/>
                <w:sz w:val="32"/>
                <w:szCs w:val="32"/>
              </w:rPr>
            </w:pPr>
          </w:p>
        </w:tc>
        <w:tc>
          <w:tcPr>
            <w:tcW w:w="840" w:type="dxa"/>
            <w:shd w:val="clear" w:color="auto" w:fill="auto"/>
            <w:vAlign w:val="center"/>
          </w:tcPr>
          <w:p>
            <w:pPr>
              <w:spacing w:line="300" w:lineRule="exact"/>
              <w:jc w:val="right"/>
              <w:rPr>
                <w:rFonts w:hint="eastAsia" w:ascii="仿宋_GB2312" w:eastAsia="仿宋_GB2312" w:cs="Times New Roman"/>
                <w:sz w:val="32"/>
                <w:szCs w:val="32"/>
              </w:rPr>
            </w:pPr>
          </w:p>
        </w:tc>
        <w:tc>
          <w:tcPr>
            <w:tcW w:w="637" w:type="dxa"/>
            <w:shd w:val="clear" w:color="auto" w:fill="auto"/>
            <w:vAlign w:val="center"/>
          </w:tcPr>
          <w:p>
            <w:pPr>
              <w:spacing w:line="300" w:lineRule="exact"/>
              <w:jc w:val="right"/>
              <w:rPr>
                <w:rFonts w:hint="eastAsia" w:ascii="仿宋_GB2312" w:eastAsia="仿宋_GB2312" w:cs="Times New Roman"/>
                <w:sz w:val="32"/>
                <w:szCs w:val="32"/>
              </w:rPr>
            </w:pPr>
          </w:p>
        </w:tc>
        <w:tc>
          <w:tcPr>
            <w:tcW w:w="834" w:type="dxa"/>
            <w:shd w:val="clear" w:color="auto" w:fill="auto"/>
            <w:vAlign w:val="center"/>
          </w:tcPr>
          <w:p>
            <w:pPr>
              <w:spacing w:line="300" w:lineRule="exact"/>
              <w:jc w:val="right"/>
              <w:rPr>
                <w:rFonts w:hint="eastAsia" w:ascii="仿宋_GB2312" w:eastAsia="仿宋_GB2312" w:cs="Times New Roman"/>
                <w:sz w:val="32"/>
                <w:szCs w:val="32"/>
              </w:rPr>
            </w:pPr>
          </w:p>
        </w:tc>
        <w:tc>
          <w:tcPr>
            <w:tcW w:w="843" w:type="dxa"/>
            <w:shd w:val="clear" w:color="auto" w:fill="auto"/>
            <w:vAlign w:val="center"/>
          </w:tcPr>
          <w:p>
            <w:pPr>
              <w:spacing w:line="300" w:lineRule="exact"/>
              <w:jc w:val="right"/>
              <w:rPr>
                <w:rFonts w:hint="eastAsia" w:ascii="仿宋_GB2312" w:eastAsia="仿宋_GB2312" w:cs="Times New Roman"/>
                <w:sz w:val="32"/>
                <w:szCs w:val="32"/>
              </w:rPr>
            </w:pPr>
          </w:p>
        </w:tc>
        <w:tc>
          <w:tcPr>
            <w:tcW w:w="791" w:type="dxa"/>
            <w:shd w:val="clear" w:color="auto" w:fill="auto"/>
            <w:vAlign w:val="center"/>
          </w:tcPr>
          <w:p>
            <w:pPr>
              <w:spacing w:line="300" w:lineRule="exact"/>
              <w:jc w:val="right"/>
              <w:rPr>
                <w:rFonts w:hint="eastAsia" w:ascii="仿宋_GB2312" w:eastAsia="仿宋_GB2312" w:cs="Times New Roman"/>
                <w:sz w:val="32"/>
                <w:szCs w:val="32"/>
              </w:rPr>
            </w:pPr>
          </w:p>
        </w:tc>
      </w:tr>
    </w:tbl>
    <w:p>
      <w:pPr>
        <w:widowControl/>
        <w:spacing w:line="360" w:lineRule="atLeast"/>
        <w:ind w:left="160" w:hanging="160" w:hangingChars="50"/>
        <w:jc w:val="left"/>
        <w:rPr>
          <w:rFonts w:hint="eastAsia" w:ascii="宋体" w:hAnsi="宋体" w:eastAsia="仿宋_GB2312" w:cs="宋体"/>
          <w:color w:val="000000"/>
          <w:kern w:val="0"/>
          <w:sz w:val="32"/>
          <w:szCs w:val="32"/>
          <w:lang w:eastAsia="zh-CN"/>
        </w:rPr>
      </w:pPr>
    </w:p>
    <w:p>
      <w:pPr>
        <w:widowControl/>
        <w:spacing w:line="360" w:lineRule="atLeast"/>
        <w:ind w:left="160" w:hanging="160" w:hangingChars="5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w:t>
      </w:r>
    </w:p>
    <w:p>
      <w:pPr>
        <w:widowControl/>
        <w:spacing w:line="360" w:lineRule="atLeast"/>
        <w:ind w:firstLine="640" w:firstLineChars="200"/>
        <w:jc w:val="left"/>
        <w:rPr>
          <w:rFonts w:ascii="黑体" w:eastAsia="黑体" w:cs="宋体"/>
          <w:color w:val="000000"/>
          <w:kern w:val="0"/>
          <w:sz w:val="32"/>
          <w:szCs w:val="32"/>
        </w:rPr>
      </w:pPr>
      <w:r>
        <w:rPr>
          <w:rFonts w:ascii="黑体" w:eastAsia="黑体" w:cs="宋体"/>
          <w:color w:val="000000"/>
          <w:kern w:val="0"/>
          <w:sz w:val="32"/>
          <w:szCs w:val="32"/>
        </w:rPr>
        <w:br w:type="page"/>
      </w:r>
      <w:r>
        <w:rPr>
          <w:rFonts w:hint="eastAsia" w:ascii="黑体" w:eastAsia="黑体" w:cs="宋体"/>
          <w:color w:val="000000"/>
          <w:kern w:val="0"/>
          <w:sz w:val="32"/>
          <w:szCs w:val="32"/>
        </w:rPr>
        <w:t>七、国有资产信息</w:t>
      </w:r>
    </w:p>
    <w:p>
      <w:pPr>
        <w:spacing w:line="584" w:lineRule="exact"/>
        <w:ind w:firstLine="640"/>
        <w:rPr>
          <w:rFonts w:hint="eastAsia" w:ascii="仿宋_GB2312" w:eastAsia="仿宋_GB2312" w:cs="宋体"/>
          <w:color w:val="000000"/>
          <w:kern w:val="0"/>
          <w:sz w:val="32"/>
          <w:szCs w:val="32"/>
        </w:rPr>
      </w:pPr>
      <w:r>
        <w:rPr>
          <w:rFonts w:hint="eastAsia" w:ascii="Times New Roman" w:hAnsi="Times New Roman" w:eastAsia="仿宋_GB2312" w:cs="Times New Roman"/>
          <w:sz w:val="32"/>
          <w:szCs w:val="32"/>
          <w:lang w:eastAsia="zh-CN"/>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上年末固定资产金额为765.95万元，</w:t>
      </w:r>
      <w:r>
        <w:rPr>
          <w:rFonts w:ascii="Times New Roman" w:hAnsi="Times New Roman" w:eastAsia="仿宋_GB2312" w:cs="Times New Roman"/>
          <w:sz w:val="32"/>
          <w:szCs w:val="32"/>
        </w:rPr>
        <w:t>本年度我部门拟购置固定资产主要为计算机设备、打印设备等，已列入政府采购预算。详见下表。</w:t>
      </w:r>
    </w:p>
    <w:tbl>
      <w:tblPr>
        <w:tblStyle w:val="4"/>
        <w:tblW w:w="11003" w:type="dxa"/>
        <w:tblCellSpacing w:w="0" w:type="dxa"/>
        <w:tblInd w:w="138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8"/>
        <w:gridCol w:w="2422"/>
        <w:gridCol w:w="4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5" w:hRule="atLeast"/>
          <w:tblCellSpacing w:w="0" w:type="dxa"/>
        </w:trPr>
        <w:tc>
          <w:tcPr>
            <w:tcW w:w="11003"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p>
            <w:pPr>
              <w:widowControl/>
              <w:jc w:val="center"/>
              <w:rPr>
                <w:rFonts w:hint="eastAsia"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630"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kern w:val="0"/>
                <w:sz w:val="32"/>
                <w:szCs w:val="32"/>
                <w:lang w:val="en-US" w:eastAsia="zh-CN"/>
              </w:rPr>
              <w:t>260</w:t>
            </w:r>
            <w:r>
              <w:rPr>
                <w:rFonts w:hint="eastAsia" w:ascii="仿宋_GB2312" w:eastAsia="仿宋_GB2312" w:cs="宋体"/>
                <w:b/>
                <w:bCs/>
                <w:kern w:val="0"/>
                <w:sz w:val="32"/>
                <w:szCs w:val="32"/>
              </w:rPr>
              <w:t>中国共产党廊坊市广阳区委员会</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w:t>
            </w:r>
            <w:r>
              <w:rPr>
                <w:rFonts w:ascii="仿宋_GB2312" w:eastAsia="仿宋_GB2312" w:cs="宋体"/>
                <w:kern w:val="0"/>
                <w:sz w:val="32"/>
                <w:szCs w:val="32"/>
              </w:rPr>
              <w:t>7</w:t>
            </w:r>
            <w:r>
              <w:rPr>
                <w:rFonts w:hint="eastAsia" w:ascii="仿宋_GB2312" w:eastAsia="仿宋_GB2312" w:cs="宋体"/>
                <w:kern w:val="0"/>
                <w:sz w:val="32"/>
                <w:szCs w:val="32"/>
              </w:rPr>
              <w:t>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项</w:t>
            </w:r>
            <w:r>
              <w:rPr>
                <w:rFonts w:ascii="宋体" w:hAnsi="宋体" w:eastAsia="仿宋_GB2312" w:cs="宋体"/>
                <w:b/>
                <w:bCs/>
                <w:kern w:val="0"/>
                <w:sz w:val="24"/>
                <w:szCs w:val="24"/>
              </w:rPr>
              <w:t xml:space="preserve">   </w:t>
            </w:r>
            <w:r>
              <w:rPr>
                <w:rFonts w:hint="eastAsia" w:ascii="仿宋_GB2312" w:eastAsia="仿宋_GB2312" w:cs="宋体"/>
                <w:b/>
                <w:bCs/>
                <w:kern w:val="0"/>
                <w:sz w:val="24"/>
                <w:szCs w:val="24"/>
              </w:rPr>
              <w:t>目</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数量</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仿宋_GB2312" w:eastAsia="仿宋_GB2312" w:cs="宋体"/>
                <w:kern w:val="0"/>
                <w:sz w:val="24"/>
                <w:szCs w:val="24"/>
              </w:rPr>
            </w:pPr>
            <w:r>
              <w:rPr>
                <w:rFonts w:hint="eastAsia" w:ascii="仿宋_GB2312" w:eastAsia="仿宋_GB2312" w:cs="宋体"/>
                <w:b/>
                <w:bCs/>
                <w:kern w:val="0"/>
                <w:sz w:val="24"/>
                <w:szCs w:val="24"/>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资产总额</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765.95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1、房屋（平方米）</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9000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ascii="宋体" w:hAnsi="宋体" w:eastAsia="仿宋_GB2312" w:cs="宋体"/>
                <w:kern w:val="0"/>
                <w:sz w:val="24"/>
                <w:szCs w:val="24"/>
              </w:rPr>
              <w:t xml:space="preserve">   </w:t>
            </w:r>
            <w:r>
              <w:rPr>
                <w:rFonts w:hint="eastAsia" w:ascii="仿宋_GB2312" w:eastAsia="仿宋_GB2312" w:cs="宋体"/>
                <w:kern w:val="0"/>
                <w:sz w:val="24"/>
                <w:szCs w:val="24"/>
              </w:rPr>
              <w:t>其中：办公用房（平方米）</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9000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240.00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2、车辆（台、辆）</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16</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255.56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3、单价在20万元以上的设备</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0</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exact"/>
          <w:tblCellSpacing w:w="0" w:type="dxa"/>
        </w:trPr>
        <w:tc>
          <w:tcPr>
            <w:tcW w:w="4208"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4、其他固定资产</w:t>
            </w:r>
          </w:p>
        </w:tc>
        <w:tc>
          <w:tcPr>
            <w:tcW w:w="242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 </w:t>
            </w:r>
          </w:p>
        </w:tc>
        <w:tc>
          <w:tcPr>
            <w:tcW w:w="437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kern w:val="0"/>
                <w:sz w:val="24"/>
                <w:szCs w:val="24"/>
              </w:rPr>
            </w:pPr>
            <w:r>
              <w:rPr>
                <w:rFonts w:hint="eastAsia" w:ascii="仿宋_GB2312" w:eastAsia="仿宋_GB2312" w:cs="宋体"/>
                <w:kern w:val="0"/>
                <w:sz w:val="24"/>
                <w:szCs w:val="24"/>
              </w:rPr>
              <w:t>270.39</w:t>
            </w:r>
          </w:p>
        </w:tc>
      </w:tr>
    </w:tbl>
    <w:p>
      <w:pPr>
        <w:pStyle w:val="9"/>
        <w:spacing w:line="570" w:lineRule="exac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p>
    <w:p>
      <w:pPr>
        <w:pStyle w:val="9"/>
        <w:spacing w:line="570" w:lineRule="exact"/>
        <w:rPr>
          <w:rFonts w:hint="eastAsia" w:ascii="黑体" w:eastAsia="黑体" w:cs="宋体"/>
          <w:b/>
          <w:bCs/>
          <w:sz w:val="32"/>
          <w:szCs w:val="32"/>
          <w:lang w:eastAsia="zh-CN"/>
        </w:rPr>
      </w:pPr>
      <w:r>
        <w:rPr>
          <w:rFonts w:ascii="宋体" w:hAnsi="宋体" w:eastAsia="仿宋_GB2312" w:cs="宋体"/>
          <w:color w:val="000000"/>
          <w:kern w:val="0"/>
          <w:sz w:val="32"/>
          <w:szCs w:val="32"/>
        </w:rPr>
        <w:br w:type="page"/>
      </w:r>
      <w:r>
        <w:rPr>
          <w:rFonts w:hint="eastAsia" w:ascii="黑体" w:eastAsia="黑体" w:cs="宋体"/>
          <w:b/>
          <w:bCs/>
          <w:sz w:val="32"/>
          <w:szCs w:val="32"/>
        </w:rPr>
        <w:t>八、名词解释</w:t>
      </w:r>
    </w:p>
    <w:p>
      <w:pPr>
        <w:pStyle w:val="9"/>
        <w:spacing w:line="570" w:lineRule="exact"/>
        <w:rPr>
          <w:rFonts w:ascii="仿宋_GB2312" w:eastAsia="仿宋_GB2312"/>
          <w:b/>
          <w:bCs/>
          <w:sz w:val="32"/>
          <w:szCs w:val="32"/>
        </w:rPr>
      </w:pP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9"/>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9"/>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hint="eastAsia"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hint="eastAsia" w:ascii="黑体" w:eastAsia="黑体" w:cs="宋体"/>
          <w:b/>
          <w:bCs/>
          <w:color w:val="000000"/>
          <w:kern w:val="0"/>
          <w:sz w:val="32"/>
          <w:szCs w:val="32"/>
          <w:lang w:eastAsia="zh-CN"/>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p>
    <w:p>
      <w:pPr>
        <w:widowControl/>
        <w:spacing w:line="570" w:lineRule="exact"/>
        <w:ind w:left="643" w:hanging="640" w:hangingChars="200"/>
        <w:jc w:val="left"/>
        <w:rPr>
          <w:rFonts w:hint="eastAsia" w:ascii="仿宋_GB2312" w:eastAsia="仿宋_GB2312" w:cs="宋体"/>
          <w:color w:val="000000"/>
          <w:kern w:val="0"/>
          <w:sz w:val="32"/>
          <w:szCs w:val="32"/>
          <w:lang w:eastAsia="zh-CN"/>
        </w:rPr>
      </w:pP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p>
    <w:p>
      <w:pPr>
        <w:widowControl/>
        <w:spacing w:line="570" w:lineRule="exact"/>
        <w:ind w:left="643" w:hanging="640" w:hangingChars="20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hint="eastAsia"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04C6BD6"/>
    <w:rsid w:val="08333BD0"/>
    <w:rsid w:val="33016F44"/>
    <w:rsid w:val="33BA0C9D"/>
    <w:rsid w:val="466E2BF9"/>
    <w:rsid w:val="580F7555"/>
    <w:rsid w:val="5F812F36"/>
    <w:rsid w:val="67CE6A4C"/>
    <w:rsid w:val="6E8A580B"/>
    <w:rsid w:val="79FD20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 w:type="paragraph" w:customStyle="1" w:styleId="9">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89</Pages>
  <Words>32389</Words>
  <Characters>37515</Characters>
  <Lines>6346</Lines>
  <Paragraphs>2058</Paragraphs>
  <TotalTime>8</TotalTime>
  <ScaleCrop>false</ScaleCrop>
  <LinksUpToDate>false</LinksUpToDate>
  <CharactersWithSpaces>37997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2017-10-27T09:28:00Z</dcterms:created>
  <dc:creator>lenovo</dc:creator>
  <cp:lastModifiedBy>111</cp:lastModifiedBy>
  <dcterms:modified xsi:type="dcterms:W3CDTF">2024-12-30T10:59:53Z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16DE6D2CBC9A41D7B09255E2E398C3E1</vt:lpwstr>
  </property>
</Properties>
</file>