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val="en-US" w:eastAsia="zh-CN"/>
        </w:rPr>
        <w:t>科学技术局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val="en-US" w:eastAsia="zh-CN"/>
        </w:rPr>
        <w:t>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按照《预算法》、《地方预决算公开操作规程》和《河北省省级预算公开办法》规定，现将廊坊市广阳区</w:t>
      </w:r>
      <w:r>
        <w:rPr>
          <w:rFonts w:hint="eastAsia" w:ascii="仿宋_GB2312" w:hAnsi="仿宋_GB2312" w:eastAsia="仿宋_GB2312" w:cs="仿宋_GB2312"/>
          <w:sz w:val="32"/>
          <w:szCs w:val="32"/>
          <w:lang w:val="en-US" w:eastAsia="zh-CN"/>
        </w:rPr>
        <w:t>科学技术局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年部门预算公开如</w:t>
      </w:r>
      <w:bookmarkStart w:id="5" w:name="_GoBack"/>
      <w:bookmarkEnd w:id="5"/>
      <w:r>
        <w:rPr>
          <w:rFonts w:hint="eastAsia" w:ascii="仿宋_GB2312" w:hAnsi="仿宋_GB2312" w:eastAsia="仿宋_GB2312" w:cs="仿宋_GB2312"/>
          <w:sz w:val="32"/>
          <w:szCs w:val="32"/>
        </w:rPr>
        <w:t>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8"/>
        <w:spacing w:before="0" w:beforeAutospacing="0" w:after="0" w:afterAutospacing="0" w:line="579" w:lineRule="exact"/>
        <w:ind w:firstLine="640" w:firstLineChars="200"/>
        <w:jc w:val="both"/>
        <w:rPr>
          <w:rFonts w:ascii="仿宋_GB2312" w:eastAsia="仿宋_GB2312"/>
          <w:color w:val="000000"/>
          <w:sz w:val="32"/>
          <w:szCs w:val="32"/>
        </w:rPr>
      </w:pPr>
      <w:r>
        <w:rPr>
          <w:rFonts w:hint="eastAsia" w:ascii="黑体" w:eastAsia="黑体"/>
          <w:color w:val="000000"/>
          <w:sz w:val="32"/>
          <w:szCs w:val="32"/>
        </w:rPr>
        <w:t>第一条</w:t>
      </w:r>
      <w:r>
        <w:rPr>
          <w:rFonts w:hint="eastAsia" w:ascii="仿宋_GB2312" w:eastAsia="仿宋_GB2312"/>
          <w:color w:val="000000"/>
          <w:sz w:val="32"/>
          <w:szCs w:val="32"/>
        </w:rPr>
        <w:t>　根据《中共河北省委办公厅河北省人民政府办公厅关于印发〈廊坊市机构改革方案〉的通知》（冀办字〔</w:t>
      </w:r>
      <w:r>
        <w:rPr>
          <w:rFonts w:ascii="仿宋_GB2312" w:eastAsia="仿宋_GB2312"/>
          <w:color w:val="000000"/>
          <w:sz w:val="32"/>
          <w:szCs w:val="32"/>
        </w:rPr>
        <w:t>2018</w:t>
      </w:r>
      <w:r>
        <w:rPr>
          <w:rFonts w:hint="eastAsia" w:ascii="仿宋_GB2312" w:eastAsia="仿宋_GB2312"/>
          <w:color w:val="000000"/>
          <w:sz w:val="32"/>
          <w:szCs w:val="32"/>
        </w:rPr>
        <w:t>〕</w:t>
      </w:r>
      <w:r>
        <w:rPr>
          <w:rFonts w:ascii="仿宋_GB2312" w:eastAsia="仿宋_GB2312"/>
          <w:color w:val="000000"/>
          <w:sz w:val="32"/>
          <w:szCs w:val="32"/>
        </w:rPr>
        <w:t>111</w:t>
      </w:r>
      <w:r>
        <w:rPr>
          <w:rFonts w:hint="eastAsia" w:ascii="仿宋_GB2312" w:eastAsia="仿宋_GB2312"/>
          <w:color w:val="000000"/>
          <w:sz w:val="32"/>
          <w:szCs w:val="32"/>
        </w:rPr>
        <w:t>号），制定本规定。</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第二条</w:t>
      </w:r>
      <w:r>
        <w:rPr>
          <w:rFonts w:hint="eastAsia" w:ascii="仿宋_GB2312" w:eastAsia="仿宋_GB2312"/>
          <w:color w:val="000000"/>
          <w:sz w:val="32"/>
          <w:szCs w:val="32"/>
        </w:rPr>
        <w:t>　廊坊市广阳区科学技术局（简称广阳区科学技术局）为市政府工作部门，机构规格正科级，加挂廊坊市广阳区外国专家局牌子。</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w:t>
      </w:r>
      <w:r>
        <w:rPr>
          <w:rFonts w:hint="eastAsia" w:ascii="黑体" w:eastAsia="黑体"/>
          <w:color w:val="000000"/>
          <w:sz w:val="32"/>
          <w:szCs w:val="32"/>
        </w:rPr>
        <w:t>第三条</w:t>
      </w:r>
      <w:r>
        <w:rPr>
          <w:rFonts w:hint="eastAsia" w:ascii="仿宋_GB2312" w:eastAsia="仿宋_GB2312"/>
          <w:color w:val="000000"/>
          <w:sz w:val="32"/>
          <w:szCs w:val="32"/>
        </w:rPr>
        <w:t>　贯彻落实党中央、省委、市委和区委关于科技创新工作的方针政策和决策部署，坚持和加强党对科技创新工作的集中统一领导。主要职责是：</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（一）贯彻落实创新驱动发展战略方针，拟订科技发展、引进国外智力规划和政策并组织实施。</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（四）拟订重大科技创新基地建设规划并监督实施，推动科研条件保障、科技平台建设和科技资源开放共享。拟订基础研究规划、政策并组织实施，组织协调区重大基础研究和应用基础研究。</w:t>
      </w:r>
      <w:r>
        <w:rPr>
          <w:rFonts w:hint="eastAsia" w:ascii="仿宋_GB2312" w:eastAsia="仿宋_GB2312"/>
          <w:bCs/>
          <w:color w:val="000000"/>
          <w:sz w:val="32"/>
          <w:szCs w:val="32"/>
        </w:rPr>
        <w:t>组织推荐省自然科学基金项目</w:t>
      </w:r>
      <w:r>
        <w:rPr>
          <w:rFonts w:hint="eastAsia" w:ascii="仿宋_GB2312" w:eastAsia="仿宋_GB2312"/>
          <w:color w:val="000000"/>
          <w:sz w:val="32"/>
          <w:szCs w:val="32"/>
        </w:rPr>
        <w:t>。</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（五）编制区重大科技项目规划并监督实施，统筹关键共性技术、前沿引领技术、现代工程技术、颠覆性技术研发和创新，牵头组织重大技术攻关和成果应用示范。</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（七）牵头技术转移体系建设，拟订科技成果转移转化和促进产学研结合的相关政策措施并监督实施。指导科技服务业、技术市场和科技中介组织发展。</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（八）统筹区域科技创新体系建设，指导区域创新发展、科技资源合理布局和协同创新能力建设。</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（九）负责科技监督评价体系建设和相关科技评估管理，指导科技评价机制改革，统筹科研诚信建设。组织实施创新调查和科技报告制度，指导全区科技保密工作。</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（十）拟订与域外科技合作和创新能力开放合作的规划、政策和措施，组织开展与域外科技合作交流。指导相关部门和乡镇（街道办事处）对外科技合作交流工作。</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（十二）会同有关部门拟订科技人才队伍建设规划和政策，建立健全科技人才评价和激励机制，组织实施科技人才计划，推动高端科技创新人才队伍建设。</w:t>
      </w:r>
    </w:p>
    <w:p>
      <w:pPr>
        <w:pStyle w:val="8"/>
        <w:spacing w:before="0" w:beforeAutospacing="0" w:after="0" w:afterAutospacing="0" w:line="579" w:lineRule="exact"/>
        <w:jc w:val="both"/>
        <w:rPr>
          <w:rFonts w:ascii="仿宋_GB2312" w:eastAsia="仿宋_GB2312" w:cs="宋体"/>
          <w:color w:val="000000"/>
          <w:kern w:val="0"/>
          <w:sz w:val="32"/>
          <w:szCs w:val="32"/>
        </w:rPr>
      </w:pPr>
      <w:r>
        <w:rPr>
          <w:rFonts w:hint="eastAsia" w:ascii="仿宋_GB2312" w:eastAsia="仿宋_GB2312"/>
          <w:color w:val="000000"/>
          <w:sz w:val="32"/>
          <w:szCs w:val="32"/>
        </w:rPr>
        <w:t>　　（十三）承</w:t>
      </w:r>
      <w:r>
        <w:rPr>
          <w:rFonts w:hint="eastAsia" w:ascii="仿宋_GB2312" w:eastAsia="仿宋_GB2312"/>
          <w:bCs/>
          <w:color w:val="000000"/>
          <w:sz w:val="32"/>
          <w:szCs w:val="32"/>
        </w:rPr>
        <w:t>担</w:t>
      </w:r>
      <w:r>
        <w:rPr>
          <w:rFonts w:hint="eastAsia" w:ascii="仿宋_GB2312" w:eastAsia="仿宋_GB2312"/>
          <w:color w:val="000000"/>
          <w:sz w:val="32"/>
          <w:szCs w:val="32"/>
        </w:rPr>
        <w:t>省科学技术奖、燕赵友谊奖的申报组织工作</w:t>
      </w:r>
      <w:r>
        <w:rPr>
          <w:rFonts w:hint="eastAsia" w:ascii="仿宋_GB2312" w:eastAsia="仿宋_GB2312" w:cs="宋体"/>
          <w:color w:val="000000"/>
          <w:kern w:val="0"/>
          <w:sz w:val="32"/>
          <w:szCs w:val="32"/>
        </w:rPr>
        <w:t>。</w:t>
      </w:r>
    </w:p>
    <w:p>
      <w:pPr>
        <w:pStyle w:val="8"/>
        <w:spacing w:before="0" w:beforeAutospacing="0" w:after="0" w:afterAutospacing="0" w:line="579" w:lineRule="exact"/>
        <w:jc w:val="both"/>
        <w:rPr>
          <w:rFonts w:ascii="仿宋_GB2312" w:eastAsia="仿宋_GB2312"/>
          <w:color w:val="000000"/>
          <w:sz w:val="32"/>
          <w:szCs w:val="32"/>
        </w:rPr>
      </w:pPr>
      <w:r>
        <w:rPr>
          <w:rFonts w:hint="eastAsia" w:ascii="仿宋_GB2312" w:eastAsia="仿宋_GB2312"/>
          <w:color w:val="000000"/>
          <w:sz w:val="32"/>
          <w:szCs w:val="32"/>
        </w:rPr>
        <w:t>　　（十四）完成区委、区政府交办的其他任务。</w:t>
      </w:r>
    </w:p>
    <w:p>
      <w:pPr>
        <w:numPr>
          <w:ilvl w:val="0"/>
          <w:numId w:val="0"/>
        </w:numPr>
        <w:spacing w:line="584" w:lineRule="exact"/>
        <w:rPr>
          <w:rFonts w:hint="default" w:ascii="Times New Roman" w:hAnsi="Times New Roman" w:eastAsia="仿宋_GB2312" w:cs="Times New Roman"/>
          <w:sz w:val="32"/>
          <w:szCs w:val="32"/>
          <w:lang w:val="en-US" w:eastAsia="zh-CN"/>
        </w:rPr>
      </w:pPr>
    </w:p>
    <w:p>
      <w:pPr>
        <w:numPr>
          <w:ilvl w:val="0"/>
          <w:numId w:val="0"/>
        </w:numPr>
        <w:spacing w:line="584" w:lineRule="exact"/>
        <w:rPr>
          <w:rFonts w:hint="default" w:ascii="Times New Roman" w:hAnsi="Times New Roman" w:eastAsia="仿宋_GB2312" w:cs="Times New Roman"/>
          <w:sz w:val="32"/>
          <w:szCs w:val="32"/>
          <w:lang w:val="en-US" w:eastAsia="zh-CN"/>
        </w:rPr>
      </w:pPr>
    </w:p>
    <w:p>
      <w:pPr>
        <w:numPr>
          <w:ilvl w:val="0"/>
          <w:numId w:val="0"/>
        </w:numPr>
        <w:spacing w:line="584" w:lineRule="exact"/>
        <w:rPr>
          <w:rFonts w:hint="default" w:ascii="Times New Roman" w:hAnsi="Times New Roman" w:eastAsia="仿宋_GB2312" w:cs="Times New Roman"/>
          <w:sz w:val="32"/>
          <w:szCs w:val="32"/>
          <w:lang w:val="en-US" w:eastAsia="zh-CN"/>
        </w:rPr>
      </w:pPr>
    </w:p>
    <w:p>
      <w:pPr>
        <w:numPr>
          <w:ilvl w:val="0"/>
          <w:numId w:val="0"/>
        </w:numPr>
        <w:spacing w:line="584" w:lineRule="exact"/>
        <w:rPr>
          <w:rFonts w:hint="default" w:ascii="Times New Roman" w:hAnsi="Times New Roman" w:eastAsia="仿宋_GB2312" w:cs="Times New Roman"/>
          <w:sz w:val="32"/>
          <w:szCs w:val="32"/>
          <w:lang w:val="en-US" w:eastAsia="zh-CN"/>
        </w:rPr>
      </w:pPr>
    </w:p>
    <w:p>
      <w:pPr>
        <w:numPr>
          <w:ilvl w:val="0"/>
          <w:numId w:val="0"/>
        </w:numPr>
        <w:spacing w:line="584" w:lineRule="exact"/>
        <w:rPr>
          <w:rFonts w:hint="default" w:ascii="Times New Roman" w:hAnsi="Times New Roman" w:eastAsia="仿宋_GB2312" w:cs="Times New Roman"/>
          <w:sz w:val="32"/>
          <w:szCs w:val="32"/>
          <w:lang w:val="en-US" w:eastAsia="zh-CN"/>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廊坊市广阳区科学技术局</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行政机关</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正科级</w:t>
            </w:r>
          </w:p>
        </w:tc>
        <w:tc>
          <w:tcPr>
            <w:tcW w:w="2902"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科学技术局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336.96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336.96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科学技术局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366.96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362.96</w:t>
      </w:r>
      <w:r>
        <w:rPr>
          <w:rFonts w:ascii="Times New Roman" w:hAnsi="Times New Roman" w:eastAsia="仿宋_GB2312" w:cs="Times New Roman"/>
          <w:sz w:val="32"/>
          <w:szCs w:val="32"/>
        </w:rPr>
        <w:t>万元，包括人员经费和日常公用经费</w:t>
      </w:r>
      <w:r>
        <w:rPr>
          <w:rFonts w:hint="eastAsia" w:ascii="Times New Roman" w:hAnsi="Times New Roman" w:eastAsia="仿宋_GB2312" w:cs="Times New Roman"/>
          <w:sz w:val="32"/>
          <w:szCs w:val="32"/>
          <w:lang w:val="en-US" w:eastAsia="zh-CN"/>
        </w:rPr>
        <w:t>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区级项目资金支出：科普活动经费4</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lang w:val="en-US" w:eastAsia="zh-CN"/>
        </w:rPr>
        <w:t>0万元</w:t>
      </w:r>
      <w:r>
        <w:rPr>
          <w:rFonts w:hint="eastAsia"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366.96</w:t>
      </w:r>
      <w:r>
        <w:rPr>
          <w:rFonts w:ascii="Times New Roman" w:hAnsi="Times New Roman" w:eastAsia="仿宋_GB2312" w:cs="Times New Roman"/>
          <w:sz w:val="32"/>
          <w:szCs w:val="32"/>
        </w:rPr>
        <w:t>万元，较</w:t>
      </w:r>
      <w:r>
        <w:rPr>
          <w:rFonts w:hint="eastAsia" w:ascii="Times New Roman" w:hAnsi="Times New Roman" w:eastAsia="仿宋_GB2312" w:cs="Times New Roman"/>
          <w:sz w:val="32"/>
          <w:szCs w:val="32"/>
          <w:lang w:val="en-US" w:eastAsia="zh-CN"/>
        </w:rPr>
        <w:t>2020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lang w:val="en-US" w:eastAsia="zh-CN"/>
        </w:rPr>
        <w:t>增加87.74万元，其中基本支出增加12.26万元，主要为人员工资支出；项目支出减少100万元，主要为减少2020年支持市县科技普及省级项目支出。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17.92</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202</w:t>
      </w:r>
      <w:r>
        <w:rPr>
          <w:rFonts w:hint="eastAsia" w:ascii="仿宋_GB2312" w:eastAsia="仿宋_GB2312" w:cs="宋体"/>
          <w:color w:val="000000"/>
          <w:kern w:val="0"/>
          <w:sz w:val="32"/>
          <w:szCs w:val="32"/>
          <w:lang w:val="en-US" w:eastAsia="zh-CN"/>
        </w:rPr>
        <w:t>1</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万元，其中因公出国（境）费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万元；公务用车购置及运维费</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万元（其中：公务用车购置费为</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万元，公务用车运行费为</w:t>
      </w:r>
      <w:r>
        <w:rPr>
          <w:rFonts w:ascii="仿宋_GB2312" w:eastAsia="仿宋_GB2312" w:cs="宋体"/>
          <w:color w:val="000000"/>
          <w:kern w:val="0"/>
          <w:sz w:val="32"/>
          <w:szCs w:val="32"/>
        </w:rPr>
        <w:t>2.19</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；公务接待费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万元。与</w:t>
      </w:r>
      <w:r>
        <w:rPr>
          <w:rFonts w:ascii="仿宋_GB2312" w:eastAsia="仿宋_GB2312" w:cs="宋体"/>
          <w:color w:val="000000"/>
          <w:kern w:val="0"/>
          <w:sz w:val="32"/>
          <w:szCs w:val="32"/>
        </w:rPr>
        <w:t>20</w:t>
      </w:r>
      <w:r>
        <w:rPr>
          <w:rFonts w:hint="eastAsia" w:ascii="仿宋_GB2312" w:eastAsia="仿宋_GB2312" w:cs="宋体"/>
          <w:color w:val="000000"/>
          <w:kern w:val="0"/>
          <w:sz w:val="32"/>
          <w:szCs w:val="32"/>
          <w:lang w:val="en-US" w:eastAsia="zh-CN"/>
        </w:rPr>
        <w:t>20</w:t>
      </w:r>
      <w:r>
        <w:rPr>
          <w:rFonts w:hint="eastAsia" w:ascii="仿宋_GB2312" w:eastAsia="仿宋_GB2312" w:cs="宋体"/>
          <w:color w:val="000000"/>
          <w:kern w:val="0"/>
          <w:sz w:val="32"/>
          <w:szCs w:val="32"/>
        </w:rPr>
        <w:t>年持平，</w:t>
      </w:r>
      <w:r>
        <w:rPr>
          <w:rFonts w:hint="eastAsia" w:ascii="Times New Roman" w:hAnsi="Times New Roman" w:eastAsia="仿宋_GB2312"/>
          <w:color w:val="000000"/>
          <w:sz w:val="32"/>
          <w:szCs w:val="32"/>
        </w:rPr>
        <w:t>无增减变化</w:t>
      </w:r>
      <w:r>
        <w:rPr>
          <w:rFonts w:hint="eastAsia" w:ascii="仿宋_GB2312" w:eastAsia="仿宋_GB2312" w:cs="宋体"/>
          <w:color w:val="000000"/>
          <w:kern w:val="0"/>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560" w:firstLineChars="200"/>
        <w:jc w:val="left"/>
        <w:rPr>
          <w:rFonts w:hint="eastAsia" w:ascii="仿宋_GB2312" w:hAnsi="仿宋_GB2312" w:eastAsia="仿宋_GB2312" w:cs="仿宋_GB2312"/>
          <w:sz w:val="32"/>
          <w:szCs w:val="32"/>
        </w:rPr>
      </w:pPr>
      <w:r>
        <w:rPr>
          <w:rFonts w:ascii="Times New Roman" w:eastAsia="方正仿宋_GBK"/>
          <w:sz w:val="28"/>
        </w:rPr>
        <w:t xml:space="preserve">   </w:t>
      </w:r>
      <w:r>
        <w:rPr>
          <w:rFonts w:hint="eastAsia" w:ascii="仿宋_GB2312" w:hAnsi="仿宋_GB2312" w:eastAsia="仿宋_GB2312" w:cs="仿宋_GB2312"/>
          <w:sz w:val="32"/>
          <w:szCs w:val="32"/>
        </w:rPr>
        <w:t xml:space="preserve">  2021年，区科技局将在区委、区政府的正确领导下，贯彻落实习近平新时代中国特色社会主义思想，深入开展“不忘初心、牢记使命”</w:t>
      </w:r>
      <w:r>
        <w:rPr>
          <w:rFonts w:hint="eastAsia" w:ascii="仿宋_GB2312" w:hAnsi="仿宋_GB2312" w:eastAsia="仿宋_GB2312" w:cs="仿宋_GB2312"/>
          <w:sz w:val="32"/>
          <w:szCs w:val="32"/>
          <w:lang w:eastAsia="zh-CN"/>
        </w:rPr>
        <w:t>主题教育</w:t>
      </w:r>
      <w:r>
        <w:rPr>
          <w:rFonts w:hint="eastAsia" w:ascii="仿宋_GB2312" w:hAnsi="仿宋_GB2312" w:eastAsia="仿宋_GB2312" w:cs="仿宋_GB2312"/>
          <w:sz w:val="32"/>
          <w:szCs w:val="32"/>
        </w:rPr>
        <w:t>，围绕全区中心工作，深化高质量发展，切实做好县域科技创新跃升计划行动，不断优化科技发展环境，提升科技服务水平，为广阳经济社会发展提供强力科技支撑。总体绩效目标如下：</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1、高新技术企业申报、认定工作。全区高新技术企业总量达到43家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2、科技型中小企业申报、认定工作。全区科技型中小企业总量达到479家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3、企业技术研发中心申报、认定工作。全区市级企业技术研发中心总量达到31家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4、市级众创空间申报、认定工作。全区市级众创空间总量达到9家，国家级众创空间总量达到2家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5、市级科技企业孵化器申报认定工作。全区市级科技企业孵化器达到总量4家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6、技术交易总额。全区技术交易总额达到20亿元</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7、院士工作站申报认定工作。全区院士工作站总量达到7家</w:t>
      </w:r>
    </w:p>
    <w:p>
      <w:pPr>
        <w:spacing w:line="500" w:lineRule="exact"/>
        <w:ind w:left="0" w:leftChars="0" w:firstLine="419" w:firstLineChars="131"/>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8、支持省级双创示范基地建设协助市科技局做好省级“双创”示范基地建设。</w:t>
      </w:r>
    </w:p>
    <w:p>
      <w:pPr>
        <w:spacing w:line="500" w:lineRule="exact"/>
        <w:ind w:firstLine="640" w:firstLineChars="200"/>
        <w:jc w:val="left"/>
        <w:rPr>
          <w:rFonts w:hint="eastAsia" w:ascii="仿宋_GB2312" w:hAnsi="仿宋_GB2312" w:eastAsia="仿宋_GB2312" w:cs="仿宋_GB2312"/>
          <w:sz w:val="32"/>
          <w:szCs w:val="32"/>
        </w:rPr>
      </w:pPr>
    </w:p>
    <w:p>
      <w:pPr>
        <w:numPr>
          <w:ilvl w:val="0"/>
          <w:numId w:val="1"/>
        </w:numPr>
        <w:spacing w:line="584" w:lineRule="exact"/>
        <w:ind w:firstLine="643" w:firstLineChars="200"/>
        <w:jc w:val="left"/>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rPr>
        <w:t>分项绩效目标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一、产业结构调整与升级技术研究</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工作要求：研发一批产业发展急需的新技术、新工艺、新产品，高新技术应用示范及成果产业化能力不断增强，科技支撑高新技术产业倍增、改造提升传统产业能力增强。</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1、申报国家、省、市科学计划项目数量。申报研究开发及产业化的产品、软件、系统、专用设备等项目数量。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2、承担项目企业销售收入平均增长率。企业通过实施科技项目所增加的年销售收入与原销售收入的比例。</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3、科技技术研发成果。项目承担单位研发科技技术成果。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二、支持科技型中小企业技术创新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发挥财政资金引导作用，推动科技型中小企业技术创新能力不断增强；发挥科技基金作用，逐步建立有利于促进企业自主创新的多元化、多层次、多渠道科技投融资体系。</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1、科技投入直接杠杆放大倍数。区本级科技支持资金投入放大倍数。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2、完成科技型中小企业申报认定任务。鼓励企业申报科技型中小企业。</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3、科技型中小企业增量。科技型中小企业认定数量。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三、科技创新平台建设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科技创新平台设备、人才等科研条件进一步改善，各类科技资源配置更加合理，助推科技创新能力不断增强。</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1、科研成果数量。加强科技创新取得科研成果的数量。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2、转移转化科技成果数量。向外单位转移、转让的科技成果及单位内部转化应用的科技成果数量。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3、引进和培养高层次人才数量。引进的具有高级职称、市级以上称号等人才数量及培养的研究生等高水平人才数量。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四、科技创业平台（基地）建设</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全区科技中介机构、创新创业基地等服务能力得到提升，科技特派员队伍不断壮大。</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1、科技企业孵化器孵化企业数量。区级以上科技企业孵化器中在孵的创业企业数量。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2、区级农业科技园区示范应用的新技术。示范应用农业新技术、新品种的数量。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3、高新区主要经济指标年增长率。此项任务未涉及区科技局工作，区科技局将协助做好科技政策宣传工作。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4、科技特派员总数。市、区选派科技特派员人数。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五、支持科技型中小企业技术创新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区科技基础条件平台体系不断完善，科技资源面向社会开放共享程度提高；创新企业培育和创新方法应用推广取得成效；服务政府决策能力增强，科技合作交流机制健全，科技信息服务能力不断增强。</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1、创新型企业研发费用占主营业务收入比率。企业当年投入的研究开发费用÷当年的主营业务收入*100%。</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2、形成研究报告数量。通过开展科学课题研究，形成对所研究问题的对策和建议的研究数量。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设完善科技资源共享服务网络化、社会化平台数量。建设完善大型科学仪器、自然科技资源、科技文献等科技基础条件平台，以及在装备制造、生物技术、海洋科技等领域建设信息化、数字化服务平台的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六、科学技术奖励</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营造崇尚科学、尊重知识、激励创新创业的社会文化，贯彻落实国家、省、市科技政策，政府科学技术奖励的导向和激励作用不断增强。</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2、贯彻落实情况。在参与评奖的全区机关、企事业单位选取各类科技人员100人进行问卷调查，计算对奖励工作的满意率。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3、奖励的权威性、公信力和满意率抽样调查情况。在参与评奖的全区机关、企事业单位选取各类科技人员100人进行问卷调查，计算对奖励工作的满意率。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七、知识产权管理（该项业务工作已从科技局划转）</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助专利申请、授权,推进专利质押融资，规范知识产权评估；引导企业制定专利战略，规范企业知识产权管理,培育知识产权竞争优势。健全专利奖励机制，促进专利转化。改善专利行政执法条件，依法及时调处专利纠纷案件，查处假冒专利行为，规范专业市场知识产权保护，提供知识产权维权援助与举报投诉服务，组织协调县级知识保护产权工作。</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1、资助专利申请、授权,推进专利质押融资，规范知识产权评估；引导企业制定专利战略，规范企业知识产权管理,培育知识产权竞争优势。健全专利奖励机制，促进专利转化。</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1、专利宣传及普及工作。开展知识产权宣传工作次数。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2、专利申请及授权量。知识产权专利申请及授权数量。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3、知识产权保护规范化专业市场工作。培育知识产权保护规范化专业市场（有知识产权保护机构、管理办法、工作人员，建立市场准入、内部检查、纠纷处理等制度）的数量。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八、社会防御管理、宣传和地震应急预案与演练（该项业务工作已从科技局划转）</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地震安全农居、中小学校舍安全工程建设。组织全市群测群防和“三网一员”网络建设。参与地震灾害保险、灾区恢复重建规划制定等工作。对市、县地震监测台网（站）和群测群防工作实行行业管理；组织开展防震减灾宣传。开展市级地震应急预案的制定、修订以及宣传贯彻工作。指导各级各类地震应急预案管理。开展应急准备工作检查，指导应急演练，培训应急人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工作任务及绩效目标：</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1、城乡地震安全民居建设宏观观测点数量。各级各类地震宏观观测点累计建设数量。</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2、防震减灾知识宣传教育普及次数。开展防震减灾知识宣传教育的次数。</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3、地震应急培训和演练次数。年度统计完成应急培训和演练次数情况。</w:t>
      </w:r>
    </w:p>
    <w:p>
      <w:pPr>
        <w:numPr>
          <w:ilvl w:val="0"/>
          <w:numId w:val="0"/>
        </w:numPr>
        <w:spacing w:line="584" w:lineRule="exact"/>
        <w:ind w:leftChars="200"/>
        <w:jc w:val="left"/>
        <w:rPr>
          <w:rFonts w:hint="eastAsia" w:ascii="Times New Roman" w:hAnsi="Times New Roman" w:eastAsia="楷体_GB2312" w:cs="Times New Roman"/>
          <w:b/>
          <w:sz w:val="32"/>
          <w:szCs w:val="32"/>
        </w:rPr>
      </w:pPr>
      <w:r>
        <w:rPr>
          <w:rFonts w:hint="eastAsia" w:ascii="仿宋_GB2312" w:hAnsi="仿宋_GB2312" w:eastAsia="仿宋_GB2312" w:cs="仿宋_GB2312"/>
          <w:sz w:val="32"/>
          <w:szCs w:val="32"/>
        </w:rPr>
        <w:t>4、各级各类预案修订完成情况。完成修订的预案占需要修订预</w:t>
      </w:r>
      <w:r>
        <w:rPr>
          <w:rFonts w:hint="eastAsia" w:ascii="仿宋_GB2312" w:hAnsi="仿宋_GB2312" w:eastAsia="仿宋_GB2312" w:cs="仿宋_GB2312"/>
          <w:sz w:val="32"/>
          <w:szCs w:val="32"/>
          <w:lang w:val="en-US" w:eastAsia="zh-CN"/>
        </w:rPr>
        <w:t xml:space="preserve"> </w:t>
      </w:r>
      <w:r>
        <w:rPr>
          <w:rFonts w:hint="eastAsia" w:ascii="Times New Roman" w:eastAsia="方正仿宋_GBK"/>
          <w:sz w:val="28"/>
          <w:lang w:val="en-US" w:eastAsia="zh-CN"/>
        </w:rPr>
        <w:t xml:space="preserve">    </w:t>
      </w:r>
    </w:p>
    <w:p>
      <w:pPr>
        <w:numPr>
          <w:ilvl w:val="0"/>
          <w:numId w:val="0"/>
        </w:numPr>
        <w:spacing w:line="584" w:lineRule="exact"/>
        <w:ind w:leftChars="200"/>
        <w:jc w:val="left"/>
        <w:rPr>
          <w:rFonts w:hint="eastAsia"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三</w:t>
      </w: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rPr>
        <w:t>工作保障措施</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一、建立工作日志制度。要注重工作积累，详细记录每天工作内容和领导交办的临时性工作任务进展情况、遇到的问题和解决问题的思路、方法，做到日事日清，提高工作技能和工作执行力。</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二、建立周调度制度。每周一召开领导班子成员碰头会，由局长主持，听取分管领导对负责股室上一周工作进展情况的汇报，协调解决台账所列任务进展中遇到的困难和问题。</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三、建立月汇报制度。每月中旬，由主管领导按照台账所列任务，听取分管股室的工作汇报，逐项掌握进度，侧重发现问题、分析问题、研究问题、解决问题，共同研究改进工作的方法和措施。</w:t>
      </w:r>
    </w:p>
    <w:p>
      <w:pPr>
        <w:spacing w:line="5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spacing w:line="500" w:lineRule="exact"/>
        <w:ind w:firstLine="640" w:firstLineChars="200"/>
        <w:jc w:val="left"/>
        <w:rPr>
          <w:rFonts w:ascii="Times New Roman" w:eastAsia="方正仿宋_GBK"/>
          <w:sz w:val="28"/>
        </w:rPr>
      </w:pPr>
      <w:r>
        <w:rPr>
          <w:rFonts w:hint="eastAsia" w:ascii="仿宋_GB2312" w:hAnsi="仿宋_GB2312" w:eastAsia="仿宋_GB2312" w:cs="仿宋_GB2312"/>
          <w:sz w:val="32"/>
          <w:szCs w:val="32"/>
        </w:rPr>
        <w:t>五、建立季度报制度。办公室将各股室每月台账完成情况，认真汇总，按照股室性质，既全面梳理，又突出重点，特别是着重分析收入完成情况，支出进度、保障措施的落实等按季度形成专题督导报告，在全局通报。</w:t>
      </w:r>
    </w:p>
    <w:p>
      <w:pPr>
        <w:jc w:val="center"/>
        <w:rPr>
          <w:rFonts w:ascii="Times New Roman" w:eastAsia="方正仿宋_GBK"/>
          <w:sz w:val="28"/>
        </w:rPr>
        <w:sectPr>
          <w:footerReference r:id="rId3" w:type="default"/>
          <w:pgSz w:w="16839" w:h="11907" w:orient="landscape"/>
          <w:pgMar w:top="1304" w:right="1984" w:bottom="1304" w:left="1134" w:header="851" w:footer="992" w:gutter="0"/>
          <w:pgNumType w:start="1"/>
          <w:cols w:space="425" w:num="1"/>
          <w:docGrid w:type="lines" w:linePitch="312" w:charSpace="0"/>
        </w:sectPr>
      </w:pPr>
    </w:p>
    <w:p>
      <w:pPr>
        <w:numPr>
          <w:ilvl w:val="0"/>
          <w:numId w:val="0"/>
        </w:numPr>
        <w:spacing w:line="584" w:lineRule="exact"/>
        <w:ind w:leftChars="200"/>
        <w:jc w:val="left"/>
        <w:rPr>
          <w:rFonts w:hint="eastAsia" w:ascii="Times New Roman" w:hAnsi="Times New Roman" w:eastAsia="楷体_GB2312" w:cs="Times New Roman"/>
          <w:b/>
          <w:sz w:val="32"/>
          <w:szCs w:val="32"/>
          <w:lang w:val="en-US" w:eastAsia="zh-CN"/>
        </w:rPr>
      </w:pPr>
      <w:r>
        <w:rPr>
          <w:rFonts w:hint="eastAsia" w:ascii="Times New Roman" w:hAnsi="Times New Roman" w:eastAsia="楷体_GB2312" w:cs="Times New Roman"/>
          <w:b/>
          <w:sz w:val="32"/>
          <w:szCs w:val="32"/>
          <w:lang w:val="en-US" w:eastAsia="zh-CN"/>
        </w:rPr>
        <w:t>（四）部门整体支出绩效指标</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755"/>
        <w:gridCol w:w="2505"/>
        <w:gridCol w:w="4632"/>
        <w:gridCol w:w="1533"/>
        <w:gridCol w:w="480"/>
        <w:gridCol w:w="705"/>
        <w:gridCol w:w="52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638" w:type="dxa"/>
            <w:vMerge w:val="restart"/>
            <w:vAlign w:val="center"/>
          </w:tcPr>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一级指标</w:t>
            </w:r>
          </w:p>
        </w:tc>
        <w:tc>
          <w:tcPr>
            <w:tcW w:w="1755" w:type="dxa"/>
            <w:vMerge w:val="restart"/>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二级</w:t>
            </w:r>
          </w:p>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指标</w:t>
            </w:r>
          </w:p>
        </w:tc>
        <w:tc>
          <w:tcPr>
            <w:tcW w:w="2505" w:type="dxa"/>
            <w:vMerge w:val="restart"/>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三级</w:t>
            </w:r>
          </w:p>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指标</w:t>
            </w:r>
          </w:p>
        </w:tc>
        <w:tc>
          <w:tcPr>
            <w:tcW w:w="4632" w:type="dxa"/>
            <w:vMerge w:val="restart"/>
            <w:vAlign w:val="center"/>
          </w:tcPr>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评（扣）分标准</w:t>
            </w:r>
          </w:p>
        </w:tc>
        <w:tc>
          <w:tcPr>
            <w:tcW w:w="1533" w:type="dxa"/>
            <w:vMerge w:val="restart"/>
            <w:vAlign w:val="center"/>
          </w:tcPr>
          <w:p>
            <w:pPr>
              <w:widowControl/>
              <w:adjustRightInd w:val="0"/>
              <w:snapToGrid w:val="0"/>
              <w:jc w:val="center"/>
              <w:rPr>
                <w:rFonts w:hint="eastAsia" w:ascii="宋体" w:hAnsi="宋体" w:eastAsia="宋体" w:cs="宋体"/>
                <w:b/>
                <w:sz w:val="21"/>
                <w:szCs w:val="21"/>
              </w:rPr>
            </w:pPr>
            <w:r>
              <w:rPr>
                <w:rFonts w:hint="eastAsia" w:ascii="宋体" w:hAnsi="宋体" w:eastAsia="宋体" w:cs="宋体"/>
                <w:b/>
                <w:sz w:val="21"/>
                <w:szCs w:val="21"/>
              </w:rPr>
              <w:t>绩效指标</w:t>
            </w:r>
          </w:p>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描述</w:t>
            </w:r>
          </w:p>
        </w:tc>
        <w:tc>
          <w:tcPr>
            <w:tcW w:w="1710" w:type="dxa"/>
            <w:gridSpan w:val="3"/>
            <w:vAlign w:val="center"/>
          </w:tcPr>
          <w:p>
            <w:pPr>
              <w:widowControl/>
              <w:adjustRightInd w:val="0"/>
              <w:snapToGrid w:val="0"/>
              <w:jc w:val="center"/>
              <w:rPr>
                <w:rFonts w:hint="eastAsia" w:ascii="宋体" w:hAnsi="宋体" w:eastAsia="宋体" w:cs="宋体"/>
                <w:b/>
                <w:kern w:val="2"/>
                <w:sz w:val="21"/>
                <w:szCs w:val="21"/>
                <w:lang w:val="en-US" w:eastAsia="zh-CN" w:bidi="ar-SA"/>
              </w:rPr>
            </w:pPr>
            <w:r>
              <w:rPr>
                <w:rFonts w:hint="eastAsia" w:ascii="宋体" w:hAnsi="宋体" w:eastAsia="宋体" w:cs="宋体"/>
                <w:b/>
                <w:sz w:val="21"/>
                <w:szCs w:val="21"/>
              </w:rPr>
              <w:t>指标值</w:t>
            </w:r>
          </w:p>
        </w:tc>
        <w:tc>
          <w:tcPr>
            <w:tcW w:w="2842" w:type="dxa"/>
            <w:vMerge w:val="restart"/>
          </w:tcPr>
          <w:p>
            <w:pPr>
              <w:widowControl w:val="0"/>
              <w:numPr>
                <w:ilvl w:val="0"/>
                <w:numId w:val="0"/>
              </w:numPr>
              <w:spacing w:line="584" w:lineRule="exact"/>
              <w:jc w:val="left"/>
              <w:rPr>
                <w:rFonts w:hint="eastAsia" w:ascii="宋体" w:hAnsi="宋体" w:eastAsia="宋体" w:cs="宋体"/>
                <w:b/>
                <w:sz w:val="21"/>
                <w:szCs w:val="21"/>
                <w:vertAlign w:val="baseline"/>
                <w:lang w:val="en-US" w:eastAsia="zh-CN"/>
              </w:rPr>
            </w:pPr>
            <w:r>
              <w:rPr>
                <w:rFonts w:hint="eastAsia" w:ascii="宋体" w:hAnsi="宋体" w:eastAsia="宋体" w:cs="宋体"/>
                <w:b/>
                <w:sz w:val="21"/>
                <w:szCs w:val="21"/>
                <w:lang w:val="en-US" w:eastAsia="zh-CN"/>
              </w:rPr>
              <w:t>指标值</w:t>
            </w:r>
            <w:r>
              <w:rPr>
                <w:rFonts w:hint="eastAsia" w:ascii="宋体" w:hAnsi="宋体" w:eastAsia="宋体" w:cs="宋体"/>
                <w:b/>
                <w:sz w:val="21"/>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38" w:type="dxa"/>
            <w:vMerge w:val="continue"/>
            <w:tcBorders>
              <w:bottom w:val="single" w:color="auto" w:sz="4" w:space="0"/>
            </w:tcBorders>
            <w:vAlign w:val="center"/>
          </w:tcPr>
          <w:p>
            <w:pPr>
              <w:widowControl/>
              <w:adjustRightInd w:val="0"/>
              <w:snapToGrid w:val="0"/>
              <w:jc w:val="center"/>
              <w:rPr>
                <w:rFonts w:ascii="方正书宋_GBK" w:eastAsia="方正书宋_GBK"/>
                <w:b/>
              </w:rPr>
            </w:pPr>
          </w:p>
        </w:tc>
        <w:tc>
          <w:tcPr>
            <w:tcW w:w="1755" w:type="dxa"/>
            <w:vMerge w:val="continue"/>
            <w:tcBorders>
              <w:bottom w:val="single" w:color="auto" w:sz="4" w:space="0"/>
            </w:tcBorders>
            <w:vAlign w:val="center"/>
          </w:tcPr>
          <w:p>
            <w:pPr>
              <w:widowControl/>
              <w:adjustRightInd w:val="0"/>
              <w:snapToGrid w:val="0"/>
              <w:jc w:val="center"/>
              <w:rPr>
                <w:rFonts w:ascii="方正书宋_GBK" w:eastAsia="方正书宋_GBK"/>
                <w:b/>
              </w:rPr>
            </w:pPr>
          </w:p>
        </w:tc>
        <w:tc>
          <w:tcPr>
            <w:tcW w:w="2505" w:type="dxa"/>
            <w:vMerge w:val="continue"/>
            <w:tcBorders>
              <w:bottom w:val="single" w:color="auto" w:sz="4" w:space="0"/>
            </w:tcBorders>
            <w:vAlign w:val="center"/>
          </w:tcPr>
          <w:p>
            <w:pPr>
              <w:widowControl/>
              <w:adjustRightInd w:val="0"/>
              <w:snapToGrid w:val="0"/>
              <w:jc w:val="center"/>
              <w:rPr>
                <w:rFonts w:ascii="方正书宋_GBK" w:eastAsia="方正书宋_GBK"/>
                <w:b/>
              </w:rPr>
            </w:pPr>
          </w:p>
        </w:tc>
        <w:tc>
          <w:tcPr>
            <w:tcW w:w="4632" w:type="dxa"/>
            <w:vMerge w:val="continue"/>
            <w:tcBorders>
              <w:bottom w:val="single" w:color="auto" w:sz="4" w:space="0"/>
            </w:tcBorders>
            <w:vAlign w:val="center"/>
          </w:tcPr>
          <w:p>
            <w:pPr>
              <w:widowControl/>
              <w:adjustRightInd w:val="0"/>
              <w:snapToGrid w:val="0"/>
              <w:jc w:val="center"/>
              <w:rPr>
                <w:rFonts w:ascii="方正书宋_GBK" w:eastAsia="方正书宋_GBK"/>
                <w:b/>
              </w:rPr>
            </w:pPr>
          </w:p>
        </w:tc>
        <w:tc>
          <w:tcPr>
            <w:tcW w:w="1533" w:type="dxa"/>
            <w:vMerge w:val="continue"/>
            <w:tcBorders>
              <w:bottom w:val="single" w:color="auto" w:sz="4" w:space="0"/>
            </w:tcBorders>
            <w:vAlign w:val="center"/>
          </w:tcPr>
          <w:p>
            <w:pPr>
              <w:widowControl/>
              <w:adjustRightInd w:val="0"/>
              <w:snapToGrid w:val="0"/>
              <w:jc w:val="center"/>
              <w:rPr>
                <w:rFonts w:ascii="方正书宋_GBK" w:eastAsia="方正书宋_GBK"/>
                <w:b/>
              </w:rPr>
            </w:pPr>
          </w:p>
        </w:tc>
        <w:tc>
          <w:tcPr>
            <w:tcW w:w="480" w:type="dxa"/>
            <w:tcBorders>
              <w:bottom w:val="single" w:color="auto" w:sz="4" w:space="0"/>
            </w:tcBorders>
            <w:vAlign w:val="center"/>
          </w:tcPr>
          <w:p>
            <w:pPr>
              <w:widowControl/>
              <w:adjustRightInd w:val="0"/>
              <w:snapToGrid w:val="0"/>
              <w:jc w:val="center"/>
              <w:rPr>
                <w:rFonts w:hint="default" w:ascii="方正书宋_GBK" w:eastAsia="方正书宋_GBK" w:hAnsiTheme="minorHAnsi" w:cstheme="minorBidi"/>
                <w:b/>
                <w:kern w:val="2"/>
                <w:sz w:val="21"/>
                <w:szCs w:val="22"/>
                <w:lang w:val="en-US" w:eastAsia="zh-CN" w:bidi="ar-SA"/>
              </w:rPr>
            </w:pPr>
            <w:r>
              <w:rPr>
                <w:rFonts w:ascii="方正书宋_GBK" w:eastAsia="方正书宋_GBK"/>
                <w:b/>
              </w:rPr>
              <w:t>符号</w:t>
            </w:r>
          </w:p>
        </w:tc>
        <w:tc>
          <w:tcPr>
            <w:tcW w:w="705" w:type="dxa"/>
            <w:tcBorders>
              <w:bottom w:val="single" w:color="auto" w:sz="4" w:space="0"/>
            </w:tcBorders>
            <w:vAlign w:val="center"/>
          </w:tcPr>
          <w:p>
            <w:pPr>
              <w:widowControl/>
              <w:adjustRightInd w:val="0"/>
              <w:snapToGrid w:val="0"/>
              <w:jc w:val="center"/>
              <w:rPr>
                <w:rFonts w:hint="default" w:ascii="方正书宋_GBK" w:eastAsia="方正书宋_GBK" w:hAnsiTheme="minorHAnsi" w:cstheme="minorBidi"/>
                <w:b/>
                <w:kern w:val="2"/>
                <w:sz w:val="21"/>
                <w:szCs w:val="22"/>
                <w:lang w:val="en-US" w:eastAsia="zh-CN" w:bidi="ar-SA"/>
              </w:rPr>
            </w:pPr>
            <w:r>
              <w:rPr>
                <w:rFonts w:ascii="方正书宋_GBK" w:eastAsia="方正书宋_GBK"/>
                <w:b/>
              </w:rPr>
              <w:t>值</w:t>
            </w:r>
          </w:p>
        </w:tc>
        <w:tc>
          <w:tcPr>
            <w:tcW w:w="525" w:type="dxa"/>
            <w:tcBorders>
              <w:bottom w:val="single" w:color="auto" w:sz="4" w:space="0"/>
            </w:tcBorders>
            <w:vAlign w:val="center"/>
          </w:tcPr>
          <w:p>
            <w:pPr>
              <w:widowControl/>
              <w:adjustRightInd w:val="0"/>
              <w:snapToGrid w:val="0"/>
              <w:jc w:val="center"/>
              <w:rPr>
                <w:rFonts w:hint="default" w:ascii="方正书宋_GBK" w:eastAsia="方正书宋_GBK" w:hAnsiTheme="minorHAnsi" w:cstheme="minorBidi"/>
                <w:b/>
                <w:kern w:val="2"/>
                <w:sz w:val="21"/>
                <w:szCs w:val="22"/>
                <w:lang w:val="en-US" w:eastAsia="zh-CN" w:bidi="ar-SA"/>
              </w:rPr>
            </w:pPr>
            <w:r>
              <w:rPr>
                <w:rFonts w:ascii="方正书宋_GBK" w:eastAsia="方正书宋_GBK"/>
                <w:b/>
              </w:rPr>
              <w:t>单位</w:t>
            </w:r>
          </w:p>
        </w:tc>
        <w:tc>
          <w:tcPr>
            <w:tcW w:w="2842" w:type="dxa"/>
            <w:vMerge w:val="continue"/>
            <w:tcBorders>
              <w:bottom w:val="single" w:color="auto" w:sz="4" w:space="0"/>
            </w:tcBorders>
          </w:tcPr>
          <w:p>
            <w:pPr>
              <w:widowControl w:val="0"/>
              <w:numPr>
                <w:ilvl w:val="0"/>
                <w:numId w:val="0"/>
              </w:numPr>
              <w:spacing w:line="584" w:lineRule="exact"/>
              <w:jc w:val="left"/>
              <w:rPr>
                <w:rFonts w:hint="default" w:ascii="Times New Roman" w:hAnsi="Times New Roman" w:eastAsia="楷体_GB2312" w:cs="Times New Roman"/>
                <w:b/>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638" w:type="dxa"/>
            <w:vMerge w:val="restart"/>
            <w:tcBorders>
              <w:top w:val="single" w:color="auto" w:sz="4" w:space="0"/>
              <w:left w:val="single" w:color="auto" w:sz="4" w:space="0"/>
              <w:bottom w:val="single" w:color="auto" w:sz="4" w:space="0"/>
            </w:tcBorders>
          </w:tcPr>
          <w:p>
            <w:pPr>
              <w:bidi w:val="0"/>
              <w:jc w:val="left"/>
              <w:rPr>
                <w:rFonts w:hint="eastAsia" w:ascii="宋体" w:hAnsi="宋体" w:eastAsia="宋体" w:cs="宋体"/>
                <w:lang w:val="en-US" w:eastAsia="zh-CN"/>
              </w:rPr>
            </w:pPr>
          </w:p>
          <w:p>
            <w:pPr>
              <w:bidi w:val="0"/>
              <w:rPr>
                <w:rFonts w:hint="eastAsia" w:ascii="宋体" w:hAnsi="宋体" w:eastAsia="宋体" w:cs="宋体"/>
                <w:kern w:val="2"/>
                <w:sz w:val="21"/>
                <w:szCs w:val="22"/>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jc w:val="left"/>
              <w:rPr>
                <w:rFonts w:hint="eastAsia" w:ascii="宋体" w:hAnsi="宋体" w:eastAsia="宋体" w:cs="宋体"/>
                <w:lang w:val="en-US" w:eastAsia="zh-CN"/>
              </w:rPr>
            </w:pPr>
            <w:r>
              <w:rPr>
                <w:rFonts w:hint="eastAsia" w:ascii="宋体" w:hAnsi="宋体" w:eastAsia="宋体" w:cs="宋体"/>
                <w:lang w:val="en-US" w:eastAsia="zh-CN"/>
              </w:rPr>
              <w:t>部门</w:t>
            </w:r>
          </w:p>
          <w:p>
            <w:pPr>
              <w:bidi w:val="0"/>
              <w:jc w:val="left"/>
              <w:rPr>
                <w:rFonts w:hint="eastAsia" w:ascii="宋体" w:hAnsi="宋体" w:eastAsia="宋体" w:cs="宋体"/>
                <w:lang w:val="en-US" w:eastAsia="zh-CN"/>
              </w:rPr>
            </w:pPr>
            <w:r>
              <w:rPr>
                <w:rFonts w:hint="eastAsia" w:ascii="宋体" w:hAnsi="宋体" w:eastAsia="宋体" w:cs="宋体"/>
                <w:lang w:val="en-US" w:eastAsia="zh-CN"/>
              </w:rPr>
              <w:t>产出</w:t>
            </w:r>
          </w:p>
        </w:tc>
        <w:tc>
          <w:tcPr>
            <w:tcW w:w="175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w:t>
            </w:r>
          </w:p>
        </w:tc>
        <w:tc>
          <w:tcPr>
            <w:tcW w:w="2505" w:type="dxa"/>
            <w:tcBorders>
              <w:top w:val="single" w:color="auto" w:sz="4" w:space="0"/>
              <w:bottom w:val="single" w:color="auto" w:sz="4" w:space="0"/>
            </w:tcBorders>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科技宣传入企服务次数</w:t>
            </w:r>
          </w:p>
        </w:tc>
        <w:tc>
          <w:tcPr>
            <w:tcW w:w="4632" w:type="dxa"/>
            <w:tcBorders>
              <w:top w:val="single" w:color="auto" w:sz="4" w:space="0"/>
              <w:bottom w:val="single" w:color="auto" w:sz="4" w:space="0"/>
            </w:tcBorders>
          </w:tcPr>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完成指标值，满分；完成指标设定值80%，得分80%，完成指标设定值80%以下，不得分。</w:t>
            </w:r>
          </w:p>
        </w:tc>
        <w:tc>
          <w:tcPr>
            <w:tcW w:w="1533" w:type="dxa"/>
            <w:tcBorders>
              <w:top w:val="single" w:color="auto" w:sz="4" w:space="0"/>
              <w:bottom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对接活动次数</w:t>
            </w:r>
          </w:p>
        </w:tc>
        <w:tc>
          <w:tcPr>
            <w:tcW w:w="480" w:type="dxa"/>
            <w:tcBorders>
              <w:top w:val="single" w:color="auto" w:sz="4" w:space="0"/>
              <w:bottom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705" w:type="dxa"/>
            <w:tcBorders>
              <w:top w:val="single" w:color="auto" w:sz="4" w:space="0"/>
              <w:bottom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w:t>
            </w:r>
          </w:p>
        </w:tc>
        <w:tc>
          <w:tcPr>
            <w:tcW w:w="525" w:type="dxa"/>
            <w:tcBorders>
              <w:top w:val="single" w:color="auto" w:sz="4" w:space="0"/>
              <w:bottom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次</w:t>
            </w:r>
          </w:p>
        </w:tc>
        <w:tc>
          <w:tcPr>
            <w:tcW w:w="2842" w:type="dxa"/>
            <w:tcBorders>
              <w:top w:val="single" w:color="auto" w:sz="4" w:space="0"/>
              <w:bottom w:val="single" w:color="auto" w:sz="4" w:space="0"/>
              <w:right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638" w:type="dxa"/>
            <w:vMerge w:val="continue"/>
            <w:tcBorders>
              <w:top w:val="single" w:color="auto" w:sz="4" w:space="0"/>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tcBorders>
              <w:top w:val="single" w:color="auto" w:sz="4" w:space="0"/>
            </w:tcBorders>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w:t>
            </w:r>
          </w:p>
        </w:tc>
        <w:tc>
          <w:tcPr>
            <w:tcW w:w="2505" w:type="dxa"/>
            <w:tcBorders>
              <w:top w:val="single" w:color="auto" w:sz="4" w:space="0"/>
            </w:tcBorders>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科技宣传发放材料数量</w:t>
            </w:r>
          </w:p>
        </w:tc>
        <w:tc>
          <w:tcPr>
            <w:tcW w:w="4632" w:type="dxa"/>
            <w:tcBorders>
              <w:top w:val="single" w:color="auto" w:sz="4" w:space="0"/>
            </w:tcBorders>
          </w:tcPr>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完成指标值，满分；完成指标设定值80%，得分80%，完成指标设定值80%以下，不得分。</w:t>
            </w:r>
          </w:p>
        </w:tc>
        <w:tc>
          <w:tcPr>
            <w:tcW w:w="1533" w:type="dxa"/>
            <w:tcBorders>
              <w:top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科技创新科普宣传发放数量</w:t>
            </w:r>
          </w:p>
        </w:tc>
        <w:tc>
          <w:tcPr>
            <w:tcW w:w="480" w:type="dxa"/>
            <w:tcBorders>
              <w:top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705" w:type="dxa"/>
            <w:tcBorders>
              <w:top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1000</w:t>
            </w:r>
          </w:p>
        </w:tc>
        <w:tc>
          <w:tcPr>
            <w:tcW w:w="525" w:type="dxa"/>
            <w:tcBorders>
              <w:top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份</w:t>
            </w:r>
          </w:p>
        </w:tc>
        <w:tc>
          <w:tcPr>
            <w:tcW w:w="2842" w:type="dxa"/>
            <w:tcBorders>
              <w:top w:val="single" w:color="auto" w:sz="4" w:space="0"/>
            </w:tcBorders>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38" w:type="dxa"/>
            <w:vMerge w:val="continue"/>
            <w:tcBorders>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数量</w:t>
            </w:r>
          </w:p>
        </w:tc>
        <w:tc>
          <w:tcPr>
            <w:tcW w:w="2505" w:type="dxa"/>
            <w:vAlign w:val="center"/>
          </w:tcPr>
          <w:p>
            <w:pPr>
              <w:spacing w:line="300" w:lineRule="exact"/>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科技宣传培训人次</w:t>
            </w:r>
          </w:p>
        </w:tc>
        <w:tc>
          <w:tcPr>
            <w:tcW w:w="4632" w:type="dxa"/>
          </w:tcPr>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完成指标值，满分；完成指标设定值80%，得分80%，完成指标设定值80%以下，不得分。</w:t>
            </w:r>
          </w:p>
        </w:tc>
        <w:tc>
          <w:tcPr>
            <w:tcW w:w="1533"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参加科技宣传培训人次数量</w:t>
            </w:r>
          </w:p>
        </w:tc>
        <w:tc>
          <w:tcPr>
            <w:tcW w:w="480"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70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400</w:t>
            </w:r>
          </w:p>
        </w:tc>
        <w:tc>
          <w:tcPr>
            <w:tcW w:w="52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次</w:t>
            </w:r>
          </w:p>
        </w:tc>
        <w:tc>
          <w:tcPr>
            <w:tcW w:w="2842"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Borders>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top"/>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p>
          <w:p>
            <w:pPr>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质量</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审核通过对象创新券发放覆盖率</w:t>
            </w:r>
          </w:p>
        </w:tc>
        <w:tc>
          <w:tcPr>
            <w:tcW w:w="463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完成指标值，满分；完成指标设定值80%，得分80%，完成指标设定值80%以下，不得分。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考察审核通过对象创新券发放覆盖情况</w:t>
            </w:r>
          </w:p>
        </w:tc>
        <w:tc>
          <w:tcPr>
            <w:tcW w:w="480"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w:t>
            </w:r>
          </w:p>
        </w:tc>
        <w:tc>
          <w:tcPr>
            <w:tcW w:w="7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100</w:t>
            </w:r>
          </w:p>
        </w:tc>
        <w:tc>
          <w:tcPr>
            <w:tcW w:w="52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w:t>
            </w:r>
          </w:p>
        </w:tc>
        <w:tc>
          <w:tcPr>
            <w:tcW w:w="2842"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Borders>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质量</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审核通过对象创新券兑付覆盖率</w:t>
            </w:r>
          </w:p>
        </w:tc>
        <w:tc>
          <w:tcPr>
            <w:tcW w:w="463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完成指标值，满分；完成指标设定值80%，得分80%，完成指标设定值80%以下，不得分。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考察审核通过对象创新券兑付覆盖情况</w:t>
            </w:r>
          </w:p>
        </w:tc>
        <w:tc>
          <w:tcPr>
            <w:tcW w:w="480"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w:t>
            </w:r>
          </w:p>
        </w:tc>
        <w:tc>
          <w:tcPr>
            <w:tcW w:w="7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100</w:t>
            </w:r>
          </w:p>
        </w:tc>
        <w:tc>
          <w:tcPr>
            <w:tcW w:w="52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w:t>
            </w:r>
          </w:p>
        </w:tc>
        <w:tc>
          <w:tcPr>
            <w:tcW w:w="2842" w:type="dxa"/>
            <w:vAlign w:val="center"/>
          </w:tcPr>
          <w:p>
            <w:pPr>
              <w:widowControl/>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Borders>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成本</w:t>
            </w:r>
          </w:p>
        </w:tc>
        <w:tc>
          <w:tcPr>
            <w:tcW w:w="250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科普宣传资金支出</w:t>
            </w:r>
          </w:p>
        </w:tc>
        <w:tc>
          <w:tcPr>
            <w:tcW w:w="4632" w:type="dxa"/>
          </w:tcPr>
          <w:p>
            <w:pPr>
              <w:widowControl/>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完成指标值，满分；完成指标设定值80%，得分80%，完成指标设定值80%以下，不得分。</w:t>
            </w:r>
          </w:p>
        </w:tc>
        <w:tc>
          <w:tcPr>
            <w:tcW w:w="1533"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科普宣传活动资金支出数量</w:t>
            </w:r>
          </w:p>
        </w:tc>
        <w:tc>
          <w:tcPr>
            <w:tcW w:w="480"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w:t>
            </w:r>
          </w:p>
        </w:tc>
        <w:tc>
          <w:tcPr>
            <w:tcW w:w="70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52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万元</w:t>
            </w:r>
          </w:p>
        </w:tc>
        <w:tc>
          <w:tcPr>
            <w:tcW w:w="2842"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Borders>
              <w:left w:val="single" w:color="auto" w:sz="4" w:space="0"/>
            </w:tcBorders>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p>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时效</w:t>
            </w:r>
          </w:p>
        </w:tc>
        <w:tc>
          <w:tcPr>
            <w:tcW w:w="2505"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p>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科普宣传活动完成时间</w:t>
            </w:r>
          </w:p>
        </w:tc>
        <w:tc>
          <w:tcPr>
            <w:tcW w:w="4632" w:type="dxa"/>
          </w:tcPr>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rPr>
            </w:pPr>
          </w:p>
          <w:p>
            <w:pPr>
              <w:widowControl/>
              <w:adjustRightInd w:val="0"/>
              <w:snapToGrid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完成指标值，满分；完成指标设定值80%，得分80%，完成指标设定值80%以下，不得分。</w:t>
            </w:r>
          </w:p>
        </w:tc>
        <w:tc>
          <w:tcPr>
            <w:tcW w:w="1533" w:type="dxa"/>
          </w:tcPr>
          <w:p>
            <w:pPr>
              <w:widowControl w:val="0"/>
              <w:numPr>
                <w:ilvl w:val="0"/>
                <w:numId w:val="0"/>
              </w:numPr>
              <w:spacing w:line="584" w:lineRule="exac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科普宣传活动完成总体目标时限</w:t>
            </w:r>
          </w:p>
        </w:tc>
        <w:tc>
          <w:tcPr>
            <w:tcW w:w="1710" w:type="dxa"/>
            <w:gridSpan w:val="3"/>
          </w:tcPr>
          <w:p>
            <w:pPr>
              <w:widowControl w:val="0"/>
              <w:numPr>
                <w:ilvl w:val="0"/>
                <w:numId w:val="0"/>
              </w:numPr>
              <w:spacing w:line="584" w:lineRule="exact"/>
              <w:jc w:val="both"/>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2021年年底完成</w:t>
            </w:r>
          </w:p>
        </w:tc>
        <w:tc>
          <w:tcPr>
            <w:tcW w:w="2842" w:type="dxa"/>
          </w:tcPr>
          <w:p>
            <w:pPr>
              <w:widowControl w:val="0"/>
              <w:numPr>
                <w:ilvl w:val="0"/>
                <w:numId w:val="0"/>
              </w:numPr>
              <w:spacing w:line="584" w:lineRule="exact"/>
              <w:jc w:val="both"/>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廊坊市广阳区科技创新跃升计划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restart"/>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p>
            <w:pPr>
              <w:bidi w:val="0"/>
              <w:rPr>
                <w:rFonts w:hint="eastAsia" w:ascii="宋体" w:hAnsi="宋体" w:eastAsia="宋体" w:cs="宋体"/>
                <w:kern w:val="2"/>
                <w:sz w:val="21"/>
                <w:szCs w:val="22"/>
                <w:lang w:val="en-US" w:eastAsia="zh-CN" w:bidi="ar-SA"/>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rPr>
                <w:rFonts w:hint="eastAsia" w:ascii="宋体" w:hAnsi="宋体" w:eastAsia="宋体" w:cs="宋体"/>
                <w:lang w:val="en-US" w:eastAsia="zh-CN"/>
              </w:rPr>
            </w:pPr>
          </w:p>
          <w:p>
            <w:pPr>
              <w:bidi w:val="0"/>
              <w:jc w:val="left"/>
              <w:rPr>
                <w:rFonts w:hint="eastAsia" w:ascii="宋体" w:hAnsi="宋体" w:eastAsia="宋体" w:cs="宋体"/>
                <w:lang w:val="en-US" w:eastAsia="zh-CN"/>
              </w:rPr>
            </w:pPr>
            <w:r>
              <w:rPr>
                <w:rFonts w:hint="eastAsia" w:ascii="宋体" w:hAnsi="宋体" w:eastAsia="宋体" w:cs="宋体"/>
                <w:lang w:val="en-US" w:eastAsia="zh-CN"/>
              </w:rPr>
              <w:t>部门效果</w:t>
            </w:r>
          </w:p>
        </w:tc>
        <w:tc>
          <w:tcPr>
            <w:tcW w:w="1755" w:type="dxa"/>
            <w:vAlign w:val="center"/>
          </w:tcPr>
          <w:p>
            <w:pPr>
              <w:widowControl/>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社会</w:t>
            </w:r>
          </w:p>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效益</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科技</w:t>
            </w:r>
            <w:r>
              <w:rPr>
                <w:rFonts w:hint="eastAsia" w:ascii="宋体" w:hAnsi="宋体" w:eastAsia="宋体" w:cs="宋体"/>
                <w:b w:val="0"/>
                <w:bCs w:val="0"/>
                <w:sz w:val="21"/>
                <w:szCs w:val="21"/>
              </w:rPr>
              <w:t>创新政策知晓度</w:t>
            </w:r>
          </w:p>
        </w:tc>
        <w:tc>
          <w:tcPr>
            <w:tcW w:w="4632" w:type="dxa"/>
            <w:vAlign w:val="center"/>
          </w:tcPr>
          <w:p>
            <w:pPr>
              <w:widowControl/>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完成指标值，满分；</w:t>
            </w:r>
          </w:p>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完成指标设定值80%，得分80%，完成指标设定值60%，得分60%，完成指标设定值60%以下，不得分。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抽样调查知晓创新券政策的科小企和高企占样本比重</w:t>
            </w:r>
          </w:p>
        </w:tc>
        <w:tc>
          <w:tcPr>
            <w:tcW w:w="480"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w:t>
            </w:r>
          </w:p>
        </w:tc>
        <w:tc>
          <w:tcPr>
            <w:tcW w:w="705"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50</w:t>
            </w:r>
          </w:p>
        </w:tc>
        <w:tc>
          <w:tcPr>
            <w:tcW w:w="525"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w:t>
            </w:r>
          </w:p>
        </w:tc>
        <w:tc>
          <w:tcPr>
            <w:tcW w:w="2842"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问卷调查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widowControl/>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社会</w:t>
            </w:r>
          </w:p>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效益</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对创业创新环境的影响</w:t>
            </w:r>
          </w:p>
        </w:tc>
        <w:tc>
          <w:tcPr>
            <w:tcW w:w="4632" w:type="dxa"/>
            <w:vAlign w:val="center"/>
          </w:tcPr>
          <w:p>
            <w:pPr>
              <w:widowControl/>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完成指标值，满分；</w:t>
            </w:r>
          </w:p>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完成指标设定值80%，得分80%，完成指标设定值60%，得分60%，完成指标设定值60%以下，不得分。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反映项目的实施对廊坊市创业创新环境的营造情况</w:t>
            </w:r>
          </w:p>
        </w:tc>
        <w:tc>
          <w:tcPr>
            <w:tcW w:w="1710" w:type="dxa"/>
            <w:gridSpan w:val="3"/>
            <w:vAlign w:val="center"/>
          </w:tcPr>
          <w:p>
            <w:pPr>
              <w:widowControl w:val="0"/>
              <w:numPr>
                <w:ilvl w:val="0"/>
                <w:numId w:val="0"/>
              </w:numPr>
              <w:spacing w:line="584" w:lineRule="exact"/>
              <w:ind w:firstLine="420" w:firstLineChars="20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效果良好</w:t>
            </w:r>
          </w:p>
        </w:tc>
        <w:tc>
          <w:tcPr>
            <w:tcW w:w="284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可持续影响</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资金发放信息共享情况</w:t>
            </w:r>
          </w:p>
        </w:tc>
        <w:tc>
          <w:tcPr>
            <w:tcW w:w="463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完成指标值，满分；否则不得分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考察科技创新券专项经费资金发放公示情况</w:t>
            </w:r>
          </w:p>
        </w:tc>
        <w:tc>
          <w:tcPr>
            <w:tcW w:w="1710" w:type="dxa"/>
            <w:gridSpan w:val="3"/>
            <w:vAlign w:val="center"/>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按要求公示</w:t>
            </w:r>
          </w:p>
        </w:tc>
        <w:tc>
          <w:tcPr>
            <w:tcW w:w="2842" w:type="dxa"/>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可持续影响</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项目后续运行及成效发挥效果</w:t>
            </w:r>
          </w:p>
        </w:tc>
        <w:tc>
          <w:tcPr>
            <w:tcW w:w="463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完成指标值，满分；否则不得分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从长远角度将会起到改善产业结构、建立行业标准、增加就业岗位等社会效益</w:t>
            </w:r>
          </w:p>
        </w:tc>
        <w:tc>
          <w:tcPr>
            <w:tcW w:w="1710" w:type="dxa"/>
            <w:gridSpan w:val="3"/>
            <w:vAlign w:val="center"/>
          </w:tcPr>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长期发挥</w:t>
            </w:r>
          </w:p>
        </w:tc>
        <w:tc>
          <w:tcPr>
            <w:tcW w:w="2842" w:type="dxa"/>
          </w:tcPr>
          <w:p>
            <w:pPr>
              <w:widowControl w:val="0"/>
              <w:numPr>
                <w:ilvl w:val="0"/>
                <w:numId w:val="0"/>
              </w:numPr>
              <w:spacing w:line="584" w:lineRule="exact"/>
              <w:jc w:val="center"/>
              <w:rPr>
                <w:rFonts w:hint="eastAsia" w:ascii="宋体" w:hAnsi="宋体" w:eastAsia="宋体" w:cs="宋体"/>
                <w:b w:val="0"/>
                <w:bCs w:val="0"/>
                <w:sz w:val="21"/>
                <w:szCs w:val="21"/>
              </w:rPr>
            </w:pPr>
          </w:p>
          <w:p>
            <w:pPr>
              <w:widowControl w:val="0"/>
              <w:numPr>
                <w:ilvl w:val="0"/>
                <w:numId w:val="0"/>
              </w:numPr>
              <w:spacing w:line="584"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Merge w:val="continue"/>
          </w:tcPr>
          <w:p>
            <w:pPr>
              <w:widowControl w:val="0"/>
              <w:numPr>
                <w:ilvl w:val="0"/>
                <w:numId w:val="0"/>
              </w:numPr>
              <w:spacing w:line="584" w:lineRule="exact"/>
              <w:jc w:val="left"/>
              <w:rPr>
                <w:rFonts w:hint="eastAsia" w:ascii="宋体" w:hAnsi="宋体" w:eastAsia="宋体" w:cs="宋体"/>
                <w:b/>
                <w:sz w:val="18"/>
                <w:szCs w:val="18"/>
                <w:vertAlign w:val="baseline"/>
                <w:lang w:val="en-US" w:eastAsia="zh-CN"/>
              </w:rPr>
            </w:pPr>
          </w:p>
        </w:tc>
        <w:tc>
          <w:tcPr>
            <w:tcW w:w="175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满意度</w:t>
            </w:r>
          </w:p>
        </w:tc>
        <w:tc>
          <w:tcPr>
            <w:tcW w:w="2505"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服务对象满意度</w:t>
            </w:r>
          </w:p>
        </w:tc>
        <w:tc>
          <w:tcPr>
            <w:tcW w:w="4632" w:type="dxa"/>
            <w:vAlign w:val="center"/>
          </w:tcPr>
          <w:p>
            <w:pPr>
              <w:widowControl/>
              <w:adjustRightInd w:val="0"/>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完成指标值，满分；</w:t>
            </w:r>
          </w:p>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完成指标设定值80%，得分80%，完成指标设定值60%，得分60%，完成指标设定值60%以下，不得分。</w:t>
            </w:r>
          </w:p>
        </w:tc>
        <w:tc>
          <w:tcPr>
            <w:tcW w:w="1533"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反应服务对象满意度</w:t>
            </w:r>
          </w:p>
        </w:tc>
        <w:tc>
          <w:tcPr>
            <w:tcW w:w="480"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w:t>
            </w:r>
          </w:p>
        </w:tc>
        <w:tc>
          <w:tcPr>
            <w:tcW w:w="705"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95</w:t>
            </w:r>
          </w:p>
        </w:tc>
        <w:tc>
          <w:tcPr>
            <w:tcW w:w="525" w:type="dxa"/>
            <w:vAlign w:val="center"/>
          </w:tcPr>
          <w:p>
            <w:pPr>
              <w:widowControl/>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0"/>
                <w:sz w:val="21"/>
                <w:szCs w:val="21"/>
              </w:rPr>
              <w:t>%</w:t>
            </w:r>
          </w:p>
        </w:tc>
        <w:tc>
          <w:tcPr>
            <w:tcW w:w="2842" w:type="dxa"/>
            <w:vAlign w:val="center"/>
          </w:tcPr>
          <w:p>
            <w:pPr>
              <w:widowControl/>
              <w:adjustRightInd w:val="0"/>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满意度调查问卷</w:t>
            </w:r>
          </w:p>
        </w:tc>
      </w:tr>
    </w:tbl>
    <w:p>
      <w:pPr>
        <w:widowControl w:val="0"/>
        <w:numPr>
          <w:ilvl w:val="0"/>
          <w:numId w:val="0"/>
        </w:numPr>
        <w:spacing w:line="584" w:lineRule="exact"/>
        <w:jc w:val="left"/>
        <w:rPr>
          <w:rFonts w:hint="eastAsia" w:ascii="黑体" w:hAnsi="黑体" w:eastAsia="黑体" w:cs="黑体"/>
          <w:b w:val="0"/>
          <w:bCs/>
          <w:sz w:val="32"/>
          <w:szCs w:val="32"/>
          <w:lang w:val="en-US" w:eastAsia="zh-CN"/>
        </w:rPr>
      </w:pPr>
    </w:p>
    <w:p>
      <w:pPr>
        <w:widowControl w:val="0"/>
        <w:numPr>
          <w:ilvl w:val="0"/>
          <w:numId w:val="0"/>
        </w:numPr>
        <w:spacing w:line="584" w:lineRule="exact"/>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 xml:space="preserve">第二部分 </w:t>
      </w:r>
      <w:r>
        <w:rPr>
          <w:rFonts w:hint="eastAsia" w:ascii="黑体" w:hAnsi="黑体" w:eastAsia="黑体" w:cs="黑体"/>
          <w:b w:val="0"/>
          <w:bCs/>
          <w:sz w:val="32"/>
          <w:szCs w:val="32"/>
        </w:rPr>
        <w:t>专项资金绩效目标</w:t>
      </w:r>
      <w:bookmarkStart w:id="1" w:name="_Toc67181103"/>
    </w:p>
    <w:p>
      <w:pPr>
        <w:numPr>
          <w:ilvl w:val="0"/>
          <w:numId w:val="0"/>
        </w:numPr>
        <w:spacing w:line="584" w:lineRule="exact"/>
        <w:jc w:val="left"/>
        <w:rPr>
          <w:rFonts w:ascii="Times New Roman" w:hAnsi="宋体"/>
          <w:b/>
          <w:sz w:val="30"/>
          <w:szCs w:val="30"/>
        </w:rPr>
      </w:pPr>
      <w:r>
        <w:rPr>
          <w:rFonts w:hint="eastAsia" w:ascii="方正仿宋_GBK" w:eastAsia="方正仿宋_GBK"/>
          <w:b/>
          <w:sz w:val="30"/>
          <w:szCs w:val="30"/>
        </w:rPr>
        <w:t>1.科普宣传经费绩效目标表</w:t>
      </w:r>
      <w:bookmarkEnd w:id="1"/>
      <w:r>
        <w:rPr>
          <w:sz w:val="30"/>
          <w:szCs w:val="30"/>
        </w:rPr>
        <w:fldChar w:fldCharType="begin"/>
      </w:r>
      <w:r>
        <w:rPr>
          <w:rFonts w:ascii="方正仿宋_GBK" w:eastAsia="方正仿宋_GBK"/>
          <w:b/>
          <w:sz w:val="30"/>
          <w:szCs w:val="30"/>
        </w:rPr>
        <w:instrText xml:space="preserve"> </w:instrText>
      </w:r>
      <w:r>
        <w:rPr>
          <w:rFonts w:hint="eastAsia" w:ascii="方正仿宋_GBK" w:eastAsia="方正仿宋_GBK"/>
          <w:b/>
          <w:sz w:val="30"/>
          <w:szCs w:val="30"/>
        </w:rPr>
        <w:instrText xml:space="preserve">TC 1、科普宣传经费绩效目标表 \f C \l 1</w:instrText>
      </w:r>
      <w:r>
        <w:rPr>
          <w:rFonts w:ascii="方正仿宋_GBK" w:eastAsia="方正仿宋_GBK"/>
          <w:b/>
          <w:sz w:val="30"/>
          <w:szCs w:val="30"/>
        </w:rPr>
        <w:instrText xml:space="preserve"> </w:instrText>
      </w:r>
      <w:r>
        <w:rPr>
          <w:rFonts w:ascii="方正仿宋_GBK" w:eastAsia="方正仿宋_GBK"/>
          <w:b/>
          <w:sz w:val="30"/>
          <w:szCs w:val="30"/>
        </w:rPr>
        <w:fldChar w:fldCharType="end"/>
      </w:r>
    </w:p>
    <w:tbl>
      <w:tblPr>
        <w:tblStyle w:val="9"/>
        <w:tblW w:w="121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4"/>
        <w:gridCol w:w="10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5" w:hRule="atLeast"/>
          <w:jc w:val="center"/>
        </w:trPr>
        <w:tc>
          <w:tcPr>
            <w:tcW w:w="1894" w:type="dxa"/>
            <w:tcBorders>
              <w:bottom w:val="nil"/>
            </w:tcBorders>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绩效目标</w:t>
            </w:r>
          </w:p>
        </w:tc>
        <w:tc>
          <w:tcPr>
            <w:tcW w:w="10281" w:type="dxa"/>
            <w:tcBorders>
              <w:bottom w:val="nil"/>
            </w:tcBorders>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1.编印科技创新政策宣传品，开展科技宣传活动。</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2.编印科技创新政策宣传品，开展科技宣传活动，科技宣传入企服务100次，科技宣传培育400人次，科技宣传发放材料数量20000份。</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3.通过科技宣传，出台科技创新政策，进一步优化全区科技创新环境，营造全区科技创新氛围</w:t>
            </w:r>
          </w:p>
        </w:tc>
      </w:tr>
    </w:tbl>
    <w:p>
      <w:pPr>
        <w:spacing w:line="14" w:lineRule="exact"/>
        <w:jc w:val="center"/>
        <w:rPr>
          <w:rFonts w:hint="eastAsia" w:ascii="宋体" w:hAnsi="宋体" w:eastAsia="宋体" w:cs="宋体"/>
          <w:sz w:val="21"/>
          <w:szCs w:val="21"/>
        </w:rPr>
      </w:pPr>
    </w:p>
    <w:tbl>
      <w:tblPr>
        <w:tblStyle w:val="9"/>
        <w:tblW w:w="1217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9"/>
        <w:gridCol w:w="1548"/>
        <w:gridCol w:w="1812"/>
        <w:gridCol w:w="3600"/>
        <w:gridCol w:w="1662"/>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7" w:hRule="atLeast"/>
          <w:tblHeader/>
          <w:jc w:val="center"/>
        </w:trPr>
        <w:tc>
          <w:tcPr>
            <w:tcW w:w="1859"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一级指标</w:t>
            </w:r>
          </w:p>
        </w:tc>
        <w:tc>
          <w:tcPr>
            <w:tcW w:w="1548"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二级指标</w:t>
            </w:r>
          </w:p>
        </w:tc>
        <w:tc>
          <w:tcPr>
            <w:tcW w:w="1812"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三级指标</w:t>
            </w:r>
          </w:p>
        </w:tc>
        <w:tc>
          <w:tcPr>
            <w:tcW w:w="3600"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绩效指标描述</w:t>
            </w:r>
          </w:p>
        </w:tc>
        <w:tc>
          <w:tcPr>
            <w:tcW w:w="1662"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指标值</w:t>
            </w:r>
          </w:p>
        </w:tc>
        <w:tc>
          <w:tcPr>
            <w:tcW w:w="1695"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1859" w:type="dxa"/>
            <w:vMerge w:val="restart"/>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产出指标</w:t>
            </w:r>
          </w:p>
        </w:tc>
        <w:tc>
          <w:tcPr>
            <w:tcW w:w="1548"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数量指标</w:t>
            </w:r>
          </w:p>
        </w:tc>
        <w:tc>
          <w:tcPr>
            <w:tcW w:w="1812"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科技宣传入企服务次数</w:t>
            </w:r>
          </w:p>
        </w:tc>
        <w:tc>
          <w:tcPr>
            <w:tcW w:w="3600"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科技宣传入企服务的次数</w:t>
            </w:r>
          </w:p>
        </w:tc>
        <w:tc>
          <w:tcPr>
            <w:tcW w:w="1662"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≥100次</w:t>
            </w:r>
          </w:p>
        </w:tc>
        <w:tc>
          <w:tcPr>
            <w:tcW w:w="1695"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6" w:hRule="atLeast"/>
          <w:jc w:val="center"/>
        </w:trPr>
        <w:tc>
          <w:tcPr>
            <w:tcW w:w="1859"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548"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数量指标</w:t>
            </w:r>
          </w:p>
        </w:tc>
        <w:tc>
          <w:tcPr>
            <w:tcW w:w="1812"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科技宣传发放材料数量</w:t>
            </w:r>
          </w:p>
        </w:tc>
        <w:tc>
          <w:tcPr>
            <w:tcW w:w="3600"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科技宣传发放材料数量</w:t>
            </w:r>
          </w:p>
        </w:tc>
        <w:tc>
          <w:tcPr>
            <w:tcW w:w="1662"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≥1000份</w:t>
            </w:r>
          </w:p>
        </w:tc>
        <w:tc>
          <w:tcPr>
            <w:tcW w:w="1695"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9" w:hRule="atLeast"/>
          <w:jc w:val="center"/>
        </w:trPr>
        <w:tc>
          <w:tcPr>
            <w:tcW w:w="1859"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548"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数量指标</w:t>
            </w:r>
          </w:p>
        </w:tc>
        <w:tc>
          <w:tcPr>
            <w:tcW w:w="181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科技宣传培训人次</w:t>
            </w:r>
          </w:p>
        </w:tc>
        <w:tc>
          <w:tcPr>
            <w:tcW w:w="360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科技宣传活动培训人次数量</w:t>
            </w:r>
          </w:p>
        </w:tc>
        <w:tc>
          <w:tcPr>
            <w:tcW w:w="166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≥400人次</w:t>
            </w:r>
          </w:p>
        </w:tc>
        <w:tc>
          <w:tcPr>
            <w:tcW w:w="1695"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6" w:hRule="atLeast"/>
          <w:jc w:val="center"/>
        </w:trPr>
        <w:tc>
          <w:tcPr>
            <w:tcW w:w="1859"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效益指标</w:t>
            </w:r>
          </w:p>
        </w:tc>
        <w:tc>
          <w:tcPr>
            <w:tcW w:w="1548"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可持续影响指标</w:t>
            </w:r>
          </w:p>
        </w:tc>
        <w:tc>
          <w:tcPr>
            <w:tcW w:w="181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优化科技创新环境</w:t>
            </w:r>
          </w:p>
        </w:tc>
        <w:tc>
          <w:tcPr>
            <w:tcW w:w="360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构建现代创新体优化科技创新环境</w:t>
            </w:r>
          </w:p>
        </w:tc>
        <w:tc>
          <w:tcPr>
            <w:tcW w:w="166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营造全区科技创新氛围</w:t>
            </w:r>
          </w:p>
        </w:tc>
        <w:tc>
          <w:tcPr>
            <w:tcW w:w="1695"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1" w:hRule="atLeast"/>
          <w:jc w:val="center"/>
        </w:trPr>
        <w:tc>
          <w:tcPr>
            <w:tcW w:w="1859" w:type="dxa"/>
            <w:vMerge w:val="restart"/>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满意度指标</w:t>
            </w:r>
          </w:p>
        </w:tc>
        <w:tc>
          <w:tcPr>
            <w:tcW w:w="1548"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1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高新技术企业满意度</w:t>
            </w:r>
          </w:p>
        </w:tc>
        <w:tc>
          <w:tcPr>
            <w:tcW w:w="360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高新技术企业满意数量占高新技术企业总数比例（百分比）</w:t>
            </w:r>
          </w:p>
        </w:tc>
        <w:tc>
          <w:tcPr>
            <w:tcW w:w="166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≥90百分比</w:t>
            </w:r>
          </w:p>
        </w:tc>
        <w:tc>
          <w:tcPr>
            <w:tcW w:w="1695"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8" w:hRule="atLeast"/>
          <w:jc w:val="center"/>
        </w:trPr>
        <w:tc>
          <w:tcPr>
            <w:tcW w:w="1859"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548"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1812" w:type="dxa"/>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科技型中小企业满意度</w:t>
            </w:r>
          </w:p>
        </w:tc>
        <w:tc>
          <w:tcPr>
            <w:tcW w:w="360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科技型中小企业满意数量占总量比例（百分比）</w:t>
            </w:r>
          </w:p>
        </w:tc>
        <w:tc>
          <w:tcPr>
            <w:tcW w:w="166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≥90百分比</w:t>
            </w:r>
          </w:p>
        </w:tc>
        <w:tc>
          <w:tcPr>
            <w:tcW w:w="1695"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廊坊市广阳区科技创新跃升计划</w:t>
            </w:r>
          </w:p>
        </w:tc>
      </w:tr>
    </w:tbl>
    <w:p>
      <w:pPr>
        <w:spacing w:line="300" w:lineRule="exact"/>
        <w:jc w:val="left"/>
        <w:rPr>
          <w:rFonts w:hint="eastAsia" w:ascii="宋体" w:hAnsi="宋体" w:eastAsia="宋体" w:cs="宋体"/>
          <w:sz w:val="21"/>
          <w:szCs w:val="21"/>
        </w:rPr>
        <w:sectPr>
          <w:pgSz w:w="16839" w:h="11907" w:orient="landscape"/>
          <w:pgMar w:top="720" w:right="720" w:bottom="720" w:left="720" w:header="851" w:footer="992" w:gutter="0"/>
          <w:cols w:space="425" w:num="1"/>
          <w:docGrid w:type="lines" w:linePitch="312" w:charSpace="0"/>
        </w:sectPr>
      </w:pPr>
    </w:p>
    <w:p>
      <w:pPr>
        <w:spacing w:line="300" w:lineRule="exact"/>
        <w:jc w:val="left"/>
        <w:rPr>
          <w:rFonts w:hint="eastAsia" w:ascii="宋体" w:hAnsi="宋体" w:eastAsia="宋体" w:cs="宋体"/>
          <w:sz w:val="21"/>
          <w:szCs w:val="21"/>
        </w:rPr>
      </w:pPr>
    </w:p>
    <w:p>
      <w:pPr>
        <w:ind w:firstLine="422" w:firstLineChars="200"/>
        <w:jc w:val="left"/>
        <w:outlineLvl w:val="3"/>
        <w:rPr>
          <w:rFonts w:hint="eastAsia" w:ascii="宋体" w:hAnsi="宋体" w:eastAsia="宋体" w:cs="宋体"/>
          <w:b/>
          <w:sz w:val="21"/>
          <w:szCs w:val="21"/>
        </w:rPr>
      </w:pPr>
      <w:bookmarkStart w:id="2" w:name="_Toc67181104"/>
      <w:r>
        <w:rPr>
          <w:rFonts w:hint="eastAsia" w:ascii="宋体" w:hAnsi="宋体" w:eastAsia="宋体" w:cs="宋体"/>
          <w:b/>
          <w:sz w:val="21"/>
          <w:szCs w:val="21"/>
        </w:rPr>
        <w:t>2.办公经费绩效目标表</w:t>
      </w:r>
      <w:bookmarkEnd w:id="2"/>
      <w:r>
        <w:rPr>
          <w:rFonts w:hint="eastAsia" w:ascii="宋体" w:hAnsi="宋体" w:eastAsia="宋体" w:cs="宋体"/>
          <w:sz w:val="21"/>
          <w:szCs w:val="21"/>
        </w:rPr>
        <w:fldChar w:fldCharType="begin"/>
      </w:r>
      <w:r>
        <w:rPr>
          <w:rFonts w:hint="eastAsia" w:ascii="宋体" w:hAnsi="宋体" w:eastAsia="宋体" w:cs="宋体"/>
          <w:b/>
          <w:sz w:val="21"/>
          <w:szCs w:val="21"/>
        </w:rPr>
        <w:instrText xml:space="preserve"> TC 2、办公经费绩效目标表 \f C \l 1 </w:instrText>
      </w:r>
      <w:r>
        <w:rPr>
          <w:rFonts w:hint="eastAsia" w:ascii="宋体" w:hAnsi="宋体" w:eastAsia="宋体" w:cs="宋体"/>
          <w:b/>
          <w:sz w:val="21"/>
          <w:szCs w:val="21"/>
        </w:rPr>
        <w:fldChar w:fldCharType="end"/>
      </w:r>
    </w:p>
    <w:tbl>
      <w:tblPr>
        <w:tblStyle w:val="9"/>
        <w:tblW w:w="12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56"/>
        <w:gridCol w:w="11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5" w:hRule="atLeast"/>
          <w:jc w:val="center"/>
        </w:trPr>
        <w:tc>
          <w:tcPr>
            <w:tcW w:w="1656" w:type="dxa"/>
            <w:tcBorders>
              <w:bottom w:val="nil"/>
            </w:tcBorders>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绩效目标</w:t>
            </w:r>
          </w:p>
        </w:tc>
        <w:tc>
          <w:tcPr>
            <w:tcW w:w="11209" w:type="dxa"/>
            <w:tcBorders>
              <w:bottom w:val="nil"/>
            </w:tcBorders>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1.保障机关日常办公正常运行</w:t>
            </w:r>
          </w:p>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2.提高科技创新宣传工作</w:t>
            </w:r>
          </w:p>
        </w:tc>
      </w:tr>
    </w:tbl>
    <w:p>
      <w:pPr>
        <w:spacing w:line="14"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9"/>
        <w:tblW w:w="128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1716"/>
        <w:gridCol w:w="2184"/>
        <w:gridCol w:w="4080"/>
        <w:gridCol w:w="1152"/>
        <w:gridCol w:w="2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0" w:hRule="atLeast"/>
          <w:tblHeader/>
          <w:jc w:val="center"/>
        </w:trPr>
        <w:tc>
          <w:tcPr>
            <w:tcW w:w="1635"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一级指标</w:t>
            </w:r>
          </w:p>
        </w:tc>
        <w:tc>
          <w:tcPr>
            <w:tcW w:w="1716"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二级指标</w:t>
            </w:r>
          </w:p>
        </w:tc>
        <w:tc>
          <w:tcPr>
            <w:tcW w:w="2184"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三级指标</w:t>
            </w:r>
          </w:p>
        </w:tc>
        <w:tc>
          <w:tcPr>
            <w:tcW w:w="4080"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绩效指标描述</w:t>
            </w:r>
          </w:p>
        </w:tc>
        <w:tc>
          <w:tcPr>
            <w:tcW w:w="1152"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指标值</w:t>
            </w:r>
          </w:p>
        </w:tc>
        <w:tc>
          <w:tcPr>
            <w:tcW w:w="2080" w:type="dxa"/>
            <w:shd w:val="clear" w:color="auto" w:fill="auto"/>
            <w:noWrap w:val="0"/>
            <w:vAlign w:val="center"/>
          </w:tcPr>
          <w:p>
            <w:pPr>
              <w:spacing w:line="300" w:lineRule="exact"/>
              <w:jc w:val="center"/>
              <w:rPr>
                <w:rFonts w:hint="eastAsia" w:ascii="宋体" w:hAnsi="宋体" w:eastAsia="宋体" w:cs="宋体"/>
                <w:b/>
                <w:sz w:val="21"/>
                <w:szCs w:val="21"/>
              </w:rPr>
            </w:pPr>
            <w:r>
              <w:rPr>
                <w:rFonts w:hint="eastAsia" w:ascii="宋体" w:hAnsi="宋体" w:eastAsia="宋体" w:cs="宋体"/>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restart"/>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产出指标</w:t>
            </w: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数量指标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保证机关工作正常运行</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保证日常办公工作正常运转</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维持单位全年日常工作运转</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质量指标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保证日常睡电维修等工作完成率</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综合业务管理工作完成率</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≥95%</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时效指标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经费及时使用率</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各项任务完成及时率（%）</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成本指标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按预算资金完成率</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按预算资金完成率</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restart"/>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效益指标</w:t>
            </w: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经济效益指标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推动科学技术进步</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科技进步贡献率</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≥95%</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社会效益指标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社会效益提升</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在全省形成“大众创新、万众创业”、助推产业转型升级、优化创新机制的良好局面</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可持续影响指标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可持续影响力</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创造性转化，创新性发展</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≥95%</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restart"/>
            <w:shd w:val="clear" w:color="auto" w:fill="auto"/>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满意度指标</w:t>
            </w: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职工日常办公运行满意度</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工作人员满意度</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工作人员满意度</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35" w:type="dxa"/>
            <w:vMerge w:val="continue"/>
            <w:shd w:val="clear" w:color="auto" w:fill="auto"/>
            <w:noWrap w:val="0"/>
            <w:vAlign w:val="center"/>
          </w:tcPr>
          <w:p>
            <w:pPr>
              <w:spacing w:line="300" w:lineRule="exact"/>
              <w:jc w:val="center"/>
              <w:rPr>
                <w:rFonts w:hint="eastAsia" w:ascii="宋体" w:hAnsi="宋体" w:eastAsia="宋体" w:cs="宋体"/>
                <w:sz w:val="21"/>
                <w:szCs w:val="21"/>
              </w:rPr>
            </w:pPr>
          </w:p>
        </w:tc>
        <w:tc>
          <w:tcPr>
            <w:tcW w:w="1716"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服务对象满意度指标</w:t>
            </w:r>
          </w:p>
        </w:tc>
        <w:tc>
          <w:tcPr>
            <w:tcW w:w="2184"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人员满意度（%）</w:t>
            </w:r>
          </w:p>
        </w:tc>
        <w:tc>
          <w:tcPr>
            <w:tcW w:w="4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人员满意度（%）</w:t>
            </w:r>
          </w:p>
        </w:tc>
        <w:tc>
          <w:tcPr>
            <w:tcW w:w="1152"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100%</w:t>
            </w:r>
          </w:p>
        </w:tc>
        <w:tc>
          <w:tcPr>
            <w:tcW w:w="2080" w:type="dxa"/>
            <w:shd w:val="clear" w:color="auto" w:fill="auto"/>
            <w:noWrap w:val="0"/>
            <w:vAlign w:val="center"/>
          </w:tcPr>
          <w:p>
            <w:pPr>
              <w:spacing w:line="300" w:lineRule="exact"/>
              <w:jc w:val="left"/>
              <w:rPr>
                <w:rFonts w:hint="eastAsia" w:ascii="宋体" w:hAnsi="宋体" w:eastAsia="宋体" w:cs="宋体"/>
                <w:sz w:val="21"/>
                <w:szCs w:val="21"/>
              </w:rPr>
            </w:pPr>
            <w:r>
              <w:rPr>
                <w:rFonts w:hint="eastAsia" w:ascii="宋体" w:hAnsi="宋体" w:eastAsia="宋体" w:cs="宋体"/>
                <w:sz w:val="21"/>
                <w:szCs w:val="21"/>
              </w:rPr>
              <w:t>廊广科呈【2020】31号文件</w:t>
            </w:r>
          </w:p>
        </w:tc>
      </w:tr>
    </w:tbl>
    <w:p>
      <w:pPr>
        <w:spacing w:line="300" w:lineRule="exact"/>
        <w:jc w:val="left"/>
        <w:rPr>
          <w:rFonts w:hint="eastAsia" w:ascii="宋体" w:hAnsi="宋体" w:eastAsia="宋体" w:cs="宋体"/>
          <w:sz w:val="18"/>
          <w:szCs w:val="18"/>
        </w:rPr>
        <w:sectPr>
          <w:pgSz w:w="16839" w:h="11907" w:orient="landscape"/>
          <w:pgMar w:top="1304" w:right="1984" w:bottom="1304" w:left="1134" w:header="851" w:footer="992" w:gutter="0"/>
          <w:cols w:space="425" w:num="1"/>
          <w:docGrid w:type="lines" w:linePitch="312" w:charSpace="0"/>
        </w:sectPr>
      </w:pPr>
    </w:p>
    <w:bookmarkEnd w:id="0"/>
    <w:p>
      <w:pPr>
        <w:spacing w:line="584" w:lineRule="exact"/>
        <w:jc w:val="left"/>
        <w:rPr>
          <w:rFonts w:ascii="Times New Roman" w:hAnsi="Times New Roman" w:eastAsia="楷体_GB2312" w:cs="Times New Roman"/>
          <w:b/>
          <w:color w:val="FF0000"/>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lang w:val="en-US" w:eastAsia="zh-CN"/>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[481001]</w:t>
            </w:r>
            <w:r>
              <w:rPr>
                <w:rFonts w:hint="eastAsia" w:ascii="Times New Roman" w:hAnsi="Times New Roman" w:eastAsia="仿宋_GB2312" w:cs="Times New Roman"/>
                <w:sz w:val="24"/>
              </w:rPr>
              <w:t>廊坊市广阳区</w:t>
            </w:r>
            <w:r>
              <w:rPr>
                <w:rFonts w:hint="eastAsia" w:ascii="Times New Roman" w:hAnsi="Times New Roman" w:eastAsia="仿宋_GB2312" w:cs="Times New Roman"/>
                <w:sz w:val="24"/>
                <w:lang w:val="en-US" w:eastAsia="zh-CN"/>
              </w:rPr>
              <w:t>科学技术局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5" w:type="first"/>
          <w:footerReference r:id="rId4"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科学技术局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原值：98.089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净值</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w:t>
            </w:r>
            <w:r>
              <w:rPr>
                <w:rFonts w:hint="eastAsia" w:ascii="Times New Roman" w:hAnsi="Times New Roman" w:eastAsia="仿宋_GB2312" w:cs="Times New Roman"/>
                <w:b/>
                <w:bCs/>
                <w:kern w:val="0"/>
                <w:sz w:val="32"/>
                <w:szCs w:val="32"/>
                <w:lang w:val="en-US" w:eastAsia="zh-CN"/>
              </w:rPr>
              <w:t>科学技术局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w:t>
            </w:r>
            <w:r>
              <w:rPr>
                <w:rFonts w:hint="eastAsia" w:ascii="Times New Roman" w:hAnsi="Times New Roman" w:eastAsia="仿宋_GB2312" w:cs="Times New Roman"/>
                <w:kern w:val="0"/>
                <w:sz w:val="22"/>
                <w:lang w:val="en-US" w:eastAsia="zh-CN"/>
              </w:rPr>
              <w:t>区科学技术局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w:t>
            </w:r>
            <w:r>
              <w:rPr>
                <w:rFonts w:hint="eastAsia" w:ascii="Times New Roman" w:hAnsi="Times New Roman" w:eastAsia="仿宋_GB2312" w:cs="Times New Roman"/>
                <w:kern w:val="0"/>
                <w:sz w:val="22"/>
                <w:lang w:val="en-US" w:eastAsia="zh-CN"/>
              </w:rPr>
              <w:t>2021</w:t>
            </w:r>
            <w:r>
              <w:rPr>
                <w:rFonts w:ascii="Times New Roman" w:hAnsi="Times New Roman" w:eastAsia="仿宋_GB2312" w:cs="Times New Roman"/>
                <w:kern w:val="0"/>
                <w:sz w:val="22"/>
              </w:rPr>
              <w:t>年1月31日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98.089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3.809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olor w:val="000000"/>
          <w:sz w:val="32"/>
          <w:szCs w:val="32"/>
        </w:rPr>
      </w:pPr>
      <w:r>
        <w:rPr>
          <w:b/>
          <w:bCs/>
          <w:color w:val="000000"/>
          <w:sz w:val="32"/>
          <w:szCs w:val="32"/>
        </w:rPr>
        <w:t xml:space="preserve"> </w:t>
      </w:r>
      <w:r>
        <w:rPr>
          <w:rFonts w:ascii="Times New Roman" w:hAnsi="Times New Roman" w:eastAsia="仿宋_GB2312"/>
          <w:b/>
          <w:color w:val="000000"/>
          <w:sz w:val="32"/>
          <w:szCs w:val="32"/>
        </w:rPr>
        <w:t>1</w:t>
      </w:r>
      <w:r>
        <w:rPr>
          <w:rFonts w:hint="eastAsia" w:ascii="Times New Roman" w:hAnsi="Times New Roman" w:eastAsia="仿宋_GB2312"/>
          <w:b/>
          <w:color w:val="000000"/>
          <w:sz w:val="32"/>
          <w:szCs w:val="32"/>
        </w:rPr>
        <w:t>、一般公共预算拨款收入：</w:t>
      </w:r>
      <w:r>
        <w:rPr>
          <w:rFonts w:hint="eastAsia" w:ascii="Times New Roman" w:hAnsi="Times New Roman" w:eastAsia="仿宋_GB2312"/>
          <w:color w:val="000000"/>
          <w:sz w:val="32"/>
          <w:szCs w:val="32"/>
        </w:rPr>
        <w:t>指</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rPr>
        <w:t>级财政当年拨付的资金。</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2</w:t>
      </w:r>
      <w:r>
        <w:rPr>
          <w:rFonts w:hint="eastAsia" w:ascii="Times New Roman" w:hAnsi="Times New Roman" w:eastAsia="仿宋_GB2312"/>
          <w:b/>
          <w:color w:val="000000"/>
          <w:sz w:val="32"/>
          <w:szCs w:val="32"/>
        </w:rPr>
        <w:t>、事业收入：</w:t>
      </w:r>
      <w:r>
        <w:rPr>
          <w:rFonts w:hint="eastAsia" w:ascii="Times New Roman" w:hAnsi="Times New Roman" w:eastAsia="仿宋_GB2312"/>
          <w:color w:val="000000"/>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color w:val="000000"/>
          <w:sz w:val="32"/>
          <w:szCs w:val="32"/>
        </w:rPr>
      </w:pPr>
      <w:r>
        <w:rPr>
          <w:rFonts w:ascii="Times New Roman" w:hAnsi="Times New Roman" w:eastAsia="仿宋_GB2312"/>
          <w:b/>
          <w:color w:val="000000"/>
          <w:sz w:val="32"/>
          <w:szCs w:val="32"/>
        </w:rPr>
        <w:t>3</w:t>
      </w:r>
      <w:r>
        <w:rPr>
          <w:rFonts w:hint="eastAsia" w:ascii="Times New Roman" w:hAnsi="Times New Roman" w:eastAsia="仿宋_GB2312"/>
          <w:b/>
          <w:color w:val="000000"/>
          <w:sz w:val="32"/>
          <w:szCs w:val="32"/>
        </w:rPr>
        <w:t>、其他收入：</w:t>
      </w:r>
      <w:r>
        <w:rPr>
          <w:rFonts w:hint="eastAsia" w:ascii="Times New Roman" w:hAnsi="Times New Roman" w:eastAsia="仿宋_GB2312"/>
          <w:color w:val="000000"/>
          <w:sz w:val="32"/>
          <w:szCs w:val="32"/>
        </w:rPr>
        <w:t>指除</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一般公共预算拨款收入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事业收入</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4</w:t>
      </w:r>
      <w:r>
        <w:rPr>
          <w:rFonts w:hint="eastAsia" w:ascii="Times New Roman" w:hAnsi="Times New Roman" w:eastAsia="仿宋_GB2312"/>
          <w:b/>
          <w:color w:val="000000"/>
          <w:sz w:val="32"/>
          <w:szCs w:val="32"/>
        </w:rPr>
        <w:t>、基本支出：</w:t>
      </w:r>
      <w:r>
        <w:rPr>
          <w:rFonts w:hint="eastAsia" w:ascii="Times New Roman" w:hAnsi="Times New Roman" w:eastAsia="仿宋_GB2312"/>
          <w:color w:val="000000"/>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5</w:t>
      </w:r>
      <w:r>
        <w:rPr>
          <w:rFonts w:hint="eastAsia" w:ascii="Times New Roman" w:hAnsi="Times New Roman" w:eastAsia="仿宋_GB2312"/>
          <w:b/>
          <w:color w:val="000000"/>
          <w:sz w:val="32"/>
          <w:szCs w:val="32"/>
        </w:rPr>
        <w:t>、项目支出：</w:t>
      </w:r>
      <w:r>
        <w:rPr>
          <w:rFonts w:hint="eastAsia" w:ascii="Times New Roman" w:hAnsi="Times New Roman" w:eastAsia="仿宋_GB2312"/>
          <w:color w:val="000000"/>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6</w:t>
      </w:r>
      <w:r>
        <w:rPr>
          <w:rFonts w:hint="eastAsia" w:ascii="Times New Roman" w:hAnsi="Times New Roman" w:eastAsia="仿宋_GB2312"/>
          <w:b/>
          <w:color w:val="000000"/>
          <w:sz w:val="32"/>
          <w:szCs w:val="32"/>
        </w:rPr>
        <w:t>、上缴上级支出：</w:t>
      </w:r>
      <w:r>
        <w:rPr>
          <w:rFonts w:hint="eastAsia" w:ascii="Times New Roman" w:hAnsi="Times New Roman" w:eastAsia="仿宋_GB2312"/>
          <w:color w:val="000000"/>
          <w:sz w:val="32"/>
          <w:szCs w:val="32"/>
        </w:rPr>
        <w:t>指下级单位上缴上级的支出。</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7</w:t>
      </w:r>
      <w:r>
        <w:rPr>
          <w:rFonts w:hint="eastAsia" w:ascii="Times New Roman" w:hAnsi="Times New Roman" w:eastAsia="仿宋_GB2312"/>
          <w:b/>
          <w:color w:val="000000"/>
          <w:sz w:val="32"/>
          <w:szCs w:val="32"/>
        </w:rPr>
        <w:t>、</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三公</w:t>
      </w:r>
      <w:r>
        <w:rPr>
          <w:rFonts w:ascii="Times New Roman" w:hAnsi="Times New Roman" w:eastAsia="仿宋_GB2312"/>
          <w:b/>
          <w:color w:val="000000"/>
          <w:sz w:val="32"/>
          <w:szCs w:val="32"/>
        </w:rPr>
        <w:t>”</w:t>
      </w:r>
      <w:r>
        <w:rPr>
          <w:rFonts w:hint="eastAsia" w:ascii="Times New Roman" w:hAnsi="Times New Roman" w:eastAsia="仿宋_GB2312"/>
          <w:b/>
          <w:color w:val="000000"/>
          <w:sz w:val="32"/>
          <w:szCs w:val="32"/>
        </w:rPr>
        <w:t>经费：</w:t>
      </w:r>
      <w:r>
        <w:rPr>
          <w:rFonts w:hint="eastAsia" w:ascii="Times New Roman" w:hAnsi="Times New Roman" w:eastAsia="仿宋_GB2312"/>
          <w:color w:val="000000"/>
          <w:sz w:val="32"/>
          <w:szCs w:val="32"/>
        </w:rPr>
        <w:t>纳入</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rPr>
        <w:t>级财政预算管理的</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三公</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经费，是指</w:t>
      </w:r>
      <w:r>
        <w:rPr>
          <w:rFonts w:hint="eastAsia" w:ascii="Times New Roman" w:hAnsi="Times New Roman" w:eastAsia="仿宋_GB2312"/>
          <w:color w:val="000000"/>
          <w:sz w:val="32"/>
          <w:szCs w:val="32"/>
          <w:lang w:eastAsia="zh-CN"/>
        </w:rPr>
        <w:t>区</w:t>
      </w:r>
      <w:r>
        <w:rPr>
          <w:rFonts w:hint="eastAsia" w:ascii="Times New Roman" w:hAnsi="Times New Roman" w:eastAsia="仿宋_GB2312"/>
          <w:color w:val="000000"/>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8</w:t>
      </w:r>
      <w:r>
        <w:rPr>
          <w:rFonts w:hint="eastAsia" w:ascii="Times New Roman" w:hAnsi="Times New Roman" w:eastAsia="仿宋_GB2312"/>
          <w:b/>
          <w:color w:val="000000"/>
          <w:sz w:val="32"/>
          <w:szCs w:val="32"/>
        </w:rPr>
        <w:t>、机关运行费：</w:t>
      </w:r>
      <w:r>
        <w:rPr>
          <w:rFonts w:hint="eastAsia" w:ascii="Times New Roman" w:hAnsi="Times New Roman" w:eastAsia="仿宋_GB2312"/>
          <w:color w:val="000000"/>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9</w:t>
      </w:r>
      <w:r>
        <w:rPr>
          <w:rFonts w:hint="eastAsia" w:ascii="Times New Roman" w:hAnsi="Times New Roman" w:eastAsia="仿宋_GB2312"/>
          <w:b/>
          <w:color w:val="000000"/>
          <w:sz w:val="32"/>
          <w:szCs w:val="32"/>
        </w:rPr>
        <w:t>、上年结转：</w:t>
      </w:r>
      <w:r>
        <w:rPr>
          <w:rFonts w:hint="eastAsia" w:ascii="Times New Roman" w:hAnsi="Times New Roman" w:eastAsia="仿宋_GB2312"/>
          <w:color w:val="000000"/>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sz w:val="32"/>
          <w:szCs w:val="32"/>
        </w:rPr>
        <w:t>10</w:t>
      </w:r>
      <w:r>
        <w:rPr>
          <w:rFonts w:hint="eastAsia" w:ascii="Times New Roman" w:hAnsi="Times New Roman" w:eastAsia="仿宋_GB2312"/>
          <w:b/>
          <w:color w:val="000000"/>
          <w:sz w:val="32"/>
          <w:szCs w:val="32"/>
        </w:rPr>
        <w:t>、事业单位经营支出：</w:t>
      </w:r>
      <w:r>
        <w:rPr>
          <w:rFonts w:hint="eastAsia" w:ascii="Times New Roman" w:hAnsi="Times New Roman" w:eastAsia="仿宋_GB2312"/>
          <w:color w:val="000000"/>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olor w:val="000000"/>
          <w:sz w:val="32"/>
          <w:szCs w:val="32"/>
        </w:rPr>
      </w:pPr>
      <w:r>
        <w:rPr>
          <w:rFonts w:hint="eastAsia" w:ascii="Times New Roman" w:hAnsi="黑体" w:eastAsia="黑体"/>
          <w:color w:val="000000"/>
          <w:sz w:val="32"/>
          <w:szCs w:val="32"/>
        </w:rPr>
        <w:t>九、其他需要说明的事项</w:t>
      </w:r>
    </w:p>
    <w:p>
      <w:pPr>
        <w:spacing w:line="584"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我部门无其他需要说明的事项。</w:t>
      </w: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Arial Unicode MS"/>
    <w:panose1 w:val="03000509000000000000"/>
    <w:charset w:val="86"/>
    <w:family w:val="roma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10</w:t>
    </w:r>
    <w:r>
      <w:rPr>
        <w:rStyle w:val="12"/>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CB2ECF"/>
    <w:multiLevelType w:val="singleLevel"/>
    <w:tmpl w:val="2CCB2E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39E5524"/>
    <w:rsid w:val="041E688C"/>
    <w:rsid w:val="04ED54D1"/>
    <w:rsid w:val="089B4F7F"/>
    <w:rsid w:val="100046AB"/>
    <w:rsid w:val="113A7C31"/>
    <w:rsid w:val="1C024585"/>
    <w:rsid w:val="1E974683"/>
    <w:rsid w:val="211A2265"/>
    <w:rsid w:val="285238C6"/>
    <w:rsid w:val="367320EE"/>
    <w:rsid w:val="37055B9E"/>
    <w:rsid w:val="39F763E8"/>
    <w:rsid w:val="3DDE2108"/>
    <w:rsid w:val="3E4B7C13"/>
    <w:rsid w:val="43145A5B"/>
    <w:rsid w:val="4353315E"/>
    <w:rsid w:val="471C6427"/>
    <w:rsid w:val="4CE33175"/>
    <w:rsid w:val="4FC508B7"/>
    <w:rsid w:val="50863BE1"/>
    <w:rsid w:val="547C300D"/>
    <w:rsid w:val="57750584"/>
    <w:rsid w:val="59AB32FF"/>
    <w:rsid w:val="5B1E5AD2"/>
    <w:rsid w:val="61B84C22"/>
    <w:rsid w:val="632B5A20"/>
    <w:rsid w:val="64990CD3"/>
    <w:rsid w:val="67382CC1"/>
    <w:rsid w:val="6B4141BF"/>
    <w:rsid w:val="710F7C41"/>
    <w:rsid w:val="726242EB"/>
    <w:rsid w:val="72724B68"/>
    <w:rsid w:val="75933713"/>
    <w:rsid w:val="79117F59"/>
    <w:rsid w:val="79AC6666"/>
    <w:rsid w:val="79DE3418"/>
    <w:rsid w:val="7B250953"/>
    <w:rsid w:val="7ECF2949"/>
    <w:rsid w:val="7F7D00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8"/>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next w:val="3"/>
    <w:qFormat/>
    <w:uiPriority w:val="99"/>
    <w:pPr>
      <w:spacing w:before="100" w:beforeAutospacing="1" w:after="100" w:afterAutospacing="1"/>
      <w:jc w:val="left"/>
    </w:pPr>
    <w:rPr>
      <w:rFonts w:ascii="宋体" w:hAnsi="Times New Roman"/>
      <w:sz w:val="24"/>
      <w:szCs w:val="20"/>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unhideWhenUsed/>
    <w:qFormat/>
    <w:uiPriority w:val="99"/>
  </w:style>
  <w:style w:type="character" w:styleId="13">
    <w:name w:val="footnote reference"/>
    <w:semiHidden/>
    <w:unhideWhenUsed/>
    <w:qFormat/>
    <w:uiPriority w:val="99"/>
    <w:rPr>
      <w:vertAlign w:val="superscript"/>
    </w:rPr>
  </w:style>
  <w:style w:type="character" w:customStyle="1" w:styleId="14">
    <w:name w:val="页眉 Char"/>
    <w:basedOn w:val="11"/>
    <w:link w:val="4"/>
    <w:qFormat/>
    <w:uiPriority w:val="99"/>
    <w:rPr>
      <w:rFonts w:ascii="Times New Roman" w:hAnsi="Times New Roman" w:eastAsia="宋体" w:cs="Times New Roman"/>
      <w:sz w:val="18"/>
      <w:szCs w:val="18"/>
    </w:rPr>
  </w:style>
  <w:style w:type="character" w:customStyle="1" w:styleId="15">
    <w:name w:val="页脚 Char"/>
    <w:basedOn w:val="11"/>
    <w:link w:val="3"/>
    <w:qFormat/>
    <w:uiPriority w:val="99"/>
    <w:rPr>
      <w:rFonts w:ascii="Times New Roman" w:hAnsi="Times New Roman" w:eastAsia="宋体" w:cs="Times New Roman"/>
      <w:sz w:val="18"/>
      <w:szCs w:val="18"/>
    </w:rPr>
  </w:style>
  <w:style w:type="character" w:customStyle="1" w:styleId="16">
    <w:name w:val="批注框文本 Char"/>
    <w:basedOn w:val="11"/>
    <w:link w:val="2"/>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8">
    <w:name w:val="脚注文本 Char"/>
    <w:basedOn w:val="11"/>
    <w:link w:val="6"/>
    <w:semiHidden/>
    <w:qFormat/>
    <w:uiPriority w:val="99"/>
    <w:rPr>
      <w:rFonts w:ascii="Calibri" w:hAnsi="Calibri" w:eastAsia="宋体" w:cs="Times New Roman"/>
      <w:sz w:val="18"/>
      <w:szCs w:val="18"/>
    </w:rPr>
  </w:style>
  <w:style w:type="paragraph" w:customStyle="1" w:styleId="19">
    <w:name w:val="p.MsoNormal"/>
    <w:basedOn w:val="1"/>
    <w:qFormat/>
    <w:uiPriority w:val="4"/>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BA290-0C30-48C8-ABCF-DC7B6E0A4F4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394</Words>
  <Characters>2252</Characters>
  <Lines>18</Lines>
  <Paragraphs>5</Paragraphs>
  <TotalTime>29</TotalTime>
  <ScaleCrop>false</ScaleCrop>
  <LinksUpToDate>false</LinksUpToDate>
  <CharactersWithSpaces>2641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lenovo</cp:lastModifiedBy>
  <cp:lastPrinted>2019-02-18T02:45:00Z</cp:lastPrinted>
  <dcterms:modified xsi:type="dcterms:W3CDTF">2023-06-08T07:15:40Z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F448DEC697F94AC598325E57E5AA0369</vt:lpwstr>
  </property>
</Properties>
</file>