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中国共产党廊坊市广阳区委员会老干部局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中国共产党廊坊市广阳区委员会老干部局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20" w:lineRule="exact"/>
        <w:ind w:firstLine="645"/>
        <w:rPr>
          <w:rFonts w:ascii="仿宋_GB2312" w:eastAsia="仿宋_GB2312"/>
          <w:sz w:val="32"/>
          <w:szCs w:val="32"/>
        </w:rPr>
      </w:pPr>
      <w:r>
        <w:rPr>
          <w:rFonts w:hint="eastAsia" w:ascii="仿宋_GB2312" w:eastAsia="仿宋_GB2312"/>
          <w:sz w:val="32"/>
          <w:szCs w:val="32"/>
        </w:rPr>
        <w:t>（一）全面贯彻加强党对离退休干部工作集中统一领导要求。负责宣传贯彻落实党中央国务院、省委省政府、市委市政府和区委区政府关于离退休干部工作的方针政策；拟定或参与拟订全区离退休干部工作有关具体规定和办法；总结宣传全区离退休干部工作和先进典型。</w:t>
      </w:r>
    </w:p>
    <w:p>
      <w:pPr>
        <w:spacing w:line="620" w:lineRule="exact"/>
        <w:ind w:firstLine="645"/>
        <w:rPr>
          <w:rFonts w:ascii="仿宋_GB2312" w:eastAsia="仿宋_GB2312"/>
          <w:sz w:val="32"/>
          <w:szCs w:val="32"/>
        </w:rPr>
      </w:pPr>
      <w:r>
        <w:rPr>
          <w:rFonts w:hint="eastAsia" w:ascii="仿宋_GB2312" w:eastAsia="仿宋_GB2312"/>
          <w:sz w:val="32"/>
          <w:szCs w:val="32"/>
        </w:rPr>
        <w:t>（二）负责指导、督促、检查全区各部门离退休干部工作；组织和协调有关部门做好离退休干部工作。</w:t>
      </w:r>
    </w:p>
    <w:p>
      <w:pPr>
        <w:spacing w:line="620" w:lineRule="exact"/>
        <w:ind w:firstLine="645"/>
        <w:rPr>
          <w:rFonts w:ascii="仿宋_GB2312" w:eastAsia="仿宋_GB2312"/>
          <w:sz w:val="32"/>
          <w:szCs w:val="32"/>
        </w:rPr>
      </w:pPr>
      <w:r>
        <w:rPr>
          <w:rFonts w:hint="eastAsia" w:ascii="仿宋_GB2312" w:eastAsia="仿宋_GB2312"/>
          <w:sz w:val="32"/>
          <w:szCs w:val="32"/>
        </w:rPr>
        <w:t>（三）负责督促检查全区各部门落实离退休干部的政治和生活待遇，做好走访慰问工作。抓好离休干部“两费”（离休费、医药费）的落实；调查研究离退休干部政治和生活待遇中存在的问题，协调有关部门提出解决办法。</w:t>
      </w:r>
    </w:p>
    <w:p>
      <w:pPr>
        <w:spacing w:line="620" w:lineRule="exact"/>
        <w:ind w:firstLine="645"/>
        <w:rPr>
          <w:rFonts w:ascii="仿宋_GB2312" w:eastAsia="仿宋_GB2312"/>
          <w:sz w:val="32"/>
          <w:szCs w:val="32"/>
        </w:rPr>
      </w:pPr>
      <w:r>
        <w:rPr>
          <w:rFonts w:hint="eastAsia" w:ascii="仿宋_GB2312" w:eastAsia="仿宋_GB2312"/>
          <w:sz w:val="32"/>
          <w:szCs w:val="32"/>
        </w:rP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620" w:lineRule="exact"/>
        <w:ind w:firstLine="645"/>
        <w:rPr>
          <w:rFonts w:ascii="仿宋_GB2312" w:eastAsia="仿宋_GB2312"/>
          <w:sz w:val="32"/>
          <w:szCs w:val="32"/>
        </w:rPr>
      </w:pPr>
      <w:r>
        <w:rPr>
          <w:rFonts w:hint="eastAsia" w:ascii="仿宋_GB2312" w:eastAsia="仿宋_GB2312"/>
          <w:sz w:val="32"/>
          <w:szCs w:val="32"/>
        </w:rPr>
        <w:t>（五）指导老干部活动中心等学习活动阵地建设与管理。</w:t>
      </w:r>
    </w:p>
    <w:p>
      <w:pPr>
        <w:spacing w:line="620" w:lineRule="exact"/>
        <w:ind w:firstLine="645"/>
        <w:rPr>
          <w:rFonts w:ascii="仿宋_GB2312" w:eastAsia="仿宋_GB2312"/>
          <w:sz w:val="32"/>
          <w:szCs w:val="32"/>
        </w:rPr>
      </w:pPr>
      <w:r>
        <w:rPr>
          <w:rFonts w:hint="eastAsia" w:ascii="仿宋_GB2312" w:eastAsia="仿宋_GB2312"/>
          <w:sz w:val="32"/>
          <w:szCs w:val="32"/>
        </w:rPr>
        <w:t>（六）指导各单位组织离退休干部利用自身优势，在政治、经济、文化和青少年教育等各领域发挥作用，增添正能量。</w:t>
      </w:r>
    </w:p>
    <w:p>
      <w:pPr>
        <w:spacing w:line="620" w:lineRule="exact"/>
        <w:ind w:firstLine="645"/>
        <w:rPr>
          <w:rFonts w:ascii="仿宋_GB2312" w:eastAsia="仿宋_GB2312"/>
          <w:sz w:val="32"/>
          <w:szCs w:val="32"/>
        </w:rPr>
      </w:pPr>
      <w:r>
        <w:rPr>
          <w:rFonts w:hint="eastAsia" w:ascii="仿宋_GB2312" w:eastAsia="仿宋_GB2312"/>
          <w:sz w:val="32"/>
          <w:szCs w:val="32"/>
        </w:rPr>
        <w:t>（七）了解离退休干部对医疗保健方面的意见和要求。组织指导离退休干部开展健康科学的文化健身、保健讲座、健康疗养、参观学习等活动。</w:t>
      </w:r>
    </w:p>
    <w:p>
      <w:pPr>
        <w:spacing w:line="620" w:lineRule="exact"/>
        <w:ind w:firstLine="645"/>
        <w:rPr>
          <w:rFonts w:ascii="仿宋_GB2312" w:eastAsia="仿宋_GB2312"/>
          <w:sz w:val="32"/>
          <w:szCs w:val="32"/>
        </w:rPr>
      </w:pPr>
      <w:r>
        <w:rPr>
          <w:rFonts w:hint="eastAsia" w:ascii="仿宋_GB2312" w:eastAsia="仿宋_GB2312"/>
          <w:sz w:val="32"/>
          <w:szCs w:val="32"/>
        </w:rPr>
        <w:t>（八）负责易地安置离休干部服务管理工作。</w:t>
      </w:r>
    </w:p>
    <w:p>
      <w:pPr>
        <w:spacing w:line="620" w:lineRule="exact"/>
        <w:ind w:firstLine="645"/>
        <w:rPr>
          <w:rFonts w:ascii="仿宋_GB2312" w:eastAsia="仿宋_GB2312"/>
          <w:sz w:val="32"/>
          <w:szCs w:val="32"/>
        </w:rPr>
      </w:pPr>
      <w:r>
        <w:rPr>
          <w:rFonts w:hint="eastAsia" w:ascii="仿宋_GB2312" w:eastAsia="仿宋_GB2312"/>
          <w:sz w:val="32"/>
          <w:szCs w:val="32"/>
        </w:rPr>
        <w:t>（九）负责回广阳区老干部探亲访友和各省区市老干部工作部门到广阳区的联络接待工作。</w:t>
      </w:r>
    </w:p>
    <w:p>
      <w:pPr>
        <w:spacing w:line="620" w:lineRule="exact"/>
        <w:ind w:firstLine="645"/>
        <w:rPr>
          <w:rFonts w:ascii="仿宋_GB2312" w:eastAsia="仿宋_GB2312"/>
          <w:sz w:val="32"/>
          <w:szCs w:val="32"/>
        </w:rPr>
      </w:pPr>
      <w:r>
        <w:rPr>
          <w:rFonts w:hint="eastAsia" w:ascii="仿宋_GB2312" w:eastAsia="仿宋_GB2312"/>
          <w:sz w:val="32"/>
          <w:szCs w:val="32"/>
        </w:rPr>
        <w:t>（十）协调协助逝世老干部所在单位做好相关善后工作，协助承办区委交办丧葬事宜。</w:t>
      </w:r>
    </w:p>
    <w:p>
      <w:pPr>
        <w:spacing w:line="620" w:lineRule="exact"/>
        <w:ind w:firstLine="645"/>
        <w:rPr>
          <w:rFonts w:ascii="仿宋_GB2312" w:eastAsia="仿宋_GB2312"/>
          <w:sz w:val="32"/>
          <w:szCs w:val="32"/>
        </w:rPr>
      </w:pPr>
      <w:r>
        <w:rPr>
          <w:rFonts w:hint="eastAsia" w:ascii="仿宋_GB2312" w:eastAsia="仿宋_GB2312"/>
          <w:sz w:val="32"/>
          <w:szCs w:val="32"/>
        </w:rPr>
        <w:t>（十一）承担区老干部工作领导小组的日常工作。</w:t>
      </w:r>
    </w:p>
    <w:p>
      <w:pPr>
        <w:spacing w:line="620" w:lineRule="exact"/>
        <w:ind w:firstLine="645"/>
        <w:rPr>
          <w:rFonts w:ascii="仿宋_GB2312" w:eastAsia="仿宋_GB2312"/>
          <w:sz w:val="32"/>
          <w:szCs w:val="32"/>
        </w:rPr>
      </w:pPr>
      <w:r>
        <w:rPr>
          <w:rFonts w:hint="eastAsia" w:ascii="仿宋_GB2312" w:eastAsia="仿宋_GB2312"/>
          <w:sz w:val="32"/>
          <w:szCs w:val="32"/>
        </w:rPr>
        <w:t>（十二）完成区委交办的其他任务。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中国共产党廊坊市广阳区委员会老干部局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val="en-US" w:eastAsia="zh-C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rPr>
              <w:t>财政拨款</w:t>
            </w:r>
            <w:r>
              <w:rPr>
                <w:rFonts w:hint="eastAsia" w:ascii="Times New Roman" w:hAnsi="Times New Roman" w:eastAsia="仿宋_GB2312" w:cs="Times New Roman"/>
                <w:b/>
                <w:lang w:eastAsia="zh-CN"/>
              </w:rPr>
              <w:t>（</w:t>
            </w:r>
            <w:r>
              <w:rPr>
                <w:rFonts w:hint="eastAsia" w:ascii="Times New Roman" w:hAnsi="Times New Roman" w:eastAsia="仿宋_GB2312" w:cs="Times New Roman"/>
                <w:b/>
                <w:lang w:val="en-US" w:eastAsia="zh-CN"/>
              </w:rPr>
              <w:t>行政</w:t>
            </w:r>
            <w:r>
              <w:rPr>
                <w:rFonts w:hint="eastAsia" w:ascii="Times New Roman" w:hAnsi="Times New Roman" w:eastAsia="仿宋_GB2312" w:cs="Times New Roman"/>
                <w:b/>
                <w:lang w:eastAsia="zh-CN"/>
              </w:rPr>
              <w:t>）</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中国共产党廊坊市广阳区委员会老干部局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723.46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723.46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收支预算总表支出栏、基本支出表、项目支出表按经济分类和支出功能分类科目编制，反映中国共产党廊坊市广阳区委员会老干部局</w:t>
      </w:r>
      <w:r>
        <w:rPr>
          <w:rFonts w:hint="eastAsia" w:ascii="Times New Roman" w:hAnsi="Times New Roman" w:eastAsia="仿宋_GB2312" w:cs="Times New Roman"/>
          <w:sz w:val="32"/>
          <w:szCs w:val="32"/>
        </w:rPr>
        <w:t>2021年度</w:t>
      </w:r>
      <w:r>
        <w:rPr>
          <w:rFonts w:ascii="Times New Roman" w:hAnsi="Times New Roman" w:eastAsia="仿宋_GB2312" w:cs="Times New Roman"/>
          <w:sz w:val="32"/>
          <w:szCs w:val="32"/>
        </w:rPr>
        <w:t>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723.46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418.46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393.05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25.41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305</w:t>
      </w:r>
      <w:r>
        <w:rPr>
          <w:rFonts w:ascii="Times New Roman" w:hAnsi="Times New Roman" w:eastAsia="仿宋_GB2312" w:cs="Times New Roman"/>
          <w:sz w:val="32"/>
          <w:szCs w:val="32"/>
        </w:rPr>
        <w:t>万元，包括本级支出，为</w:t>
      </w:r>
      <w:r>
        <w:rPr>
          <w:rFonts w:hint="eastAsia" w:ascii="Times New Roman" w:hAnsi="Times New Roman" w:eastAsia="仿宋_GB2312" w:cs="Times New Roman"/>
          <w:sz w:val="32"/>
          <w:szCs w:val="32"/>
        </w:rPr>
        <w:t>离休干部医疗费305万元。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723.46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36.38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8.78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减少4.92万元，日常公用经费减少3.86万元</w:t>
      </w:r>
      <w:r>
        <w:rPr>
          <w:rFonts w:ascii="Times New Roman" w:hAnsi="Times New Roman" w:eastAsia="仿宋_GB2312" w:cs="Times New Roman"/>
          <w:sz w:val="32"/>
          <w:szCs w:val="32"/>
        </w:rPr>
        <w:t>；项目支出减少</w:t>
      </w:r>
      <w:r>
        <w:rPr>
          <w:rFonts w:hint="eastAsia" w:ascii="Times New Roman" w:hAnsi="Times New Roman" w:eastAsia="仿宋_GB2312" w:cs="Times New Roman"/>
          <w:sz w:val="32"/>
          <w:szCs w:val="32"/>
        </w:rPr>
        <w:t>27.6</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为2021年只获批了离休干部医疗费一个项目，项目减少了</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25.41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广阳区委老干部局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787" w:firstLineChars="246"/>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贯彻加强党对离退休干部工作集中统一领导要求。负责宣传贯彻落实党中央国务院、省委省政府、市委市政府和区委区政府关于离退休干部工作的方针政策；拟定或参与拟订全区离退休干部工作有关具体规定和办法；总结宣传全区离退休干部工作和先进典型。负责指导、督促、检查全区各部门离退休干部工作；组织和协调有关部门做好离退休干部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负责督促检查全区各部门落实离退休干部的政治和生活待遇，做好重大节日走访慰问工作。抓好离休干部“两费”（离休费、医药费）的落实，了解离退休干部对医疗保健方面的意见和要求；调查研究离退休干部政治和生活待遇中存在的问题，协调有关部门提出解决办法。协调协助逝世老干部所在单位做好相关善后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2、指导老干部活动中心等学习活动阵地建设与管理。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3、加强对全区离退休干部的政治引领和教育管理。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4、指导各单位组织离退休干部利用自身优势，在政治、经济、文化和青少年教育等各领域发挥作用，增添正能量。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30" w:firstLineChars="196"/>
        <w:jc w:val="left"/>
        <w:rPr>
          <w:rFonts w:ascii="仿宋" w:hAnsi="仿宋" w:eastAsia="仿宋" w:cs="Times New Roman"/>
          <w:bCs/>
          <w:sz w:val="32"/>
          <w:szCs w:val="32"/>
        </w:rPr>
      </w:pPr>
      <w:r>
        <w:rPr>
          <w:rFonts w:hint="eastAsia" w:ascii="Times New Roman" w:hAnsi="Times New Roman" w:eastAsia="仿宋_GB2312" w:cs="Times New Roman"/>
          <w:b/>
          <w:bCs/>
          <w:sz w:val="32"/>
          <w:szCs w:val="32"/>
        </w:rPr>
        <w:t xml:space="preserve">  </w:t>
      </w:r>
      <w:r>
        <w:rPr>
          <w:rFonts w:hint="eastAsia" w:ascii="仿宋" w:hAnsi="仿宋" w:eastAsia="仿宋" w:cs="Times New Roman"/>
          <w:bCs/>
          <w:sz w:val="32"/>
          <w:szCs w:val="32"/>
        </w:rPr>
        <w:t>一、以十九大精神为指导，做好新时期下老干部工作</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（一）宣传贯彻十九大精神，做好老干部政治思想工作</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1、全面落实好离退休干部政治待遇。</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2、加强离退休干部党支部建设，使离退休党员领悟初心使命，增强党的意识，坚定理想信念。</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（二）以老干部工作政策为依据，全面落实老干部生活待遇。</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1、是开展走访慰问工作。</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xml:space="preserve">    2、是认真宣传贯彻落实党中央国务院、省委省政府、市委市政府和区委区政府关于离退休干部工作的方针政策，认真做好有关离退休干部政治待遇与生活待遇工作。</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xml:space="preserve">    3、全心全意做好离休干部医疗服务工作，让老干部老有所医，共享改革发展红利。四是充分运用信息化平台，加强全区离退休干部信息服务管理水平。</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二、充分发挥离退休干部独特优势，为党和人民的事业增添正能量</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通过搭建老体协、老年书画、关工委等涉老平台，充分发挥好离退休干部的各项作用。</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三、强化离退休干部服务工作队伍建设，不断开创老干部服务工作新局面</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始终坚持把政治建设放在首位，引导局机关党员干部牢固树立“四个意识”、坚定“四个自信”、坚决做到“两个维护”，自觉在思想上政治上行动上同以习近平同志为核心的党中央保持高度一致。加强组织领导，提升基层党组织执行力和组织力。</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四、强化责任落实，深化作风建设，提升工作水平</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xml:space="preserve">    （一）强化责任担当，深化责任意识，确保党风廉政建设工作落实。加强党风廉政建设工作的全程痕迹管理；进一步规范“三重一大”事项集体决策制度和程序；严格执行有关财务制度，抓好财务工作。</w:t>
      </w:r>
    </w:p>
    <w:p>
      <w:pPr>
        <w:overflowPunct w:val="0"/>
        <w:adjustRightInd w:val="0"/>
        <w:snapToGrid w:val="0"/>
        <w:spacing w:afterLines="50" w:line="580" w:lineRule="exact"/>
        <w:ind w:firstLine="627" w:firstLineChars="196"/>
        <w:jc w:val="left"/>
        <w:rPr>
          <w:rFonts w:ascii="仿宋" w:hAnsi="仿宋" w:eastAsia="仿宋" w:cs="Times New Roman"/>
          <w:bCs/>
          <w:sz w:val="32"/>
          <w:szCs w:val="32"/>
        </w:rPr>
      </w:pPr>
      <w:r>
        <w:rPr>
          <w:rFonts w:hint="eastAsia" w:ascii="仿宋" w:hAnsi="仿宋" w:eastAsia="仿宋" w:cs="Times New Roman"/>
          <w:bCs/>
          <w:sz w:val="32"/>
          <w:szCs w:val="32"/>
        </w:rPr>
        <w:t xml:space="preserve">    （二）持续深化作风，强化日常监督，保持作风建设常态化，继续深化落实中央八项规定精神。</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8"/>
        <w:gridCol w:w="538"/>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599"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8" w:type="dxa"/>
            <w:vMerge w:val="continue"/>
            <w:tcBorders>
              <w:tl2br w:val="nil"/>
              <w:tr2bl w:val="nil"/>
            </w:tcBorders>
            <w:vAlign w:val="center"/>
          </w:tcPr>
          <w:p/>
        </w:tc>
        <w:tc>
          <w:tcPr>
            <w:tcW w:w="53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资金支出率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资金使用支出率不低于90%</w:t>
            </w:r>
          </w:p>
        </w:tc>
        <w:tc>
          <w:tcPr>
            <w:tcW w:w="1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资金支出数占全年预算数的比例</w:t>
            </w:r>
          </w:p>
        </w:tc>
        <w:tc>
          <w:tcPr>
            <w:tcW w:w="53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rPr>
                <w:rFonts w:ascii="宋体" w:hAnsi="宋体" w:cs="宋体"/>
                <w:color w:val="000000"/>
                <w:sz w:val="20"/>
                <w:szCs w:val="20"/>
              </w:rPr>
            </w:pPr>
            <w:r>
              <w:rPr>
                <w:rFonts w:hint="eastAsia"/>
                <w:color w:val="000000"/>
                <w:sz w:val="20"/>
                <w:szCs w:val="20"/>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满足工作需求</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资金是否用于本单位工作需求</w:t>
            </w:r>
          </w:p>
        </w:tc>
        <w:tc>
          <w:tcPr>
            <w:tcW w:w="1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资金支出是否满足单位有关工作需求</w:t>
            </w:r>
          </w:p>
        </w:tc>
        <w:tc>
          <w:tcPr>
            <w:tcW w:w="538"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w:t>
            </w:r>
          </w:p>
        </w:tc>
        <w:tc>
          <w:tcPr>
            <w:tcW w:w="1277" w:type="dxa"/>
            <w:tcBorders>
              <w:tl2br w:val="nil"/>
              <w:tr2bl w:val="nil"/>
            </w:tcBorders>
          </w:tcPr>
          <w:p>
            <w:r>
              <w:rPr>
                <w:rFonts w:hint="eastAsia"/>
                <w:color w:val="000000"/>
                <w:sz w:val="20"/>
                <w:szCs w:val="20"/>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人员经费按时发放率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按时发放率不低于90%</w:t>
            </w:r>
          </w:p>
        </w:tc>
        <w:tc>
          <w:tcPr>
            <w:tcW w:w="1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人员工资、社保等按时支出的数量与应支出数量的比例</w:t>
            </w:r>
          </w:p>
        </w:tc>
        <w:tc>
          <w:tcPr>
            <w:tcW w:w="53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tcPr>
          <w:p>
            <w:r>
              <w:rPr>
                <w:rFonts w:hint="eastAsia"/>
                <w:color w:val="000000"/>
                <w:sz w:val="20"/>
                <w:szCs w:val="20"/>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2"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资金预算率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列入预算资金与总支出资金的比例</w:t>
            </w:r>
          </w:p>
        </w:tc>
        <w:tc>
          <w:tcPr>
            <w:tcW w:w="1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列入预算资金与总支出资金的比例</w:t>
            </w:r>
          </w:p>
        </w:tc>
        <w:tc>
          <w:tcPr>
            <w:tcW w:w="53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tcPr>
          <w:p>
            <w:r>
              <w:rPr>
                <w:rFonts w:hint="eastAsia"/>
                <w:color w:val="000000"/>
                <w:sz w:val="20"/>
                <w:szCs w:val="20"/>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正常运转</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机关正常运转，工作有序开展。</w:t>
            </w:r>
          </w:p>
        </w:tc>
        <w:tc>
          <w:tcPr>
            <w:tcW w:w="1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机关是否正常运转</w:t>
            </w:r>
          </w:p>
        </w:tc>
        <w:tc>
          <w:tcPr>
            <w:tcW w:w="538"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正常运转</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color w:val="000000"/>
                <w:sz w:val="20"/>
                <w:szCs w:val="20"/>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8" w:type="dxa"/>
            <w:tcBorders>
              <w:tl2br w:val="nil"/>
              <w:tr2bl w:val="nil"/>
            </w:tcBorders>
            <w:vAlign w:val="center"/>
          </w:tcPr>
          <w:p>
            <w:pPr>
              <w:widowControl/>
              <w:adjustRightInd w:val="0"/>
              <w:snapToGrid w:val="0"/>
              <w:rPr>
                <w:rFonts w:ascii="方正书宋_GBK" w:eastAsia="方正书宋_GBK"/>
              </w:rPr>
            </w:pPr>
          </w:p>
        </w:tc>
        <w:tc>
          <w:tcPr>
            <w:tcW w:w="538"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8" w:type="dxa"/>
            <w:tcBorders>
              <w:tl2br w:val="nil"/>
              <w:tr2bl w:val="nil"/>
            </w:tcBorders>
            <w:vAlign w:val="center"/>
          </w:tcPr>
          <w:p>
            <w:pPr>
              <w:widowControl/>
              <w:adjustRightInd w:val="0"/>
              <w:snapToGrid w:val="0"/>
              <w:rPr>
                <w:rFonts w:ascii="方正书宋_GBK" w:eastAsia="方正书宋_GBK"/>
              </w:rPr>
            </w:pPr>
          </w:p>
        </w:tc>
        <w:tc>
          <w:tcPr>
            <w:tcW w:w="538"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8" w:type="dxa"/>
            <w:tcBorders>
              <w:tl2br w:val="nil"/>
              <w:tr2bl w:val="nil"/>
            </w:tcBorders>
            <w:noWrap/>
            <w:vAlign w:val="center"/>
          </w:tcPr>
          <w:p>
            <w:pPr>
              <w:widowControl/>
              <w:adjustRightInd w:val="0"/>
              <w:snapToGrid w:val="0"/>
              <w:rPr>
                <w:rFonts w:ascii="方正书宋_GBK" w:eastAsia="方正书宋_GBK"/>
              </w:rPr>
            </w:pPr>
          </w:p>
        </w:tc>
        <w:tc>
          <w:tcPr>
            <w:tcW w:w="538"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群众满意度不低于90%</w:t>
            </w:r>
          </w:p>
        </w:tc>
        <w:tc>
          <w:tcPr>
            <w:tcW w:w="1488"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群众满意度占调查总数的比例</w:t>
            </w:r>
          </w:p>
        </w:tc>
        <w:tc>
          <w:tcPr>
            <w:tcW w:w="53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color w:val="000000"/>
                <w:sz w:val="20"/>
                <w:szCs w:val="20"/>
              </w:rPr>
              <w:t>廊广办字【2019】19号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both"/>
        <w:outlineLvl w:val="3"/>
        <w:rPr>
          <w:rFonts w:ascii="Times New Roman" w:hAnsi="宋体"/>
          <w:b w:val="0"/>
          <w:bCs/>
          <w:sz w:val="28"/>
        </w:rPr>
      </w:pPr>
      <w:bookmarkStart w:id="0" w:name="_Toc67181701"/>
      <w:r>
        <w:rPr>
          <w:rFonts w:hint="eastAsia" w:ascii="方正仿宋_GBK" w:eastAsia="方正仿宋_GBK"/>
          <w:b w:val="0"/>
          <w:bCs/>
          <w:sz w:val="28"/>
        </w:rPr>
        <w:t>1.离休干部医疗费补助资金绩效目标表</w:t>
      </w:r>
      <w:bookmarkEnd w:id="0"/>
      <w:r>
        <w:rPr>
          <w:rFonts w:ascii="方正仿宋_GBK" w:eastAsia="方正仿宋_GBK"/>
          <w:b w:val="0"/>
          <w:bCs/>
          <w:sz w:val="28"/>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1、离休干部医疗费补助资金绩效目标表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按季度组织各单位为离休干部汇总、审核、报销药费，做到按时</w:t>
            </w:r>
            <w:r>
              <w:rPr>
                <w:rFonts w:ascii="方正书宋_GBK" w:eastAsia="方正书宋_GBK"/>
              </w:rPr>
              <w:t>100%</w:t>
            </w:r>
            <w:r>
              <w:rPr>
                <w:rFonts w:hint="eastAsia" w:ascii="方正书宋_GBK" w:eastAsia="方正书宋_GBK"/>
              </w:rPr>
              <w:t>发放，不拖欠。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组织离休干部体检一次，为离休干部健康做好服务工作。</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报销人数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符合条件的可报销人数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享受待遇人数与应享受待遇总人数的比例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按时发放药费数与应发放药费数的比例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报销率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实际报销数与申报数的比例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就医率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就医人数／应就医人数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满意的服务对象人数／服务对象总人数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廊广办字【</w:t>
            </w:r>
            <w:r>
              <w:rPr>
                <w:rFonts w:ascii="方正书宋_GBK" w:eastAsia="方正书宋_GBK"/>
              </w:rPr>
              <w:t>2007</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540</w:t>
            </w:r>
            <w:r>
              <w:rPr>
                <w:rFonts w:hint="eastAsia" w:ascii="Times New Roman" w:hAnsi="Times New Roman" w:eastAsia="仿宋_GB2312" w:cs="Times New Roman"/>
                <w:sz w:val="24"/>
                <w:lang w:val="en-US" w:eastAsia="zh-CN"/>
              </w:rPr>
              <w:t>001]</w:t>
            </w:r>
            <w:r>
              <w:rPr>
                <w:rFonts w:hint="eastAsia" w:ascii="方正书宋_GBK" w:eastAsia="方正书宋_GBK" w:cs="Times New Roman"/>
                <w:b/>
              </w:rPr>
              <w:t>中国共产党廊坊市广阳区委员老干部局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无</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r>
        <w:rPr>
          <w:rFonts w:hint="eastAsia" w:ascii="Times New Roman" w:hAnsi="Times New Roman" w:eastAsia="仿宋_GB2312" w:cs="Times New Roman"/>
        </w:rPr>
        <w:t xml:space="preserve">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中国共产党廊坊市广阳区委员会老干部局（含所属单位）上年末固定资产金额为</w:t>
      </w:r>
      <w:r>
        <w:rPr>
          <w:rFonts w:hint="eastAsia" w:ascii="Times New Roman" w:hAnsi="Times New Roman" w:eastAsia="仿宋_GB2312" w:cs="Times New Roman"/>
          <w:sz w:val="32"/>
          <w:szCs w:val="32"/>
        </w:rPr>
        <w:t>221.182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无拟购置固定资产。</w:t>
      </w:r>
    </w:p>
    <w:p>
      <w:pPr>
        <w:spacing w:line="584" w:lineRule="exact"/>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中共</w:t>
            </w: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广阳区委老干部局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中国共产党廊坊市广阳区委员会老干部局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221.1821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22.5021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7D0E"/>
    <w:rsid w:val="0002012F"/>
    <w:rsid w:val="00031833"/>
    <w:rsid w:val="0003436A"/>
    <w:rsid w:val="00067F48"/>
    <w:rsid w:val="00074DF1"/>
    <w:rsid w:val="00234194"/>
    <w:rsid w:val="002D1FFD"/>
    <w:rsid w:val="002F0646"/>
    <w:rsid w:val="00301F9F"/>
    <w:rsid w:val="00356683"/>
    <w:rsid w:val="004A54AA"/>
    <w:rsid w:val="004B0D16"/>
    <w:rsid w:val="00505E69"/>
    <w:rsid w:val="00656421"/>
    <w:rsid w:val="006A4FC6"/>
    <w:rsid w:val="007104ED"/>
    <w:rsid w:val="00732BBB"/>
    <w:rsid w:val="00736984"/>
    <w:rsid w:val="00772649"/>
    <w:rsid w:val="00807A76"/>
    <w:rsid w:val="00816204"/>
    <w:rsid w:val="008D7C7D"/>
    <w:rsid w:val="008F0EB4"/>
    <w:rsid w:val="00A218C6"/>
    <w:rsid w:val="00A85FB1"/>
    <w:rsid w:val="00B0737C"/>
    <w:rsid w:val="00B17B32"/>
    <w:rsid w:val="00B50426"/>
    <w:rsid w:val="00B51C9E"/>
    <w:rsid w:val="00B80935"/>
    <w:rsid w:val="00BC5655"/>
    <w:rsid w:val="00C47DB9"/>
    <w:rsid w:val="00D16593"/>
    <w:rsid w:val="00D347CC"/>
    <w:rsid w:val="00D84F6A"/>
    <w:rsid w:val="00E27CE3"/>
    <w:rsid w:val="00EC4BBB"/>
    <w:rsid w:val="00F33CAC"/>
    <w:rsid w:val="00FC796B"/>
    <w:rsid w:val="08B32ADC"/>
    <w:rsid w:val="1EF00904"/>
    <w:rsid w:val="24F454FA"/>
    <w:rsid w:val="500C598E"/>
    <w:rsid w:val="5A145C3C"/>
    <w:rsid w:val="623F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779</Words>
  <Characters>4441</Characters>
  <Lines>37</Lines>
  <Paragraphs>10</Paragraphs>
  <TotalTime>4</TotalTime>
  <ScaleCrop>false</ScaleCrop>
  <LinksUpToDate>false</LinksUpToDate>
  <CharactersWithSpaces>5210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2021-03-23T07:48:00Z</dcterms:created>
  <dc:creator>guest</dc:creator>
  <cp:lastModifiedBy>lenovo</cp:lastModifiedBy>
  <cp:lastPrinted>2018-01-30T06:12:00Z</cp:lastPrinted>
  <dcterms:modified xsi:type="dcterms:W3CDTF">2023-06-08T07:06:08Z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22BE4BEEF5784AAE881E6924FB2C8D6C</vt:lpwstr>
  </property>
</Properties>
</file>