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hint="eastAsia" w:ascii="Times New Roman" w:hAnsi="Times New Roman" w:eastAsia="仿宋_GB2312" w:cs="Times New Roman"/>
          <w:sz w:val="44"/>
          <w:szCs w:val="44"/>
        </w:rPr>
      </w:pPr>
    </w:p>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廊坊市广阳区爱民东道街道办事处2020年部门预算信息公开情况说明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按照《预算法》、《地方预决算公开操作规程》和《河北省省级预算公开办法》规定，现将廊坊市</w:t>
      </w:r>
      <w:r>
        <w:rPr>
          <w:rFonts w:hint="eastAsia" w:ascii="Times New Roman" w:hAnsi="Times New Roman" w:eastAsia="仿宋_GB2312" w:cs="Times New Roman"/>
          <w:sz w:val="32"/>
          <w:szCs w:val="32"/>
        </w:rPr>
        <w:t>广阳区爱民东道街道办事处</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bookmarkStart w:id="4" w:name="_GoBack"/>
      <w:bookmarkEnd w:id="4"/>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楷体" w:hAnsi="楷体" w:eastAsia="楷体" w:cs="Times New Roman"/>
          <w:b/>
          <w:sz w:val="32"/>
          <w:szCs w:val="32"/>
        </w:rPr>
      </w:pPr>
      <w:r>
        <w:rPr>
          <w:rFonts w:ascii="楷体" w:hAnsi="楷体" w:eastAsia="楷体" w:cs="Times New Roman"/>
          <w:b/>
          <w:sz w:val="32"/>
          <w:szCs w:val="32"/>
        </w:rPr>
        <w:t>部门职责：</w:t>
      </w:r>
    </w:p>
    <w:p>
      <w:pPr>
        <w:spacing w:line="500" w:lineRule="exact"/>
        <w:ind w:firstLine="560"/>
        <w:rPr>
          <w:rFonts w:ascii="仿宋_GB2312" w:eastAsia="仿宋_GB2312"/>
          <w:sz w:val="30"/>
          <w:szCs w:val="30"/>
        </w:rPr>
      </w:pPr>
      <w:r>
        <w:rPr>
          <w:rFonts w:hint="eastAsia" w:ascii="仿宋_GB2312" w:eastAsia="仿宋_GB2312"/>
          <w:sz w:val="30"/>
          <w:szCs w:val="30"/>
        </w:rPr>
        <w:t>爱民东道街道办事处作为广阳区委、区政府的派出机构，依据法律、法规和区委、区政府的授权，对辖区内的社区经济、社区管理、社区服务和社区文化行使组织领导、综合协调、执法监督等综合行政管理职能，对地区性、社会性、群众性的工作负全面责任。具体履行以下主要职能：</w:t>
      </w:r>
    </w:p>
    <w:p>
      <w:pPr>
        <w:spacing w:line="500" w:lineRule="exact"/>
        <w:ind w:firstLine="560"/>
        <w:rPr>
          <w:rFonts w:ascii="仿宋_GB2312" w:eastAsia="仿宋_GB2312"/>
          <w:sz w:val="30"/>
          <w:szCs w:val="30"/>
        </w:rPr>
      </w:pPr>
      <w:r>
        <w:rPr>
          <w:rFonts w:hint="eastAsia" w:ascii="仿宋_GB2312" w:eastAsia="仿宋_GB2312"/>
          <w:sz w:val="30"/>
          <w:szCs w:val="30"/>
        </w:rPr>
        <w:t>1、宣传、贯彻、落实党的路线、方针、政策和国家的法律法规，执行上级党委、政府的决定和命令；</w:t>
      </w:r>
    </w:p>
    <w:p>
      <w:pPr>
        <w:spacing w:line="500" w:lineRule="exact"/>
        <w:ind w:firstLine="560"/>
        <w:rPr>
          <w:rFonts w:ascii="仿宋_GB2312" w:eastAsia="仿宋_GB2312"/>
          <w:sz w:val="30"/>
          <w:szCs w:val="30"/>
        </w:rPr>
      </w:pPr>
      <w:r>
        <w:rPr>
          <w:rFonts w:hint="eastAsia" w:ascii="仿宋_GB2312" w:eastAsia="仿宋_GB2312"/>
          <w:sz w:val="30"/>
          <w:szCs w:val="30"/>
        </w:rPr>
        <w:t>2、制定并组织实施本行政区域内的经济和社会发展规划，促进经济和社会事业的全面发展；</w:t>
      </w:r>
    </w:p>
    <w:p>
      <w:pPr>
        <w:spacing w:line="500" w:lineRule="exact"/>
        <w:ind w:firstLine="560"/>
        <w:rPr>
          <w:rFonts w:ascii="仿宋_GB2312" w:eastAsia="仿宋_GB2312"/>
          <w:sz w:val="30"/>
          <w:szCs w:val="30"/>
        </w:rPr>
      </w:pPr>
      <w:r>
        <w:rPr>
          <w:rFonts w:hint="eastAsia" w:ascii="仿宋_GB2312" w:eastAsia="仿宋_GB2312"/>
          <w:sz w:val="30"/>
          <w:szCs w:val="30"/>
        </w:rPr>
        <w:t>3、加强街道、社区党的建设，领导和支持群团组织依法独立开展工作；</w:t>
      </w:r>
    </w:p>
    <w:p>
      <w:pPr>
        <w:spacing w:line="500" w:lineRule="exact"/>
        <w:ind w:firstLine="560"/>
        <w:rPr>
          <w:rFonts w:ascii="仿宋_GB2312" w:eastAsia="仿宋_GB2312"/>
          <w:sz w:val="30"/>
          <w:szCs w:val="30"/>
        </w:rPr>
      </w:pPr>
      <w:r>
        <w:rPr>
          <w:rFonts w:hint="eastAsia" w:ascii="仿宋_GB2312" w:eastAsia="仿宋_GB2312"/>
          <w:sz w:val="30"/>
          <w:szCs w:val="30"/>
        </w:rPr>
        <w:t>4、依法管理本行政区域内的各项社会事务，组织协调本辖区内机关、团体和企事业单位完成地区性、群众性和社会性的工作任务，支持、配合、监督派驻本辖区的公安、工商、税务等机构或人员正常开展工作；</w:t>
      </w:r>
    </w:p>
    <w:p>
      <w:pPr>
        <w:spacing w:line="500" w:lineRule="exact"/>
        <w:ind w:firstLine="560"/>
        <w:rPr>
          <w:rFonts w:ascii="仿宋_GB2312" w:eastAsia="仿宋_GB2312"/>
          <w:sz w:val="30"/>
          <w:szCs w:val="30"/>
        </w:rPr>
      </w:pPr>
      <w:r>
        <w:rPr>
          <w:rFonts w:hint="eastAsia" w:ascii="仿宋_GB2312" w:eastAsia="仿宋_GB2312"/>
          <w:sz w:val="30"/>
          <w:szCs w:val="30"/>
        </w:rPr>
        <w:t>5、加强街道、社区精神文明建设和文化建设，促进社会文明进步；</w:t>
      </w:r>
    </w:p>
    <w:p>
      <w:pPr>
        <w:spacing w:line="500" w:lineRule="exact"/>
        <w:ind w:firstLine="560"/>
        <w:rPr>
          <w:rFonts w:ascii="仿宋_GB2312" w:eastAsia="仿宋_GB2312"/>
          <w:sz w:val="30"/>
          <w:szCs w:val="30"/>
        </w:rPr>
      </w:pPr>
      <w:r>
        <w:rPr>
          <w:rFonts w:hint="eastAsia" w:ascii="仿宋_GB2312" w:eastAsia="仿宋_GB2312"/>
          <w:sz w:val="30"/>
          <w:szCs w:val="30"/>
        </w:rPr>
        <w:t>6、加强街道、社区社会治安综合治理工作，维护社会稳定；</w:t>
      </w:r>
    </w:p>
    <w:p>
      <w:pPr>
        <w:spacing w:line="500" w:lineRule="exact"/>
        <w:ind w:firstLine="560"/>
        <w:rPr>
          <w:rFonts w:ascii="仿宋_GB2312" w:eastAsia="仿宋_GB2312"/>
          <w:sz w:val="30"/>
          <w:szCs w:val="30"/>
        </w:rPr>
      </w:pPr>
      <w:r>
        <w:rPr>
          <w:rFonts w:hint="eastAsia" w:ascii="仿宋_GB2312" w:eastAsia="仿宋_GB2312"/>
          <w:sz w:val="30"/>
          <w:szCs w:val="30"/>
        </w:rPr>
        <w:t>7、兴建社区服务设施，强化服务功能，提供多种形式的公共服务；</w:t>
      </w:r>
    </w:p>
    <w:p>
      <w:pPr>
        <w:spacing w:line="500" w:lineRule="exact"/>
        <w:ind w:firstLine="560"/>
        <w:rPr>
          <w:rFonts w:ascii="仿宋_GB2312" w:eastAsia="仿宋_GB2312"/>
          <w:sz w:val="30"/>
          <w:szCs w:val="30"/>
        </w:rPr>
      </w:pPr>
      <w:r>
        <w:rPr>
          <w:rFonts w:hint="eastAsia" w:ascii="仿宋_GB2312" w:eastAsia="仿宋_GB2312"/>
          <w:sz w:val="30"/>
          <w:szCs w:val="30"/>
        </w:rPr>
        <w:t>8、加大城市建设与经营管理力度，发展社会公共事业，加快城市建设和发展步伐；</w:t>
      </w:r>
    </w:p>
    <w:p>
      <w:pPr>
        <w:spacing w:line="500" w:lineRule="exact"/>
        <w:ind w:firstLine="560"/>
        <w:rPr>
          <w:rFonts w:ascii="仿宋_GB2312" w:eastAsia="仿宋_GB2312"/>
          <w:sz w:val="30"/>
          <w:szCs w:val="30"/>
        </w:rPr>
      </w:pPr>
      <w:r>
        <w:rPr>
          <w:rFonts w:hint="eastAsia" w:ascii="仿宋_GB2312" w:eastAsia="仿宋_GB2312"/>
          <w:sz w:val="30"/>
          <w:szCs w:val="30"/>
        </w:rPr>
        <w:t>9、完成区委、区政府交办的其它工作任务。</w:t>
      </w:r>
    </w:p>
    <w:p>
      <w:pPr>
        <w:spacing w:line="584" w:lineRule="exact"/>
        <w:ind w:firstLine="643" w:firstLineChars="200"/>
        <w:rPr>
          <w:rFonts w:ascii="楷体" w:hAnsi="楷体" w:eastAsia="楷体" w:cs="Times New Roman"/>
          <w:b/>
          <w:sz w:val="32"/>
          <w:szCs w:val="32"/>
        </w:rPr>
      </w:pPr>
      <w:r>
        <w:rPr>
          <w:rFonts w:ascii="楷体" w:hAnsi="楷体" w:eastAsia="楷体"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爱民东道街道办事处</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广阳区爱民东道街道办事处</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2097.16</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2097.16</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楷体" w:hAnsi="楷体" w:eastAsia="楷体" w:cs="Times New Roman"/>
          <w:b/>
          <w:sz w:val="32"/>
          <w:szCs w:val="32"/>
        </w:rPr>
        <w:t>2、支出说明</w:t>
      </w:r>
      <w:r>
        <w:rPr>
          <w:rFonts w:ascii="Times New Roman" w:hAnsi="Times New Roman" w:eastAsia="仿宋_GB2312" w:cs="Times New Roman"/>
          <w:b/>
          <w:sz w:val="32"/>
          <w:szCs w:val="32"/>
        </w:rPr>
        <w:tab/>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广阳区爱民东道街道办事处</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2097.16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1881.45</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1749.09</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132.36</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215.71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社区人员支出</w:t>
      </w:r>
      <w:r>
        <w:rPr>
          <w:rFonts w:ascii="Times New Roman" w:hAnsi="Times New Roman" w:eastAsia="仿宋_GB2312" w:cs="Times New Roman"/>
          <w:sz w:val="32"/>
          <w:szCs w:val="32"/>
        </w:rPr>
        <w:t>；其他支出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2097.16</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10.07</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14.3</w:t>
      </w:r>
      <w:r>
        <w:rPr>
          <w:rFonts w:ascii="Times New Roman" w:hAnsi="Times New Roman" w:eastAsia="仿宋_GB2312" w:cs="Times New Roman"/>
          <w:sz w:val="32"/>
          <w:szCs w:val="32"/>
        </w:rPr>
        <w:t>万元，主要为增加</w:t>
      </w:r>
      <w:r>
        <w:rPr>
          <w:rFonts w:hint="eastAsia" w:ascii="Times New Roman" w:hAnsi="Times New Roman" w:eastAsia="仿宋_GB2312" w:cs="Times New Roman"/>
          <w:sz w:val="32"/>
          <w:szCs w:val="32"/>
        </w:rPr>
        <w:t>人员</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减少4.23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减少</w:t>
      </w:r>
      <w:r>
        <w:rPr>
          <w:rFonts w:ascii="Times New Roman" w:hAnsi="Times New Roman" w:eastAsia="仿宋_GB2312" w:cs="Times New Roman"/>
          <w:sz w:val="32"/>
          <w:szCs w:val="32"/>
        </w:rPr>
        <w:t>办公项目支出</w:t>
      </w:r>
      <w:r>
        <w:rPr>
          <w:rFonts w:hint="eastAsia" w:ascii="Times New Roman" w:hAnsi="Times New Roman" w:eastAsia="仿宋_GB2312" w:cs="Times New Roman"/>
          <w:sz w:val="32"/>
          <w:szCs w:val="32"/>
        </w:rPr>
        <w:t>：其他支出</w:t>
      </w:r>
      <w:r>
        <w:rPr>
          <w:rFonts w:ascii="Times New Roman" w:hAnsi="Times New Roman" w:eastAsia="仿宋_GB2312" w:cs="Times New Roman"/>
          <w:sz w:val="32"/>
          <w:szCs w:val="32"/>
        </w:rPr>
        <w:t>增加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132.36</w:t>
      </w:r>
      <w:r>
        <w:rPr>
          <w:rFonts w:ascii="Times New Roman" w:hAnsi="Times New Roman" w:eastAsia="仿宋_GB2312"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hint="eastAsia" w:ascii="Times New Roman" w:hAnsi="Times New Roman" w:eastAsia="仿宋_GB2312" w:cs="Times New Roman"/>
          <w:color w:val="000000" w:themeColor="text1"/>
          <w:sz w:val="32"/>
          <w:szCs w:val="32"/>
        </w:rPr>
        <w:t>持平</w:t>
      </w:r>
      <w:r>
        <w:rPr>
          <w:rFonts w:ascii="Times New Roman" w:hAnsi="Times New Roman" w:eastAsia="仿宋_GB2312" w:cs="Times New Roman"/>
          <w:sz w:val="32"/>
          <w:szCs w:val="32"/>
        </w:rPr>
        <w:t>，</w:t>
      </w:r>
      <w:r>
        <w:rPr>
          <w:rFonts w:ascii="Times New Roman" w:hAnsi="Times New Roman" w:eastAsia="仿宋_GB2312" w:cs="Times New Roman"/>
          <w:color w:val="000000" w:themeColor="text1"/>
          <w:sz w:val="32"/>
          <w:szCs w:val="32"/>
        </w:rPr>
        <w:t>与201</w:t>
      </w:r>
      <w:r>
        <w:rPr>
          <w:rFonts w:hint="eastAsia" w:ascii="Times New Roman" w:hAnsi="Times New Roman" w:eastAsia="仿宋_GB2312" w:cs="Times New Roman"/>
          <w:color w:val="000000" w:themeColor="text1"/>
          <w:sz w:val="32"/>
          <w:szCs w:val="32"/>
        </w:rPr>
        <w:t>9</w:t>
      </w:r>
      <w:r>
        <w:rPr>
          <w:rFonts w:ascii="Times New Roman" w:hAnsi="Times New Roman" w:eastAsia="仿宋_GB2312" w:cs="Times New Roman"/>
          <w:color w:val="000000" w:themeColor="text1"/>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楷体" w:hAnsi="楷体" w:eastAsia="楷体" w:cs="Times New Roman"/>
          <w:b/>
          <w:sz w:val="32"/>
          <w:szCs w:val="32"/>
        </w:rPr>
      </w:pPr>
      <w:bookmarkStart w:id="0" w:name="_Toc471398463"/>
      <w:r>
        <w:rPr>
          <w:rFonts w:hint="eastAsia" w:ascii="楷体" w:hAnsi="楷体" w:eastAsia="楷体" w:cs="Times New Roman"/>
          <w:b/>
          <w:sz w:val="32"/>
          <w:szCs w:val="32"/>
        </w:rPr>
        <w:t>第一部分 部门整体绩效目标</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w:t>
      </w:r>
      <w:r>
        <w:rPr>
          <w:rFonts w:ascii="Times New Roman" w:hAnsi="Times New Roman" w:eastAsia="楷体_GB2312" w:cs="Times New Roman"/>
          <w:b/>
          <w:sz w:val="32"/>
          <w:szCs w:val="32"/>
        </w:rPr>
        <w:t>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30" w:firstLineChars="196"/>
        <w:jc w:val="left"/>
        <w:rPr>
          <w:rFonts w:ascii="仿宋_GB2312" w:eastAsia="仿宋_GB2312"/>
          <w:color w:val="000000"/>
          <w:sz w:val="32"/>
        </w:rPr>
      </w:pPr>
      <w:r>
        <w:rPr>
          <w:rFonts w:hint="eastAsia" w:ascii="仿宋_GB2312" w:hAnsi="新宋体" w:eastAsia="仿宋_GB2312"/>
          <w:b/>
          <w:sz w:val="32"/>
        </w:rPr>
        <w:t>一是推进经济持续增长。</w:t>
      </w:r>
      <w:r>
        <w:rPr>
          <w:rFonts w:hint="eastAsia" w:ascii="仿宋_GB2312" w:hAnsi="新宋体" w:eastAsia="仿宋_GB2312"/>
          <w:sz w:val="32"/>
        </w:rPr>
        <w:t>狠抓招商引资，坚持“区域突破，扩大规模，内外联动”策略，力争多招商、招好商。同时，力推项目建设，结合去年的项目建设，一些扩建项目还要继续推进，争取更大更多的项目。</w:t>
      </w:r>
      <w:r>
        <w:rPr>
          <w:rFonts w:hint="eastAsia" w:ascii="仿宋_GB2312" w:hAnsi="新宋体" w:eastAsia="仿宋_GB2312"/>
          <w:b/>
          <w:sz w:val="32"/>
        </w:rPr>
        <w:t>二是加强社区民生服务。</w:t>
      </w:r>
      <w:r>
        <w:rPr>
          <w:rFonts w:hint="eastAsia" w:ascii="仿宋_GB2312" w:hAnsi="新宋体" w:eastAsia="仿宋_GB2312"/>
          <w:sz w:val="32"/>
        </w:rPr>
        <w:t>进一步强化社区网格服务功能，坚持以党建带社管、管理与服务相结合，不断提升网格承载的社会管理和公共服务的能力。推行了解民情零距离、答复民疑零延迟、解决民难零推脱的“三零”标准。把就业、计生、司法、民政、环保、大气防治等服务不断充实到网格里，实现网格员和网格长上门服务居民。</w:t>
      </w:r>
      <w:r>
        <w:rPr>
          <w:rFonts w:hint="eastAsia" w:ascii="仿宋_GB2312" w:hAnsi="新宋体" w:eastAsia="仿宋_GB2312"/>
          <w:b/>
          <w:sz w:val="32"/>
        </w:rPr>
        <w:t>三是创新社区文化品牌。</w:t>
      </w:r>
      <w:r>
        <w:rPr>
          <w:rFonts w:hint="eastAsia" w:ascii="仿宋_GB2312" w:hAnsi="新宋体" w:eastAsia="仿宋_GB2312"/>
          <w:sz w:val="32"/>
        </w:rPr>
        <w:t>多形式设计活动载体，充分发挥公益性社会群团组织作用，激发社区文化活力，提高原创作品的创作能力，提升社区文化品质，打造文化街道品牌。</w:t>
      </w:r>
      <w:r>
        <w:rPr>
          <w:rFonts w:hint="eastAsia" w:ascii="仿宋_GB2312" w:hAnsi="新宋体" w:eastAsia="仿宋_GB2312"/>
          <w:b/>
          <w:sz w:val="32"/>
        </w:rPr>
        <w:t>四是</w:t>
      </w:r>
      <w:r>
        <w:rPr>
          <w:rFonts w:hint="eastAsia" w:ascii="仿宋_GB2312" w:hAnsi="新宋体" w:eastAsia="仿宋_GB2312"/>
          <w:b/>
          <w:color w:val="000000"/>
          <w:sz w:val="32"/>
        </w:rPr>
        <w:t>坚持维护稳定大局。</w:t>
      </w:r>
      <w:r>
        <w:rPr>
          <w:rFonts w:hint="eastAsia" w:ascii="仿宋_GB2312" w:hAnsi="新宋体" w:eastAsia="仿宋_GB2312"/>
          <w:color w:val="000000"/>
          <w:sz w:val="32"/>
        </w:rPr>
        <w:t>深入排查化解矛盾纠纷，积极预防和妥善处置群体性事件，坚持做到涉稳问题排查化解到位、重点涉稳人员稳控到位、预防和处置非访事件准备工作到位，为实现广阳又好又快发展做出更大的贡献。</w:t>
      </w:r>
      <w:r>
        <w:rPr>
          <w:rFonts w:hint="eastAsia" w:ascii="仿宋_GB2312" w:hAnsi="新宋体" w:eastAsia="仿宋_GB2312"/>
          <w:b/>
          <w:sz w:val="32"/>
        </w:rPr>
        <w:t>五是实行科技环保督查。</w:t>
      </w:r>
      <w:r>
        <w:rPr>
          <w:rFonts w:hint="eastAsia" w:ascii="仿宋_GB2312" w:hAnsi="新宋体" w:eastAsia="仿宋_GB2312"/>
          <w:color w:val="000000"/>
          <w:sz w:val="32"/>
        </w:rPr>
        <w:t>在继续推行网格员巡查的同时，加大对网格员的培训力度，发动全员治霾的同时，加大无人机和监测仪在实际检查中的应用，让数据说话，真正做到精准治霾，科技治霾。全力推进各社区数字化信息管理平台和环保网格数据平台的建设工作，增加专业业务知识培训次数。六是加大隐患整治力度。对街道辖区内的安全生产重点监管单位、重大危险源进行重点监管检查，对一般单位实施定期或不定期专项检查，通过检查及时发现隐患，遏制一般事故，杜绝重大事故，确保各类检查和整治活动取得成效，完成各项控制指标。</w:t>
      </w:r>
    </w:p>
    <w:p>
      <w:pPr>
        <w:spacing w:line="584" w:lineRule="exact"/>
        <w:ind w:firstLine="630" w:firstLineChars="196"/>
        <w:jc w:val="left"/>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firstLineChars="200"/>
        <w:jc w:val="left"/>
        <w:rPr>
          <w:rFonts w:ascii="仿宋_GB2312" w:eastAsia="仿宋_GB2312"/>
          <w:sz w:val="32"/>
        </w:rPr>
      </w:pPr>
      <w:r>
        <w:rPr>
          <w:rFonts w:hint="eastAsia" w:ascii="仿宋_GB2312" w:hAnsi="新宋体" w:eastAsia="仿宋_GB2312"/>
          <w:color w:val="000000"/>
          <w:sz w:val="32"/>
        </w:rPr>
        <w:t>爱民东道街道办事处作为广阳区委、区政府的派出机构，依据法律、法规和区委、区政府的授权，对辖区内的社区经济、社区管理、社区服务和社区文化行使组织领导、综合协调、执法监督等综合行政管理职能，对地</w:t>
      </w:r>
      <w:r>
        <w:rPr>
          <w:rFonts w:hint="eastAsia" w:ascii="仿宋_GB2312" w:hAnsi="新宋体" w:eastAsia="仿宋_GB2312"/>
          <w:sz w:val="32"/>
        </w:rPr>
        <w:t>区性、社会性、群众性的工作负全面责任。具体履行以下主要职能：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jc w:val="left"/>
        <w:rPr>
          <w:rFonts w:ascii="仿宋_GB2312" w:eastAsia="仿宋_GB2312"/>
          <w:color w:val="000000"/>
          <w:sz w:val="32"/>
        </w:rPr>
      </w:pPr>
      <w:r>
        <w:rPr>
          <w:rFonts w:hint="eastAsia" w:ascii="仿宋_GB2312" w:hAnsi="新宋体" w:eastAsia="仿宋_GB2312"/>
          <w:sz w:val="32"/>
        </w:rPr>
        <w:t>1、宣传、贯彻、落实党的路线、方针、政策和国家的法律法规，执行上级党委、政府的决定和命令；</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700"/>
        <w:jc w:val="left"/>
        <w:rPr>
          <w:rFonts w:ascii="仿宋_GB2312" w:eastAsia="仿宋_GB2312"/>
          <w:color w:val="000000"/>
          <w:sz w:val="32"/>
        </w:rPr>
      </w:pPr>
      <w:r>
        <w:rPr>
          <w:rFonts w:hint="eastAsia" w:ascii="仿宋_GB2312" w:hAnsi="新宋体" w:eastAsia="仿宋_GB2312"/>
          <w:color w:val="000000"/>
          <w:sz w:val="32"/>
        </w:rPr>
        <w:t>2、制定并组织实施本行政区域内的经济和社会发展规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left"/>
        <w:rPr>
          <w:rFonts w:ascii="仿宋_GB2312" w:eastAsia="仿宋_GB2312"/>
          <w:color w:val="000000"/>
          <w:sz w:val="32"/>
        </w:rPr>
      </w:pPr>
      <w:r>
        <w:rPr>
          <w:rFonts w:hint="eastAsia" w:ascii="仿宋_GB2312" w:hAnsi="新宋体" w:eastAsia="仿宋_GB2312"/>
          <w:color w:val="000000"/>
          <w:sz w:val="32"/>
        </w:rPr>
        <w:t>划，促进经济和社会事业的全面发展；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700"/>
        <w:jc w:val="left"/>
        <w:rPr>
          <w:rFonts w:ascii="仿宋_GB2312" w:eastAsia="仿宋_GB2312"/>
          <w:color w:val="000000"/>
          <w:sz w:val="32"/>
        </w:rPr>
      </w:pPr>
      <w:r>
        <w:rPr>
          <w:rFonts w:hint="eastAsia" w:ascii="仿宋_GB2312" w:hAnsi="新宋体" w:eastAsia="仿宋_GB2312"/>
          <w:color w:val="000000"/>
          <w:sz w:val="32"/>
        </w:rPr>
        <w:t>3、加强街道、社区党的建设，领导和支持群团组织依法独立开展工作；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left"/>
        <w:rPr>
          <w:rFonts w:ascii="仿宋_GB2312" w:eastAsia="仿宋_GB2312"/>
          <w:color w:val="000000"/>
          <w:sz w:val="32"/>
        </w:rPr>
      </w:pPr>
      <w:r>
        <w:rPr>
          <w:rFonts w:hint="eastAsia" w:ascii="仿宋_GB2312" w:hAnsi="新宋体" w:eastAsia="仿宋_GB2312"/>
          <w:color w:val="000000"/>
          <w:sz w:val="32"/>
        </w:rPr>
        <w:t xml:space="preserve">    4、依法管理本行政区域内的各项社会事务，组织协调本辖区内机关、团体和企事业单位完成地区性、群众性和社会性的工作任务，支持、配合、监督派驻本辖区的公安、工商、税务等机构或人员正常开展工作；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700"/>
        <w:jc w:val="left"/>
        <w:rPr>
          <w:rFonts w:ascii="仿宋_GB2312" w:eastAsia="仿宋_GB2312"/>
          <w:color w:val="000000"/>
          <w:sz w:val="32"/>
        </w:rPr>
      </w:pPr>
      <w:r>
        <w:rPr>
          <w:rFonts w:hint="eastAsia" w:ascii="仿宋_GB2312" w:hAnsi="新宋体" w:eastAsia="仿宋_GB2312"/>
          <w:color w:val="000000"/>
          <w:sz w:val="32"/>
        </w:rPr>
        <w:t>5、加强街道、社区精神文明建设和文化建设，促进社会文明进步；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700"/>
        <w:jc w:val="left"/>
        <w:rPr>
          <w:rFonts w:ascii="仿宋_GB2312" w:eastAsia="仿宋_GB2312"/>
          <w:color w:val="000000"/>
          <w:sz w:val="32"/>
        </w:rPr>
      </w:pPr>
      <w:r>
        <w:rPr>
          <w:rFonts w:hint="eastAsia" w:ascii="仿宋_GB2312" w:hAnsi="新宋体" w:eastAsia="仿宋_GB2312"/>
          <w:color w:val="000000"/>
          <w:sz w:val="32"/>
        </w:rPr>
        <w:t>6、加强街道、社区社会治安综合治理工作，维护社会稳定；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700"/>
        <w:jc w:val="left"/>
        <w:rPr>
          <w:rFonts w:ascii="仿宋_GB2312" w:eastAsia="仿宋_GB2312"/>
          <w:color w:val="000000"/>
          <w:sz w:val="32"/>
        </w:rPr>
      </w:pPr>
      <w:r>
        <w:rPr>
          <w:rFonts w:hint="eastAsia" w:ascii="仿宋_GB2312" w:hAnsi="新宋体" w:eastAsia="仿宋_GB2312"/>
          <w:color w:val="000000"/>
          <w:sz w:val="32"/>
        </w:rPr>
        <w:t>7、兴建社区服务设施，强化服务功能，提供多种形式的公共服务；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700"/>
        <w:jc w:val="left"/>
        <w:rPr>
          <w:rFonts w:ascii="仿宋_GB2312" w:eastAsia="仿宋_GB2312"/>
          <w:color w:val="000000"/>
          <w:sz w:val="32"/>
        </w:rPr>
      </w:pPr>
      <w:r>
        <w:rPr>
          <w:rFonts w:hint="eastAsia" w:ascii="仿宋_GB2312" w:hAnsi="新宋体" w:eastAsia="仿宋_GB2312"/>
          <w:color w:val="000000"/>
          <w:sz w:val="32"/>
        </w:rPr>
        <w:t>8、加大城市建设与经营管理力度，发展社会公共事业，加快城市建设和发展步伐；</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700"/>
        <w:jc w:val="left"/>
        <w:rPr>
          <w:rFonts w:ascii="仿宋_GB2312" w:eastAsia="仿宋_GB2312"/>
          <w:color w:val="000000"/>
          <w:sz w:val="32"/>
        </w:rPr>
      </w:pPr>
      <w:r>
        <w:rPr>
          <w:rFonts w:hint="eastAsia" w:ascii="仿宋_GB2312" w:hAnsi="新宋体" w:eastAsia="仿宋_GB2312"/>
          <w:color w:val="000000"/>
          <w:sz w:val="32"/>
        </w:rPr>
        <w:t>9、完成区委、区政府交办的其它工作任务。</w:t>
      </w:r>
    </w:p>
    <w:p>
      <w:pPr>
        <w:spacing w:line="584" w:lineRule="exact"/>
        <w:ind w:firstLine="630" w:firstLineChars="196"/>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00" w:after="100" w:line="360" w:lineRule="auto"/>
        <w:ind w:firstLine="643"/>
        <w:jc w:val="left"/>
        <w:rPr>
          <w:rFonts w:hint="eastAsia" w:ascii="仿宋_GB2312" w:hAnsi="新宋体" w:eastAsia="仿宋_GB2312"/>
          <w:sz w:val="32"/>
          <w:lang w:eastAsia="zh-CN"/>
        </w:rPr>
      </w:pPr>
      <w:r>
        <w:rPr>
          <w:rFonts w:hint="eastAsia" w:ascii="仿宋_GB2312" w:hAnsi="新宋体" w:eastAsia="仿宋_GB2312"/>
          <w:b/>
          <w:sz w:val="32"/>
        </w:rPr>
        <w:t>（一） 基层党建促提质。一是在强化服务意识上下功夫。</w:t>
      </w:r>
      <w:r>
        <w:rPr>
          <w:rFonts w:hint="eastAsia" w:ascii="仿宋_GB2312" w:hAnsi="新宋体" w:eastAsia="仿宋_GB2312"/>
          <w:sz w:val="32"/>
        </w:rPr>
        <w:t>培养树立街道干部群众第一的理念，以求真务实的精神深入群众之中，体察民情、了解民意，为群众诚心诚意办实事、尽心尽力解难事、坚持不懈做好事。</w:t>
      </w:r>
      <w:r>
        <w:rPr>
          <w:rFonts w:hint="eastAsia" w:ascii="仿宋_GB2312" w:hAnsi="新宋体" w:eastAsia="仿宋_GB2312"/>
          <w:b/>
          <w:sz w:val="32"/>
        </w:rPr>
        <w:t>二是在提升综合素质上下功夫。</w:t>
      </w:r>
      <w:r>
        <w:rPr>
          <w:rFonts w:hint="eastAsia" w:ascii="仿宋_GB2312" w:hAnsi="新宋体" w:eastAsia="仿宋_GB2312"/>
          <w:sz w:val="32"/>
        </w:rPr>
        <w:t>加强街居干部理论知识、前沿科技知识和先进经验的学习，研究新政策，吃透新情况，不断提升自身素质。坚持“学中干，干中学”，深入社区、深入居民，在基层实践中锻炼提高。</w:t>
      </w:r>
      <w:r>
        <w:rPr>
          <w:rFonts w:hint="eastAsia" w:ascii="仿宋_GB2312" w:hAnsi="新宋体" w:eastAsia="仿宋_GB2312"/>
          <w:b/>
          <w:sz w:val="32"/>
        </w:rPr>
        <w:t>三是在提升工作效能上下功夫。</w:t>
      </w:r>
      <w:r>
        <w:rPr>
          <w:rFonts w:hint="eastAsia" w:ascii="仿宋_GB2312" w:hAnsi="新宋体" w:eastAsia="仿宋_GB2312"/>
          <w:sz w:val="32"/>
        </w:rPr>
        <w:t>继续建立健全各项规章制度，加强机关作风建设，充分发挥纪检部门的监督作用，不断增强街居干部的纪律意识、责任意识和大局意识，坚决杜绝纪律</w:t>
      </w:r>
      <w:r>
        <w:rPr>
          <w:rFonts w:hint="eastAsia" w:ascii="仿宋_GB2312" w:hAnsi="新宋体" w:eastAsia="仿宋_GB2312"/>
          <w:sz w:val="32"/>
          <w:lang w:eastAsia="zh-CN"/>
        </w:rPr>
        <w:t>松弛</w:t>
      </w:r>
      <w:r>
        <w:rPr>
          <w:rFonts w:hint="eastAsia" w:ascii="仿宋_GB2312" w:hAnsi="新宋体" w:eastAsia="仿宋_GB2312"/>
          <w:sz w:val="32"/>
        </w:rPr>
        <w:t>、工作拖延、自由散漫等消极怠工现象，努力提高工作效率。</w:t>
      </w:r>
      <w:r>
        <w:rPr>
          <w:rFonts w:hint="eastAsia" w:ascii="仿宋_GB2312" w:hAnsi="新宋体" w:eastAsia="仿宋_GB2312"/>
          <w:b/>
          <w:sz w:val="32"/>
        </w:rPr>
        <w:t>四是在创新服务载体上下功夫。</w:t>
      </w:r>
      <w:r>
        <w:rPr>
          <w:rFonts w:hint="eastAsia" w:ascii="仿宋_GB2312" w:hAnsi="新宋体" w:eastAsia="仿宋_GB2312"/>
          <w:sz w:val="32"/>
        </w:rPr>
        <w:t>积极推广在职党员进社区、结对帮扶等做法，运用多种形式和手段开展服务；广泛开展以党员为骨干的各类志愿服务；充分调动广大群众自我管理、自我服务的积极性，构建以党组织为核心、全社会共同参与的服务格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00" w:after="100" w:line="360" w:lineRule="auto"/>
        <w:ind w:firstLine="643"/>
        <w:jc w:val="left"/>
        <w:rPr>
          <w:rFonts w:ascii="仿宋_GB2312" w:eastAsia="仿宋_GB2312"/>
          <w:sz w:val="32"/>
        </w:rPr>
      </w:pPr>
      <w:r>
        <w:rPr>
          <w:rFonts w:ascii="宋体" w:hAnsi="宋体" w:eastAsia="宋体"/>
          <w:b/>
          <w:sz w:val="32"/>
        </w:rPr>
        <w:t xml:space="preserve"> </w:t>
      </w:r>
      <w:r>
        <w:rPr>
          <w:rFonts w:hint="eastAsia" w:ascii="仿宋_GB2312" w:hAnsi="宋体" w:eastAsia="仿宋_GB2312"/>
          <w:b/>
          <w:sz w:val="32"/>
        </w:rPr>
        <w:t xml:space="preserve">   </w:t>
      </w:r>
      <w:r>
        <w:rPr>
          <w:rFonts w:hint="eastAsia" w:ascii="仿宋_GB2312" w:hAnsi="新宋体" w:eastAsia="仿宋_GB2312"/>
          <w:b/>
          <w:sz w:val="32"/>
        </w:rPr>
        <w:t>（二） 项目引建求突破。</w:t>
      </w:r>
      <w:r>
        <w:rPr>
          <w:rFonts w:hint="eastAsia" w:ascii="仿宋_GB2312" w:hAnsi="新宋体" w:eastAsia="仿宋_GB2312"/>
          <w:sz w:val="32"/>
        </w:rPr>
        <w:t>不断优化招商结构和投资环境，注重引进规模大、质量好的项目，特别是高端现代服务业项目，高科技、高附加值、高税收项目。加大重点项目的推进力度，找准联建户突破口，形成多部门执法合力，实现对土地和资源的有效利用，加快辖区土地的全面盘活，培育辖区经济增长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jc w:val="left"/>
        <w:rPr>
          <w:rFonts w:ascii="仿宋_GB2312" w:eastAsia="仿宋_GB2312"/>
          <w:sz w:val="32"/>
        </w:rPr>
      </w:pPr>
      <w:r>
        <w:rPr>
          <w:rFonts w:hint="eastAsia" w:ascii="仿宋_GB2312" w:hAnsi="新宋体" w:eastAsia="仿宋_GB2312"/>
          <w:b/>
          <w:sz w:val="32"/>
        </w:rPr>
        <w:t>（三） 社区创建增亮点。一是深化社区服务功能。</w:t>
      </w:r>
      <w:r>
        <w:rPr>
          <w:rFonts w:hint="eastAsia" w:ascii="仿宋_GB2312" w:hAnsi="新宋体" w:eastAsia="仿宋_GB2312"/>
          <w:sz w:val="32"/>
        </w:rPr>
        <w:t>紧紧围绕志愿者服务开展工作，进一步创新服务形式，以“特色专业志愿服务团队”建设为侧重点，细化服务方向，提高服务质量，不断开创银河北路街道惠民利民新品牌。</w:t>
      </w:r>
      <w:r>
        <w:rPr>
          <w:rFonts w:hint="eastAsia" w:ascii="仿宋_GB2312" w:hAnsi="新宋体" w:eastAsia="仿宋_GB2312"/>
          <w:b/>
          <w:sz w:val="32"/>
        </w:rPr>
        <w:t>二是创新社区管理机制体制。</w:t>
      </w:r>
      <w:r>
        <w:rPr>
          <w:rFonts w:hint="eastAsia" w:ascii="仿宋_GB2312" w:hAnsi="新宋体" w:eastAsia="仿宋_GB2312"/>
          <w:sz w:val="32"/>
        </w:rPr>
        <w:t>鼓励辖区各类组织、单位和个人共驻共建，力争建立起覆盖社区全体成员、服务主体多元、服务功能完善、服务质量和管理模式都达到领先水平的社区服务体系。</w:t>
      </w:r>
      <w:r>
        <w:rPr>
          <w:rFonts w:hint="eastAsia" w:ascii="仿宋_GB2312" w:hAnsi="新宋体" w:eastAsia="仿宋_GB2312"/>
          <w:b/>
          <w:sz w:val="32"/>
        </w:rPr>
        <w:t>三是挖掘特色精品社区创建内涵。</w:t>
      </w:r>
      <w:r>
        <w:rPr>
          <w:rFonts w:hint="eastAsia" w:ascii="仿宋_GB2312" w:hAnsi="新宋体" w:eastAsia="仿宋_GB2312"/>
          <w:color w:val="000000"/>
          <w:sz w:val="32"/>
        </w:rPr>
        <w:t>将8个社区划分为“三个三分之一”，其中三分之一老旧社区加强社区建设，摸索建立社区特色；三分之一已有特色社区加大挖掘力度，出亮点，立标杆；三分之一重点社区强化街道扶持，树品牌，建口碑，争取取得各社区特色各异，百花齐放的良好效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30"/>
        <w:jc w:val="left"/>
        <w:rPr>
          <w:rFonts w:ascii="仿宋_GB2312" w:eastAsia="仿宋_GB2312"/>
          <w:sz w:val="32"/>
        </w:rPr>
      </w:pPr>
      <w:r>
        <w:rPr>
          <w:rFonts w:hint="eastAsia" w:ascii="仿宋_GB2312" w:hAnsi="新宋体" w:eastAsia="仿宋_GB2312"/>
          <w:b/>
          <w:sz w:val="32"/>
        </w:rPr>
        <w:t>（四） 和谐共建保稳定。一是</w:t>
      </w:r>
      <w:r>
        <w:rPr>
          <w:rFonts w:hint="eastAsia" w:ascii="仿宋_GB2312" w:hAnsi="新宋体" w:eastAsia="仿宋_GB2312"/>
          <w:b/>
          <w:color w:val="000000"/>
          <w:sz w:val="32"/>
        </w:rPr>
        <w:t>强化维稳意识。</w:t>
      </w:r>
      <w:r>
        <w:rPr>
          <w:rFonts w:hint="eastAsia" w:ascii="仿宋_GB2312" w:hAnsi="新宋体" w:eastAsia="仿宋_GB2312"/>
          <w:color w:val="000000"/>
          <w:sz w:val="32"/>
        </w:rPr>
        <w:t>在原有上访点有效地化解的基础上，将防复发、防新发的任务作为重点，时刻紧绷维护稳定这根弦，将问题想在困难处，想在发生前，将隐患消除在萌芽状态。</w:t>
      </w:r>
      <w:r>
        <w:rPr>
          <w:rFonts w:hint="eastAsia" w:ascii="仿宋_GB2312" w:hAnsi="新宋体" w:eastAsia="仿宋_GB2312"/>
          <w:b/>
          <w:color w:val="000000"/>
          <w:sz w:val="32"/>
        </w:rPr>
        <w:t>二是强化安全意识。</w:t>
      </w:r>
      <w:r>
        <w:rPr>
          <w:rFonts w:hint="eastAsia" w:ascii="仿宋_GB2312" w:hAnsi="新宋体" w:eastAsia="仿宋_GB2312"/>
          <w:color w:val="000000"/>
          <w:sz w:val="32"/>
        </w:rPr>
        <w:t>进一步推动落实企业主体责任，强化重点领域专项整治，健全隐患排查长效管理机制，强化安全生产培训教育，加强和有关部门的协调配合，从源头打击控制非法、违法行为，创造良好平稳的安全生产环境。</w:t>
      </w:r>
      <w:r>
        <w:rPr>
          <w:rFonts w:hint="eastAsia" w:ascii="仿宋_GB2312" w:hAnsi="新宋体" w:eastAsia="仿宋_GB2312"/>
          <w:b/>
          <w:color w:val="000000"/>
          <w:sz w:val="32"/>
        </w:rPr>
        <w:t>三是强化大气污染防治。</w:t>
      </w:r>
      <w:r>
        <w:rPr>
          <w:rFonts w:hint="eastAsia" w:ascii="仿宋_GB2312" w:hAnsi="新宋体" w:eastAsia="仿宋_GB2312"/>
          <w:color w:val="000000"/>
          <w:sz w:val="32"/>
        </w:rPr>
        <w:t>细化大气污染防治网格化管理，明确责任，工作有的放矢。并加强督导，强化机制。同时</w:t>
      </w:r>
      <w:r>
        <w:rPr>
          <w:rFonts w:hint="eastAsia" w:ascii="仿宋_GB2312" w:hAnsi="新宋体" w:eastAsia="仿宋_GB2312"/>
          <w:sz w:val="32"/>
        </w:rPr>
        <w:t>不断加大宣传教育力度，营造干群齐心协力防治大气污染、改善生态环境的浓厚氛围。</w:t>
      </w:r>
    </w:p>
    <w:p>
      <w:pPr>
        <w:spacing w:line="584" w:lineRule="exact"/>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第二部分 资金绩效目标</w:t>
      </w:r>
    </w:p>
    <w:p>
      <w:pPr>
        <w:ind w:firstLine="562" w:firstLineChars="200"/>
        <w:jc w:val="left"/>
        <w:outlineLvl w:val="1"/>
        <w:rPr>
          <w:rFonts w:ascii="Times New Roman" w:hAnsi="宋体"/>
          <w:b/>
          <w:sz w:val="28"/>
        </w:rPr>
      </w:pPr>
      <w:r>
        <w:rPr>
          <w:rFonts w:hint="eastAsia" w:ascii="方正仿宋_GBK" w:eastAsia="方正仿宋_GBK"/>
          <w:b/>
          <w:sz w:val="28"/>
        </w:rPr>
        <w:t>1.社区经费绩效目标表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32410773"/>
      <w:r>
        <w:rPr>
          <w:rFonts w:hint="eastAsia" w:ascii="方正仿宋_GBK" w:eastAsia="方正仿宋_GBK"/>
          <w:b/>
          <w:sz w:val="28"/>
        </w:rPr>
        <w:instrText xml:space="preserve">1、社区经费绩效目标表</w:instrText>
      </w:r>
      <w:bookmarkEnd w:id="1"/>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、加强社区建设和社区基层稳定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、建立健全充满活力的社区自治机构，推进和谐社区建设，提高居民满意度</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全员发放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46</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廊办发【</w:t>
            </w:r>
            <w:r>
              <w:rPr>
                <w:rFonts w:ascii="方正书宋_GBK" w:eastAsia="方正书宋_GBK"/>
              </w:rPr>
              <w:t>2012</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发放工资到位率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全额发放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215.71</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廊办发【</w:t>
            </w:r>
            <w:r>
              <w:rPr>
                <w:rFonts w:ascii="方正书宋_GBK" w:eastAsia="方正书宋_GBK"/>
              </w:rPr>
              <w:t>2012</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社会基本稳定</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基本稳定</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廊办发【</w:t>
            </w:r>
            <w:r>
              <w:rPr>
                <w:rFonts w:ascii="方正书宋_GBK" w:eastAsia="方正书宋_GBK"/>
              </w:rPr>
              <w:t>2012</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廊办发【</w:t>
            </w:r>
            <w:r>
              <w:rPr>
                <w:rFonts w:ascii="方正书宋_GBK" w:eastAsia="方正书宋_GBK"/>
              </w:rPr>
              <w:t>2012</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群众对当年整体工作满意度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廊办发【</w:t>
            </w:r>
            <w:r>
              <w:rPr>
                <w:rFonts w:ascii="方正书宋_GBK" w:eastAsia="方正书宋_GBK"/>
              </w:rPr>
              <w:t>2012</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廊办发【</w:t>
            </w:r>
            <w:r>
              <w:rPr>
                <w:rFonts w:ascii="方正书宋_GBK" w:eastAsia="方正书宋_GBK"/>
              </w:rPr>
              <w:t>2012</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bookmarkEnd w:id="0"/>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20</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0万元</w:t>
      </w:r>
      <w:r>
        <w:rPr>
          <w:rFonts w:ascii="Times New Roman" w:hAnsi="Times New Roman" w:eastAsia="仿宋_GB2312" w:cs="Times New Roman"/>
          <w:sz w:val="32"/>
          <w:szCs w:val="24"/>
        </w:rPr>
        <w:t>。具体内容见下表。</w:t>
      </w:r>
    </w:p>
    <w:bookmarkEnd w:id="2"/>
    <w:p>
      <w:pPr>
        <w:spacing w:line="584" w:lineRule="exact"/>
        <w:jc w:val="center"/>
        <w:outlineLvl w:val="0"/>
        <w:rPr>
          <w:rFonts w:ascii="Times New Roman" w:hAnsi="Times New Roman" w:eastAsia="仿宋_GB2312" w:cs="Times New Roman"/>
          <w:sz w:val="32"/>
        </w:rPr>
      </w:pPr>
      <w:bookmarkStart w:id="3" w:name="_Toc504489153"/>
      <w:r>
        <w:rPr>
          <w:rFonts w:ascii="Times New Roman" w:hAnsi="Times New Roman" w:eastAsia="仿宋_GB2312" w:cs="Times New Roman"/>
          <w:sz w:val="32"/>
        </w:rPr>
        <w:t>部门政府采购预算</w:t>
      </w:r>
      <w:bookmarkEnd w:id="3"/>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61"/>
        <w:gridCol w:w="932"/>
        <w:gridCol w:w="1372"/>
        <w:gridCol w:w="720"/>
        <w:gridCol w:w="740"/>
        <w:gridCol w:w="950"/>
        <w:gridCol w:w="956"/>
        <w:gridCol w:w="1238"/>
        <w:gridCol w:w="991"/>
        <w:gridCol w:w="1136"/>
        <w:gridCol w:w="1189"/>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8"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[916]廊坊市广阳区爱民东道街道办事处</w:t>
            </w:r>
          </w:p>
        </w:tc>
        <w:tc>
          <w:tcPr>
            <w:tcW w:w="2192"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0"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2"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64"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25"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40"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90"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408"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01"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广阳区爱民东道街道办事处，</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1335.43</w:t>
      </w:r>
      <w:r>
        <w:rPr>
          <w:rFonts w:ascii="Times New Roman" w:hAnsi="Times New Roman" w:eastAsia="仿宋_GB2312" w:cs="Times New Roman"/>
          <w:sz w:val="32"/>
          <w:szCs w:val="32"/>
        </w:rPr>
        <w:t>万元，本年度</w:t>
      </w:r>
      <w:r>
        <w:rPr>
          <w:rFonts w:hint="eastAsia" w:ascii="Times New Roman" w:hAnsi="Times New Roman" w:eastAsia="仿宋_GB2312" w:cs="Times New Roman"/>
          <w:sz w:val="32"/>
          <w:szCs w:val="32"/>
        </w:rPr>
        <w:t>我部门无拟购</w:t>
      </w:r>
      <w:r>
        <w:rPr>
          <w:rFonts w:ascii="Times New Roman" w:hAnsi="Times New Roman" w:eastAsia="仿宋_GB2312" w:cs="Times New Roman"/>
          <w:sz w:val="32"/>
          <w:szCs w:val="32"/>
        </w:rPr>
        <w:t>置固定资产</w:t>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000000" w:themeColor="text1"/>
          <w:sz w:val="32"/>
          <w:szCs w:val="32"/>
        </w:rPr>
        <w:t>详见下表。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广阳区爱民东道街道办事处</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1335.43</w:t>
            </w:r>
          </w:p>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4546.33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1166.83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39.78</w:t>
            </w:r>
          </w:p>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128.82</w:t>
            </w:r>
          </w:p>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楷体" w:hAnsi="楷体" w:eastAsia="楷体" w:cs="Times New Roman"/>
          <w:b/>
          <w:sz w:val="32"/>
          <w:szCs w:val="32"/>
        </w:rPr>
        <w:t>3、其他收入：指</w:t>
      </w:r>
      <w:r>
        <w:rPr>
          <w:rFonts w:ascii="Times New Roman" w:hAnsi="Times New Roman" w:eastAsia="仿宋_GB2312" w:cs="Times New Roman"/>
          <w:sz w:val="32"/>
          <w:szCs w:val="32"/>
        </w:rPr>
        <w:t>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13</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11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37AF6"/>
    <w:rsid w:val="000410F2"/>
    <w:rsid w:val="0004565F"/>
    <w:rsid w:val="00070080"/>
    <w:rsid w:val="00072187"/>
    <w:rsid w:val="00075D5F"/>
    <w:rsid w:val="0008180F"/>
    <w:rsid w:val="00093DA3"/>
    <w:rsid w:val="000A0AEC"/>
    <w:rsid w:val="000B529B"/>
    <w:rsid w:val="000C24E6"/>
    <w:rsid w:val="000C3A19"/>
    <w:rsid w:val="000C7648"/>
    <w:rsid w:val="000D7DAA"/>
    <w:rsid w:val="000E4305"/>
    <w:rsid w:val="000F0D09"/>
    <w:rsid w:val="001245BB"/>
    <w:rsid w:val="001251A3"/>
    <w:rsid w:val="0015229A"/>
    <w:rsid w:val="00160266"/>
    <w:rsid w:val="001643E8"/>
    <w:rsid w:val="00176C13"/>
    <w:rsid w:val="001919C4"/>
    <w:rsid w:val="0019723B"/>
    <w:rsid w:val="001A0943"/>
    <w:rsid w:val="001B5C1D"/>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C7BD2"/>
    <w:rsid w:val="002E0EB8"/>
    <w:rsid w:val="002F3896"/>
    <w:rsid w:val="002F3E58"/>
    <w:rsid w:val="0030542C"/>
    <w:rsid w:val="00311B7A"/>
    <w:rsid w:val="003126B6"/>
    <w:rsid w:val="00313D9C"/>
    <w:rsid w:val="00325215"/>
    <w:rsid w:val="0033339C"/>
    <w:rsid w:val="00335660"/>
    <w:rsid w:val="003A05EE"/>
    <w:rsid w:val="003A542E"/>
    <w:rsid w:val="003B6D37"/>
    <w:rsid w:val="004132D7"/>
    <w:rsid w:val="00414BD3"/>
    <w:rsid w:val="00424943"/>
    <w:rsid w:val="0042727E"/>
    <w:rsid w:val="0043175C"/>
    <w:rsid w:val="00437296"/>
    <w:rsid w:val="00451590"/>
    <w:rsid w:val="00451871"/>
    <w:rsid w:val="00455103"/>
    <w:rsid w:val="004706DE"/>
    <w:rsid w:val="00472923"/>
    <w:rsid w:val="00486DCD"/>
    <w:rsid w:val="0049120C"/>
    <w:rsid w:val="004B0C3A"/>
    <w:rsid w:val="004C49A8"/>
    <w:rsid w:val="004C58D3"/>
    <w:rsid w:val="004D5788"/>
    <w:rsid w:val="004E3066"/>
    <w:rsid w:val="004E419C"/>
    <w:rsid w:val="004E74CD"/>
    <w:rsid w:val="00524EFD"/>
    <w:rsid w:val="00551ED6"/>
    <w:rsid w:val="00572067"/>
    <w:rsid w:val="00573562"/>
    <w:rsid w:val="00584CAD"/>
    <w:rsid w:val="00590ECE"/>
    <w:rsid w:val="005C00C3"/>
    <w:rsid w:val="005C0E90"/>
    <w:rsid w:val="005D0C27"/>
    <w:rsid w:val="005D37CA"/>
    <w:rsid w:val="005F5714"/>
    <w:rsid w:val="005F7AE1"/>
    <w:rsid w:val="00611D03"/>
    <w:rsid w:val="00614A29"/>
    <w:rsid w:val="00634BB0"/>
    <w:rsid w:val="00651BA2"/>
    <w:rsid w:val="00654FB9"/>
    <w:rsid w:val="00673D76"/>
    <w:rsid w:val="006854F0"/>
    <w:rsid w:val="006A529A"/>
    <w:rsid w:val="006B1C4A"/>
    <w:rsid w:val="006B610D"/>
    <w:rsid w:val="006C206A"/>
    <w:rsid w:val="006E49F5"/>
    <w:rsid w:val="007013C8"/>
    <w:rsid w:val="00727C84"/>
    <w:rsid w:val="00741AF5"/>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4DF4"/>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5D63"/>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9F24CE"/>
    <w:rsid w:val="00A16E6C"/>
    <w:rsid w:val="00A40F60"/>
    <w:rsid w:val="00A44E3D"/>
    <w:rsid w:val="00A72D2E"/>
    <w:rsid w:val="00A74447"/>
    <w:rsid w:val="00A74CE5"/>
    <w:rsid w:val="00A77500"/>
    <w:rsid w:val="00A849B6"/>
    <w:rsid w:val="00A8536F"/>
    <w:rsid w:val="00A911E7"/>
    <w:rsid w:val="00A939D9"/>
    <w:rsid w:val="00AB77AA"/>
    <w:rsid w:val="00AC0E98"/>
    <w:rsid w:val="00AC4748"/>
    <w:rsid w:val="00AD5259"/>
    <w:rsid w:val="00B01D36"/>
    <w:rsid w:val="00B078CD"/>
    <w:rsid w:val="00B20712"/>
    <w:rsid w:val="00B32BD1"/>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E356A"/>
    <w:rsid w:val="00C005B2"/>
    <w:rsid w:val="00C1565C"/>
    <w:rsid w:val="00C21E0F"/>
    <w:rsid w:val="00C362CA"/>
    <w:rsid w:val="00C37A99"/>
    <w:rsid w:val="00C772C1"/>
    <w:rsid w:val="00C86DCD"/>
    <w:rsid w:val="00C912D8"/>
    <w:rsid w:val="00C93D22"/>
    <w:rsid w:val="00CA7176"/>
    <w:rsid w:val="00CB51D7"/>
    <w:rsid w:val="00CC75B0"/>
    <w:rsid w:val="00CD2773"/>
    <w:rsid w:val="00CE01BA"/>
    <w:rsid w:val="00CE143B"/>
    <w:rsid w:val="00CE3A91"/>
    <w:rsid w:val="00D07DBA"/>
    <w:rsid w:val="00D23C16"/>
    <w:rsid w:val="00D27003"/>
    <w:rsid w:val="00D324AD"/>
    <w:rsid w:val="00D9307A"/>
    <w:rsid w:val="00D95D1B"/>
    <w:rsid w:val="00DB4322"/>
    <w:rsid w:val="00DD1D0C"/>
    <w:rsid w:val="00DE186D"/>
    <w:rsid w:val="00E167C7"/>
    <w:rsid w:val="00E440CF"/>
    <w:rsid w:val="00E55B78"/>
    <w:rsid w:val="00E71713"/>
    <w:rsid w:val="00E76361"/>
    <w:rsid w:val="00E84020"/>
    <w:rsid w:val="00EB7A80"/>
    <w:rsid w:val="00EC47F6"/>
    <w:rsid w:val="00EC4D78"/>
    <w:rsid w:val="00EE6D6D"/>
    <w:rsid w:val="00EF08C9"/>
    <w:rsid w:val="00EF535E"/>
    <w:rsid w:val="00EF5E7F"/>
    <w:rsid w:val="00F15CF0"/>
    <w:rsid w:val="00F471F7"/>
    <w:rsid w:val="00F5072D"/>
    <w:rsid w:val="00F66032"/>
    <w:rsid w:val="00F83B96"/>
    <w:rsid w:val="00F8441D"/>
    <w:rsid w:val="00F87C1E"/>
    <w:rsid w:val="00F91716"/>
    <w:rsid w:val="00F958C2"/>
    <w:rsid w:val="00FA740E"/>
    <w:rsid w:val="00FC06C7"/>
    <w:rsid w:val="00FD5DB4"/>
    <w:rsid w:val="00FD7FCC"/>
    <w:rsid w:val="00FE1724"/>
    <w:rsid w:val="00FE753C"/>
    <w:rsid w:val="00FF2346"/>
    <w:rsid w:val="519669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39"/>
    <w:rPr>
      <w:rFonts w:ascii="Times New Roman" w:hAnsi="Times New Roman" w:eastAsia="宋体" w:cs="Times New Roman"/>
      <w:szCs w:val="24"/>
    </w:rPr>
  </w:style>
  <w:style w:type="paragraph" w:styleId="6">
    <w:name w:val="footnote text"/>
    <w:basedOn w:val="1"/>
    <w:link w:val="15"/>
    <w:semiHidden/>
    <w:unhideWhenUsed/>
    <w:uiPriority w:val="99"/>
    <w:pPr>
      <w:snapToGrid w:val="0"/>
      <w:jc w:val="left"/>
    </w:pPr>
    <w:rPr>
      <w:rFonts w:ascii="Calibri" w:hAnsi="Calibri" w:eastAsia="宋体" w:cs="Times New Roman"/>
      <w:sz w:val="18"/>
      <w:szCs w:val="18"/>
    </w:rPr>
  </w:style>
  <w:style w:type="paragraph" w:styleId="7">
    <w:name w:val="toc 2"/>
    <w:basedOn w:val="1"/>
    <w:next w:val="1"/>
    <w:uiPriority w:val="39"/>
    <w:pPr>
      <w:ind w:left="420" w:leftChars="200"/>
    </w:pPr>
    <w:rPr>
      <w:rFonts w:ascii="Times New Roman" w:hAnsi="Times New Roman" w:eastAsia="宋体" w:cs="Times New Roman"/>
      <w:szCs w:val="24"/>
    </w:rPr>
  </w:style>
  <w:style w:type="character" w:styleId="10">
    <w:name w:val="footnote reference"/>
    <w:semiHidden/>
    <w:unhideWhenUsed/>
    <w:uiPriority w:val="99"/>
    <w:rPr>
      <w:vertAlign w:val="superscript"/>
    </w:rPr>
  </w:style>
  <w:style w:type="character" w:customStyle="1" w:styleId="11">
    <w:name w:val="页眉 Char"/>
    <w:basedOn w:val="9"/>
    <w:link w:val="4"/>
    <w:uiPriority w:val="99"/>
    <w:rPr>
      <w:rFonts w:ascii="Times New Roman" w:hAnsi="Times New Roman" w:eastAsia="宋体" w:cs="Times New Roman"/>
      <w:sz w:val="18"/>
      <w:szCs w:val="18"/>
    </w:rPr>
  </w:style>
  <w:style w:type="character" w:customStyle="1" w:styleId="12">
    <w:name w:val="页脚 Char"/>
    <w:basedOn w:val="9"/>
    <w:link w:val="3"/>
    <w:uiPriority w:val="99"/>
    <w:rPr>
      <w:rFonts w:ascii="Times New Roman" w:hAnsi="Times New Roman" w:eastAsia="宋体" w:cs="Times New Roman"/>
      <w:sz w:val="18"/>
      <w:szCs w:val="18"/>
    </w:rPr>
  </w:style>
  <w:style w:type="character" w:customStyle="1" w:styleId="13">
    <w:name w:val="批注框文本 Char"/>
    <w:basedOn w:val="9"/>
    <w:link w:val="2"/>
    <w:semiHidden/>
    <w:uiPriority w:val="99"/>
    <w:rPr>
      <w:sz w:val="18"/>
      <w:szCs w:val="18"/>
    </w:rPr>
  </w:style>
  <w:style w:type="paragraph" w:customStyle="1" w:styleId="14">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uiPriority w:val="99"/>
    <w:rPr>
      <w:rFonts w:ascii="Calibri" w:hAnsi="Calibri" w:eastAsia="宋体" w:cs="Times New Roman"/>
      <w:sz w:val="18"/>
      <w:szCs w:val="18"/>
    </w:rPr>
  </w:style>
  <w:style w:type="paragraph" w:customStyle="1" w:styleId="16">
    <w:name w:val="[Normal]"/>
    <w:uiPriority w:val="0"/>
    <w:rPr>
      <w:rFonts w:ascii="宋体" w:hAnsi="宋体" w:eastAsia="宋体" w:cs="Times New Roman"/>
      <w:kern w:val="0"/>
      <w:sz w:val="24"/>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399E41-665D-4FB3-BAC5-818DF545911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803</Words>
  <Characters>4583</Characters>
  <Lines>38</Lines>
  <Paragraphs>10</Paragraphs>
  <TotalTime>267</TotalTime>
  <ScaleCrop>false</ScaleCrop>
  <LinksUpToDate>false</LinksUpToDate>
  <CharactersWithSpaces>5376</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lenovo</cp:lastModifiedBy>
  <cp:lastPrinted>2019-02-18T02:45:00Z</cp:lastPrinted>
  <dcterms:modified xsi:type="dcterms:W3CDTF">2023-06-08T06:58:13Z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A6026287C46B444E88DED12901721214</vt:lpwstr>
  </property>
</Properties>
</file>