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b/>
          <w:sz w:val="44"/>
          <w:szCs w:val="44"/>
          <w:highlight w:val="yellow"/>
        </w:rPr>
        <w:sectPr>
          <w:pgSz w:w="11906" w:h="16838"/>
          <w:pgMar w:top="2098" w:right="1474" w:bottom="1985" w:left="1588" w:header="851" w:footer="992" w:gutter="0"/>
          <w:cols w:space="720" w:num="1"/>
          <w:docGrid w:type="lines" w:linePitch="312" w:charSpace="0"/>
        </w:sectPr>
      </w:pPr>
      <w:r>
        <w:rPr>
          <w:rFonts w:hint="eastAsia"/>
          <w:b/>
          <w:sz w:val="44"/>
          <w:szCs w:val="44"/>
        </w:rPr>
        <w:t>廊坊市广阳区卫生和计划生育局</w:t>
      </w:r>
    </w:p>
    <w:p>
      <w:pPr>
        <w:rPr>
          <w:b/>
          <w:bCs/>
        </w:rPr>
      </w:pPr>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
        <w:spacing w:before="0" w:after="0" w:line="600" w:lineRule="exact"/>
        <w:ind w:firstLine="640"/>
        <w:jc w:val="left"/>
        <w:rPr>
          <w:rFonts w:ascii="仿宋" w:eastAsia="仿宋" w:cs="仿宋"/>
          <w:b w:val="0"/>
          <w:bCs w:val="0"/>
          <w:kern w:val="0"/>
          <w:sz w:val="32"/>
          <w:szCs w:val="32"/>
        </w:rPr>
      </w:pPr>
      <w:r>
        <w:rPr>
          <w:rFonts w:hint="eastAsia" w:ascii="仿宋" w:eastAsia="仿宋" w:cs="仿宋"/>
          <w:b w:val="0"/>
          <w:bCs w:val="0"/>
          <w:kern w:val="0"/>
          <w:sz w:val="32"/>
          <w:szCs w:val="32"/>
        </w:rPr>
        <w:t>（一）、组织拟定全区国民健康政策，拟定全区卫生健康事业发展地方性有关规定和办法，拟定全区卫生健康规划和政策措施，依法定制地方有关标准和技术规范并组织实施。制定并组织实施推进卫生健康基本公共服务均等化、普惠化、便捷化和公共资源向基层延伸等政策实施。</w:t>
      </w:r>
    </w:p>
    <w:p>
      <w:pPr>
        <w:pStyle w:val="2"/>
        <w:spacing w:before="0" w:after="0" w:line="600" w:lineRule="exact"/>
        <w:ind w:firstLine="640"/>
        <w:jc w:val="left"/>
        <w:rPr>
          <w:rFonts w:ascii="仿宋" w:eastAsia="仿宋" w:cs="仿宋"/>
          <w:b w:val="0"/>
          <w:bCs w:val="0"/>
          <w:kern w:val="0"/>
          <w:sz w:val="32"/>
          <w:szCs w:val="32"/>
        </w:rPr>
      </w:pPr>
      <w:r>
        <w:rPr>
          <w:rFonts w:hint="eastAsia" w:ascii="仿宋" w:eastAsia="仿宋" w:cs="仿宋"/>
          <w:b w:val="0"/>
          <w:bCs w:val="0"/>
          <w:kern w:val="0"/>
          <w:sz w:val="32"/>
          <w:szCs w:val="32"/>
        </w:rPr>
        <w:t>（二）、协调推进全区深化医药卫生</w:t>
      </w:r>
      <w:r>
        <w:rPr>
          <w:rFonts w:hint="eastAsia" w:ascii="仿宋" w:eastAsia="仿宋" w:cs="仿宋"/>
          <w:b w:val="0"/>
          <w:bCs w:val="0"/>
          <w:kern w:val="0"/>
          <w:sz w:val="32"/>
          <w:szCs w:val="32"/>
          <w:lang w:val="en-US" w:eastAsia="zh-CN"/>
        </w:rPr>
        <w:t>体制</w:t>
      </w:r>
      <w:r>
        <w:rPr>
          <w:rFonts w:hint="eastAsia" w:ascii="仿宋" w:eastAsia="仿宋" w:cs="仿宋"/>
          <w:b w:val="0"/>
          <w:bCs w:val="0"/>
          <w:kern w:val="0"/>
          <w:sz w:val="32"/>
          <w:szCs w:val="32"/>
        </w:rPr>
        <w:t>改革，研究提出全区深化医药卫生体制改革政策、措施的建议。深化公立医院综合体制改革，推进管办分离，健全现代化医院管理制度，制定并组织实施推动健康公共服务提供主体多元化、提供方式多元化的政策的措施，提出医疗服务和药品价格政策的建议。</w:t>
      </w:r>
    </w:p>
    <w:p>
      <w:pPr>
        <w:ind w:firstLine="640"/>
        <w:rPr>
          <w:rFonts w:ascii="仿宋" w:eastAsia="仿宋" w:cs="仿宋"/>
          <w:kern w:val="0"/>
          <w:sz w:val="32"/>
          <w:szCs w:val="32"/>
        </w:rPr>
      </w:pPr>
      <w:r>
        <w:rPr>
          <w:rFonts w:hint="eastAsia" w:ascii="仿宋" w:eastAsia="仿宋" w:cs="仿宋"/>
          <w:kern w:val="0"/>
          <w:sz w:val="32"/>
          <w:szCs w:val="32"/>
        </w:rPr>
        <w:t>（三）、拟订并组织落实疾病预防控制规划、国家免疫规划以及危害人民健康的公共卫生问题的干预设施。负责卫生应急工作，组织指导突发公共卫生事件的预防控制和医疗卫生救援。</w:t>
      </w:r>
    </w:p>
    <w:p>
      <w:pPr>
        <w:ind w:firstLine="640"/>
        <w:rPr>
          <w:rFonts w:ascii="仿宋" w:eastAsia="仿宋" w:cs="仿宋"/>
          <w:kern w:val="0"/>
          <w:sz w:val="32"/>
          <w:szCs w:val="32"/>
        </w:rPr>
      </w:pPr>
      <w:r>
        <w:rPr>
          <w:rFonts w:hint="eastAsia" w:ascii="仿宋" w:eastAsia="仿宋" w:cs="仿宋"/>
          <w:kern w:val="0"/>
          <w:sz w:val="32"/>
          <w:szCs w:val="32"/>
        </w:rPr>
        <w:t>（四）、组织拟定并协调落实应对人口老龄化政策措施，负责推进老年健康服务体系建设和医养结合工作。</w:t>
      </w:r>
    </w:p>
    <w:p>
      <w:pPr>
        <w:ind w:firstLine="640"/>
        <w:rPr>
          <w:rFonts w:ascii="仿宋" w:eastAsia="仿宋" w:cs="仿宋"/>
          <w:kern w:val="0"/>
          <w:sz w:val="32"/>
          <w:szCs w:val="32"/>
        </w:rPr>
      </w:pPr>
      <w:r>
        <w:rPr>
          <w:rFonts w:hint="eastAsia" w:ascii="仿宋" w:eastAsia="仿宋" w:cs="仿宋"/>
          <w:kern w:val="0"/>
          <w:sz w:val="32"/>
          <w:szCs w:val="32"/>
        </w:rPr>
        <w:t>（五）、组织实施国家基本药物制度和省、市药物政策，开展药品使用监测、临床综合评价和短缺药品预警，提出全区基本药物价格政策的建议，参与拟定药品地方性有关规定的办法。组织开展食品安全地方标准。</w:t>
      </w:r>
    </w:p>
    <w:p>
      <w:pPr>
        <w:ind w:firstLine="640"/>
        <w:rPr>
          <w:rFonts w:ascii="仿宋" w:eastAsia="仿宋" w:cs="仿宋"/>
          <w:kern w:val="0"/>
          <w:sz w:val="32"/>
          <w:szCs w:val="32"/>
        </w:rPr>
      </w:pPr>
      <w:r>
        <w:rPr>
          <w:rFonts w:hint="eastAsia" w:ascii="仿宋" w:eastAsia="仿宋" w:cs="仿宋"/>
          <w:kern w:val="0"/>
          <w:sz w:val="32"/>
          <w:szCs w:val="32"/>
        </w:rPr>
        <w:t>（六）、负责职责范围内的职业卫生、放射卫生、环境卫生、学校卫生、公共场所卫生、饮用水卫生等公共卫生的监督管理，负责传染病防治监督，健全卫生健康综合监督体系。牵头&lt;烟草制度框架公约&gt;履约工作。</w:t>
      </w:r>
    </w:p>
    <w:p>
      <w:pPr>
        <w:ind w:firstLine="640"/>
        <w:rPr>
          <w:rFonts w:ascii="仿宋" w:eastAsia="仿宋" w:cs="仿宋"/>
          <w:kern w:val="0"/>
          <w:sz w:val="32"/>
          <w:szCs w:val="32"/>
        </w:rPr>
      </w:pPr>
      <w:r>
        <w:rPr>
          <w:rFonts w:hint="eastAsia" w:ascii="仿宋" w:eastAsia="仿宋" w:cs="仿宋"/>
          <w:kern w:val="0"/>
          <w:sz w:val="32"/>
          <w:szCs w:val="32"/>
        </w:rPr>
        <w:t>（七）、监督实施医疗机构、医疗服务行业管理办法，建立医疗服务评价和监督管理体系，会同区有关部门组织实施卫生健康专业技术人员职业规则、服务规范。</w:t>
      </w:r>
    </w:p>
    <w:p>
      <w:pPr>
        <w:tabs>
          <w:tab w:val="left" w:pos="1721"/>
        </w:tabs>
        <w:ind w:firstLine="640"/>
        <w:rPr>
          <w:rFonts w:ascii="仿宋" w:eastAsia="仿宋" w:cs="仿宋"/>
          <w:kern w:val="0"/>
          <w:sz w:val="32"/>
          <w:szCs w:val="32"/>
        </w:rPr>
      </w:pPr>
      <w:r>
        <w:rPr>
          <w:rFonts w:hint="eastAsia" w:ascii="仿宋" w:eastAsia="仿宋" w:cs="仿宋"/>
          <w:kern w:val="0"/>
          <w:sz w:val="32"/>
          <w:szCs w:val="32"/>
        </w:rPr>
        <w:t>（八）、负责计划生育管理和服务工作，开展人口监测预警，研究提出人口与家庭发展相关政策建议，完善全区计划生育政策。</w:t>
      </w:r>
    </w:p>
    <w:p>
      <w:pPr>
        <w:tabs>
          <w:tab w:val="left" w:pos="1721"/>
        </w:tabs>
        <w:ind w:firstLine="640"/>
        <w:rPr>
          <w:rFonts w:ascii="仿宋" w:eastAsia="仿宋" w:cs="仿宋"/>
          <w:kern w:val="0"/>
          <w:sz w:val="32"/>
          <w:szCs w:val="32"/>
        </w:rPr>
      </w:pPr>
      <w:r>
        <w:rPr>
          <w:rFonts w:hint="eastAsia" w:ascii="仿宋" w:eastAsia="仿宋" w:cs="仿宋"/>
          <w:kern w:val="0"/>
          <w:sz w:val="32"/>
          <w:szCs w:val="32"/>
        </w:rPr>
        <w:t>（九）、指导全区卫生健康工作，指导基层医疗卫生、妇幼健康服务体系和全科医生队伍建设。推进卫生健康科技创新发展。</w:t>
      </w:r>
    </w:p>
    <w:p>
      <w:pPr>
        <w:pStyle w:val="2"/>
        <w:spacing w:before="0" w:after="0" w:line="600" w:lineRule="exact"/>
        <w:ind w:firstLine="640"/>
        <w:jc w:val="left"/>
        <w:rPr>
          <w:rFonts w:ascii="仿宋" w:eastAsia="仿宋" w:cs="仿宋"/>
          <w:b w:val="0"/>
          <w:bCs w:val="0"/>
          <w:kern w:val="0"/>
          <w:sz w:val="32"/>
          <w:szCs w:val="32"/>
        </w:rPr>
      </w:pPr>
      <w:r>
        <w:rPr>
          <w:rFonts w:hint="eastAsia" w:ascii="仿宋" w:eastAsia="仿宋" w:cs="仿宋"/>
          <w:b w:val="0"/>
          <w:bCs w:val="0"/>
          <w:kern w:val="0"/>
          <w:sz w:val="32"/>
          <w:szCs w:val="32"/>
        </w:rPr>
        <w:t>（十）、组织拟定全区爱国卫生事业发展规划和目标，并组织实施；负责开展卫生创建、病媒生物防制工作，协调组织城乡环境整治等项工作。</w:t>
      </w:r>
    </w:p>
    <w:p>
      <w:pPr>
        <w:ind w:firstLine="640"/>
        <w:rPr>
          <w:rFonts w:ascii="仿宋" w:eastAsia="仿宋" w:cs="仿宋"/>
          <w:kern w:val="0"/>
          <w:sz w:val="32"/>
          <w:szCs w:val="32"/>
        </w:rPr>
      </w:pPr>
      <w:r>
        <w:rPr>
          <w:rFonts w:hint="eastAsia" w:ascii="仿宋" w:eastAsia="仿宋" w:cs="仿宋"/>
          <w:kern w:val="0"/>
          <w:sz w:val="32"/>
          <w:szCs w:val="32"/>
        </w:rPr>
        <w:t>（十一）、指导广阳区计划生育协会的业务工作。</w:t>
      </w:r>
    </w:p>
    <w:p>
      <w:pPr>
        <w:ind w:firstLine="640"/>
        <w:rPr>
          <w:rFonts w:ascii="仿宋_GB2312" w:eastAsia="仿宋_GB2312" w:cs="ArialUnicodeMS"/>
          <w:kern w:val="0"/>
          <w:sz w:val="32"/>
          <w:szCs w:val="32"/>
        </w:rPr>
      </w:pPr>
      <w:r>
        <w:rPr>
          <w:rFonts w:hint="eastAsia" w:ascii="仿宋" w:eastAsia="仿宋" w:cs="仿宋"/>
          <w:kern w:val="0"/>
          <w:sz w:val="32"/>
          <w:szCs w:val="32"/>
        </w:rPr>
        <w:t>（十二）、承担区计划生育领导小组、区深化医药体制改革领导小组、区爱国卫生运动委员会和区防治艾滋病工作委员会、区地方病防治工作领导小组、区老龄化工作委员会</w:t>
      </w:r>
      <w:r>
        <w:rPr>
          <w:rFonts w:hint="eastAsia" w:ascii="仿宋_GB2312" w:eastAsia="仿宋_GB2312" w:cs="ArialUnicodeMS"/>
          <w:kern w:val="0"/>
          <w:sz w:val="32"/>
          <w:szCs w:val="32"/>
        </w:rPr>
        <w:t>的日常工作。</w:t>
      </w:r>
    </w:p>
    <w:p>
      <w:pPr>
        <w:ind w:firstLine="640"/>
        <w:rPr>
          <w:rFonts w:ascii="仿宋" w:eastAsia="仿宋" w:cs="仿宋"/>
          <w:kern w:val="0"/>
          <w:sz w:val="32"/>
          <w:szCs w:val="32"/>
        </w:rPr>
      </w:pPr>
      <w:r>
        <w:rPr>
          <w:rFonts w:hint="eastAsia" w:ascii="仿宋" w:eastAsia="仿宋" w:cs="仿宋"/>
          <w:kern w:val="0"/>
          <w:sz w:val="32"/>
          <w:szCs w:val="32"/>
        </w:rPr>
        <w:t>（十三）、完成区委、区政府交办的其他任务。</w:t>
      </w:r>
    </w:p>
    <w:p>
      <w:pPr>
        <w:pStyle w:val="2"/>
        <w:spacing w:before="0" w:after="0" w:line="600" w:lineRule="exact"/>
        <w:ind w:firstLine="64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3"/>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hint="eastAsia" w:ascii="仿宋_GB2312" w:eastAsia="仿宋_GB2312" w:cs="ArialUnicodeMS"/>
                <w:kern w:val="0"/>
                <w:sz w:val="28"/>
                <w:szCs w:val="28"/>
              </w:rPr>
              <w:t>廊坊市广阳区卫生健康局</w:t>
            </w:r>
          </w:p>
        </w:tc>
        <w:tc>
          <w:tcPr>
            <w:tcW w:w="244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rPr>
          <w:rFonts w:eastAsia="仿宋_GB2312"/>
          <w:sz w:val="32"/>
          <w:szCs w:val="32"/>
        </w:rPr>
      </w:pPr>
      <w:r>
        <w:rPr>
          <w:rFonts w:eastAsia="仿宋_GB2312"/>
          <w:sz w:val="32"/>
          <w:szCs w:val="32"/>
        </w:rPr>
        <w:t>一、收入支出决算总表</w:t>
      </w:r>
    </w:p>
    <w:p>
      <w:pPr>
        <w:widowControl/>
        <w:spacing w:line="580" w:lineRule="exact"/>
        <w:ind w:left="640" w:firstLine="640"/>
        <w:rPr>
          <w:rFonts w:eastAsia="仿宋_GB2312"/>
          <w:sz w:val="32"/>
          <w:szCs w:val="32"/>
        </w:rPr>
      </w:pPr>
      <w:r>
        <w:rPr>
          <w:rFonts w:eastAsia="仿宋_GB2312"/>
          <w:sz w:val="32"/>
          <w:szCs w:val="32"/>
        </w:rPr>
        <w:t>二、收入决算表</w:t>
      </w:r>
    </w:p>
    <w:p>
      <w:pPr>
        <w:widowControl/>
        <w:spacing w:line="580" w:lineRule="exact"/>
        <w:ind w:left="640" w:firstLine="640"/>
        <w:rPr>
          <w:rFonts w:eastAsia="仿宋_GB2312"/>
          <w:sz w:val="32"/>
          <w:szCs w:val="32"/>
        </w:rPr>
      </w:pPr>
      <w:r>
        <w:rPr>
          <w:rFonts w:eastAsia="仿宋_GB2312"/>
          <w:sz w:val="32"/>
          <w:szCs w:val="32"/>
        </w:rPr>
        <w:t>三、支出决算表</w:t>
      </w:r>
    </w:p>
    <w:p>
      <w:pPr>
        <w:widowControl/>
        <w:spacing w:line="580" w:lineRule="exact"/>
        <w:ind w:left="64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收入25038.49万元。上年财政结转和结余2933.19万元。与2017年度决算相比，收入增加2082.49万元，增加9.1%，主要原因是2018年事业收入、其他收入增加。支出25858.59万元，与2017年度决算相比，增加3218.49万元，增长14.2%，增长原因基本支出、项目支出增加。</w:t>
      </w:r>
    </w:p>
    <w:p>
      <w:pPr>
        <w:pStyle w:val="3"/>
        <w:spacing w:before="0" w:after="0" w:line="580" w:lineRule="exact"/>
        <w:ind w:firstLine="64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pPr>
      <w:r>
        <w:rPr>
          <w:rFonts w:hint="eastAsia" w:ascii="仿宋_GB2312" w:eastAsia="仿宋_GB2312" w:cs="DengXian-Regular"/>
          <w:sz w:val="32"/>
          <w:szCs w:val="32"/>
        </w:rPr>
        <w:t>本部门2018年度本年收入合计25038.49万元，其中：财政拨款收入7024.77万元，占28.1%；事业收入17404.09万元，占69.5%；其他收入609.62万元，占2.4%。</w:t>
      </w:r>
    </w:p>
    <w:p>
      <w:pPr>
        <w:pStyle w:val="3"/>
        <w:spacing w:before="0" w:after="0" w:line="580" w:lineRule="exact"/>
        <w:ind w:firstLine="64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本部门2018年度本年支出合计25858.59万元，其中：基本支出20491.18万元，占79.2%；项目支出5367.41.万元，占20.8%。</w:t>
      </w:r>
    </w:p>
    <w:p>
      <w:pPr>
        <w:pStyle w:val="3"/>
        <w:spacing w:before="0" w:after="0" w:line="580" w:lineRule="exact"/>
        <w:ind w:firstLine="64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rPr>
          <w:rFonts w:ascii="仿宋_GB2312" w:eastAsia="仿宋_GB2312" w:cs="DengXian-Regular"/>
          <w:sz w:val="32"/>
          <w:szCs w:val="32"/>
          <w:highlight w:val="yellow"/>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财政拨款本年收入7024.77万元,比2017年度收入减少435.18万元，减少5.8%，主要原因是2018年拨款年底未支出金额财政收回；本年支出7919.08万元，增加822.98万元，增长11.6%，主要原因是基本支出、项目支出、万庄改扩建支出增加。</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7024.77万元，比2017年度收入减少435.16万元；主要原因是2018年拨款年底未支出金额财政收回；本年支出7510.26万元，比2017年度增加414.16万元，增长5.8%，主要原因是基本支出、项目支出增加。政府性基金预算财政拨款本年支出408.82万元，比2017年度增加408.82万元，增长100%，主要原因是万庄改扩建资金2017年拨款未支出，2018年支出。</w:t>
      </w:r>
    </w:p>
    <w:p>
      <w:pPr>
        <w:spacing w:after="0" w:line="580" w:lineRule="exact"/>
        <w:ind w:firstLine="643"/>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财政拨款本年收入7024.78万元，完成年初预算的97.4%,比年初预算减少186.42万元，决算数小于预算数，主要原因是2018年拨款年底未支出金额财政收回；本年支出7919.08万元，完成年初预算的112.7%,比年初预算增加707.88万元，决算数大于预算数，主要原因是基本支出、项目支出增加。</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完成年初预算97.4%，比年初预算减少186.42万元，决算数小于预算数，主要原因是2018年拨款年底未支出金额财政收回；支出完成年初预算112.7%，比年初预算增加707.88万元，决算数大于预算数，主要原因是基本支出、项目支出增加。</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政府性基金预算财政拨款本年收入完成年初预算0%，比年初预算增加408.82万元，决算数大于预算数，主要原因是万庄改扩建资金2017年拨款未支出，2018年支出；年初无预算，比年初预算增加408.82万元，决算数大于小于预算数，主要原因是万庄改扩建资金2017年拨款未支出，2018年支出。</w:t>
      </w:r>
    </w:p>
    <w:p>
      <w:pPr>
        <w:numPr>
          <w:ilvl w:val="0"/>
          <w:numId w:val="1"/>
        </w:numPr>
        <w:adjustRightInd w:val="0"/>
        <w:snapToGrid w:val="0"/>
        <w:spacing w:after="0" w:line="580" w:lineRule="exact"/>
        <w:ind w:left="42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2018 年度财政拨款支出7919.08万元，主要用于以下方面：社会保障和就业（类）支出474.14万元，占6.0%；医疗卫生与计划生育支出6934.97万元,占87.6%,住房保障（类）支出101.15万元，占1.3%;城乡社区支出408.82万元,占5.1%;。</w:t>
      </w:r>
    </w:p>
    <w:p>
      <w:pPr>
        <w:adjustRightInd w:val="0"/>
        <w:snapToGrid w:val="0"/>
        <w:spacing w:after="0" w:line="580" w:lineRule="exact"/>
        <w:ind w:left="42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2683.48万元，其中：人员经费2403.97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279.51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rPr>
        <w:t>10.24</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rPr>
        <w:t>13.05</w:t>
      </w:r>
      <w:r>
        <w:rPr>
          <w:rFonts w:eastAsia="仿宋_GB2312"/>
          <w:sz w:val="32"/>
          <w:szCs w:val="32"/>
        </w:rPr>
        <w:t>万元，降低</w:t>
      </w:r>
      <w:r>
        <w:rPr>
          <w:rFonts w:hint="eastAsia" w:eastAsia="仿宋_GB2312"/>
          <w:sz w:val="32"/>
          <w:szCs w:val="32"/>
        </w:rPr>
        <w:t>56.0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修车费用减少</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8.95</w:t>
      </w:r>
      <w:r>
        <w:rPr>
          <w:rFonts w:eastAsia="仿宋_GB2312"/>
          <w:sz w:val="32"/>
          <w:szCs w:val="32"/>
        </w:rPr>
        <w:t>万元，降低</w:t>
      </w:r>
      <w:r>
        <w:rPr>
          <w:rFonts w:hint="eastAsia" w:eastAsia="仿宋_GB2312"/>
          <w:sz w:val="32"/>
          <w:szCs w:val="32"/>
        </w:rPr>
        <w:t>46.6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修车费用减少</w:t>
      </w:r>
      <w:r>
        <w:rPr>
          <w:rFonts w:eastAsia="仿宋_GB2312"/>
          <w:sz w:val="32"/>
          <w:szCs w:val="32"/>
        </w:rPr>
        <w:t>。</w:t>
      </w:r>
    </w:p>
    <w:p>
      <w:pPr>
        <w:adjustRightInd w:val="0"/>
        <w:snapToGrid w:val="0"/>
        <w:spacing w:line="584" w:lineRule="exact"/>
        <w:ind w:firstLine="643"/>
        <w:rPr>
          <w:rFonts w:hint="eastAsia" w:eastAsia="仿宋_GB2312"/>
          <w:sz w:val="32"/>
          <w:szCs w:val="32"/>
        </w:rPr>
      </w:pPr>
      <w:r>
        <w:rPr>
          <w:rFonts w:eastAsia="楷体_GB2312"/>
          <w:b/>
          <w:bCs/>
          <w:sz w:val="32"/>
          <w:szCs w:val="32"/>
        </w:rPr>
        <w:t>（一）因公出国（境）费支出xx万元。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rPr>
          <w:rFonts w:eastAsia="仿宋_GB2312"/>
          <w:b/>
          <w:bCs/>
          <w:sz w:val="32"/>
          <w:szCs w:val="32"/>
        </w:rPr>
      </w:pPr>
      <w:r>
        <w:rPr>
          <w:rFonts w:eastAsia="楷体_GB2312"/>
          <w:b/>
          <w:bCs/>
          <w:sz w:val="32"/>
          <w:szCs w:val="32"/>
        </w:rPr>
        <w:t>（二）公务用车购置及运行维护费支出</w:t>
      </w:r>
      <w:r>
        <w:rPr>
          <w:rFonts w:hint="eastAsia" w:eastAsia="仿宋_GB2312"/>
          <w:sz w:val="32"/>
          <w:szCs w:val="32"/>
        </w:rPr>
        <w:t>10.24</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减少</w:t>
      </w:r>
      <w:r>
        <w:rPr>
          <w:rFonts w:hint="eastAsia" w:eastAsia="仿宋_GB2312"/>
          <w:sz w:val="32"/>
          <w:szCs w:val="32"/>
        </w:rPr>
        <w:t>13.05</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降低</w:t>
      </w:r>
      <w:r>
        <w:rPr>
          <w:rFonts w:hint="eastAsia" w:eastAsia="仿宋_GB2312"/>
          <w:sz w:val="32"/>
          <w:szCs w:val="32"/>
        </w:rPr>
        <w:t>56.0</w:t>
      </w:r>
      <w:r>
        <w:rPr>
          <w:rFonts w:eastAsia="仿宋_GB2312"/>
          <w:sz w:val="32"/>
          <w:szCs w:val="32"/>
        </w:rPr>
        <w:t>%</w:t>
      </w:r>
      <w:r>
        <w:rPr>
          <w:rFonts w:hint="eastAsia" w:ascii="仿宋_GB2312" w:eastAsia="仿宋_GB2312" w:cs="DengXian-Regular"/>
          <w:sz w:val="32"/>
          <w:szCs w:val="32"/>
        </w:rPr>
        <w:t>,主要原因是</w:t>
      </w:r>
      <w:r>
        <w:rPr>
          <w:rFonts w:hint="eastAsia" w:eastAsia="仿宋_GB2312"/>
          <w:sz w:val="32"/>
          <w:szCs w:val="32"/>
        </w:rPr>
        <w:t>修车费用减少</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年度决算增加减少</w:t>
      </w:r>
      <w:r>
        <w:rPr>
          <w:rFonts w:hint="eastAsia" w:eastAsia="仿宋_GB2312"/>
          <w:sz w:val="32"/>
          <w:szCs w:val="32"/>
        </w:rPr>
        <w:t>9.95</w:t>
      </w:r>
      <w:r>
        <w:rPr>
          <w:rFonts w:eastAsia="仿宋_GB2312"/>
          <w:sz w:val="32"/>
          <w:szCs w:val="32"/>
        </w:rPr>
        <w:t>万元，降低</w:t>
      </w:r>
      <w:r>
        <w:rPr>
          <w:rFonts w:hint="eastAsia" w:eastAsia="仿宋_GB2312"/>
          <w:sz w:val="32"/>
          <w:szCs w:val="32"/>
        </w:rPr>
        <w:t>46.6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修车费用减少</w:t>
      </w:r>
      <w:r>
        <w:rPr>
          <w:rFonts w:eastAsia="仿宋_GB2312"/>
          <w:sz w:val="32"/>
          <w:szCs w:val="32"/>
        </w:rPr>
        <w:t>。</w:t>
      </w:r>
      <w:r>
        <w:rPr>
          <w:rFonts w:eastAsia="仿宋_GB2312"/>
          <w:b/>
          <w:bCs/>
          <w:sz w:val="32"/>
          <w:szCs w:val="32"/>
        </w:rPr>
        <w:t>其中：</w:t>
      </w:r>
    </w:p>
    <w:p>
      <w:pPr>
        <w:adjustRightInd w:val="0"/>
        <w:snapToGrid w:val="0"/>
        <w:spacing w:line="584" w:lineRule="exact"/>
        <w:ind w:firstLine="643"/>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rPr>
          <w:rFonts w:eastAsia="仿宋_GB2312"/>
          <w:sz w:val="32"/>
          <w:szCs w:val="32"/>
          <w:highlight w:val="yellow"/>
        </w:rPr>
      </w:pPr>
      <w:r>
        <w:rPr>
          <w:rFonts w:eastAsia="仿宋_GB2312"/>
          <w:b/>
          <w:sz w:val="32"/>
          <w:szCs w:val="32"/>
        </w:rPr>
        <w:t>公务用车运行维护费支出</w:t>
      </w:r>
      <w:r>
        <w:rPr>
          <w:rFonts w:hint="eastAsia" w:eastAsia="仿宋_GB2312"/>
          <w:sz w:val="32"/>
          <w:szCs w:val="32"/>
        </w:rPr>
        <w:t>10.24</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4</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年初预算增加（减少）</w:t>
      </w:r>
      <w:r>
        <w:rPr>
          <w:rFonts w:hint="eastAsia" w:eastAsia="仿宋_GB2312"/>
          <w:sz w:val="32"/>
          <w:szCs w:val="32"/>
        </w:rPr>
        <w:t>13.05</w:t>
      </w:r>
      <w:r>
        <w:rPr>
          <w:rFonts w:eastAsia="仿宋_GB2312"/>
          <w:sz w:val="32"/>
          <w:szCs w:val="32"/>
        </w:rPr>
        <w:t>万元，降低</w:t>
      </w:r>
      <w:r>
        <w:rPr>
          <w:rFonts w:hint="eastAsia" w:eastAsia="仿宋_GB2312"/>
          <w:sz w:val="32"/>
          <w:szCs w:val="32"/>
        </w:rPr>
        <w:t>56.0</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修车费用减少</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年度决算减少</w:t>
      </w:r>
      <w:r>
        <w:rPr>
          <w:rFonts w:hint="eastAsia" w:eastAsia="仿宋_GB2312"/>
          <w:sz w:val="32"/>
          <w:szCs w:val="32"/>
        </w:rPr>
        <w:t>9.95</w:t>
      </w:r>
      <w:r>
        <w:rPr>
          <w:rFonts w:eastAsia="仿宋_GB2312"/>
          <w:sz w:val="32"/>
          <w:szCs w:val="32"/>
        </w:rPr>
        <w:t>万元，降低</w:t>
      </w:r>
      <w:r>
        <w:rPr>
          <w:rFonts w:hint="eastAsia" w:eastAsia="仿宋_GB2312"/>
          <w:sz w:val="32"/>
          <w:szCs w:val="32"/>
        </w:rPr>
        <w:t>6.6</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修车费用减少</w:t>
      </w:r>
      <w:r>
        <w:rPr>
          <w:rFonts w:eastAsia="仿宋_GB2312"/>
          <w:sz w:val="32"/>
          <w:szCs w:val="32"/>
        </w:rPr>
        <w:t>。</w:t>
      </w:r>
    </w:p>
    <w:p>
      <w:pPr>
        <w:adjustRightInd w:val="0"/>
        <w:snapToGrid w:val="0"/>
        <w:spacing w:line="584" w:lineRule="exact"/>
        <w:ind w:firstLine="643"/>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rPr>
          <w:rFonts w:ascii="黑体" w:eastAsia="黑体"/>
          <w:sz w:val="32"/>
          <w:szCs w:val="40"/>
        </w:rPr>
      </w:pPr>
      <w:r>
        <w:rPr>
          <w:rFonts w:hint="eastAsia" w:ascii="黑体" w:eastAsia="黑体"/>
          <w:sz w:val="32"/>
          <w:szCs w:val="40"/>
        </w:rPr>
        <w:t>六、预算绩效情况说明</w:t>
      </w:r>
    </w:p>
    <w:p>
      <w:pPr>
        <w:autoSpaceDE w:val="0"/>
        <w:autoSpaceDN w:val="0"/>
        <w:adjustRightInd w:val="0"/>
        <w:spacing w:line="560" w:lineRule="exact"/>
        <w:ind w:firstLine="640"/>
        <w:jc w:val="left"/>
        <w:rPr>
          <w:rFonts w:ascii="仿宋" w:eastAsia="仿宋" w:cs="仿宋"/>
          <w:sz w:val="32"/>
          <w:szCs w:val="32"/>
        </w:rPr>
      </w:pPr>
      <w:r>
        <w:rPr>
          <w:rFonts w:hint="eastAsia" w:ascii="仿宋" w:eastAsia="仿宋" w:cs="仿宋"/>
          <w:sz w:val="32"/>
          <w:szCs w:val="32"/>
        </w:rPr>
        <w:t>（一）预算绩效管理工作开展情况。根据财政预算管理要求，我部门组织对2018年度一般公共预算项目支出全面开展绩效自评。共涉及资金3832.8万元，占一般公共预算项目支出总额的74.8%。组织对2018年度中央转移支付资金及地方配套资金等项目支出开展绩效自评，从评价情况看，效果突出，达到了项目资金的预期使用效果。</w:t>
      </w:r>
    </w:p>
    <w:p>
      <w:pPr>
        <w:pStyle w:val="11"/>
        <w:widowControl/>
        <w:spacing w:line="33" w:lineRule="atLeast"/>
        <w:ind w:firstLine="640"/>
        <w:jc w:val="both"/>
        <w:rPr>
          <w:rFonts w:ascii="仿宋" w:eastAsia="仿宋" w:cs="仿宋"/>
          <w:sz w:val="32"/>
          <w:szCs w:val="32"/>
        </w:rPr>
      </w:pPr>
      <w:r>
        <w:rPr>
          <w:rFonts w:hint="eastAsia" w:ascii="仿宋" w:eastAsia="仿宋" w:cs="仿宋"/>
          <w:sz w:val="32"/>
          <w:szCs w:val="32"/>
        </w:rPr>
        <w:t>（二）项目绩效自评结果。</w:t>
      </w:r>
    </w:p>
    <w:p>
      <w:pPr>
        <w:pStyle w:val="11"/>
        <w:widowControl/>
        <w:spacing w:line="33" w:lineRule="atLeast"/>
        <w:ind w:firstLine="640"/>
        <w:jc w:val="both"/>
        <w:rPr>
          <w:rFonts w:ascii="仿宋" w:eastAsia="仿宋" w:cs="仿宋"/>
          <w:color w:val="333333"/>
          <w:sz w:val="32"/>
          <w:szCs w:val="32"/>
        </w:rPr>
      </w:pPr>
      <w:r>
        <w:rPr>
          <w:rFonts w:hint="eastAsia" w:ascii="仿宋" w:eastAsia="仿宋" w:cs="仿宋"/>
          <w:color w:val="333333"/>
          <w:sz w:val="32"/>
          <w:szCs w:val="32"/>
        </w:rPr>
        <w:t>1、项目预算完成率100%。</w:t>
      </w:r>
    </w:p>
    <w:p>
      <w:pPr>
        <w:pStyle w:val="11"/>
        <w:widowControl/>
        <w:spacing w:line="33" w:lineRule="atLeast"/>
        <w:ind w:firstLine="640"/>
        <w:jc w:val="both"/>
        <w:rPr>
          <w:rFonts w:ascii="仿宋" w:eastAsia="仿宋" w:cs="仿宋"/>
          <w:color w:val="333333"/>
          <w:sz w:val="32"/>
          <w:szCs w:val="32"/>
        </w:rPr>
      </w:pPr>
      <w:r>
        <w:rPr>
          <w:rFonts w:hint="eastAsia" w:ascii="仿宋" w:eastAsia="仿宋" w:cs="仿宋"/>
          <w:color w:val="333333"/>
          <w:sz w:val="32"/>
          <w:szCs w:val="32"/>
        </w:rPr>
        <w:t>2、项目预算资金专款专用，无挤占挪用，实行专账单独核算。专款专用率100%。</w:t>
      </w:r>
    </w:p>
    <w:p>
      <w:pPr>
        <w:pStyle w:val="11"/>
        <w:widowControl/>
        <w:spacing w:line="33" w:lineRule="atLeast"/>
        <w:ind w:firstLine="640"/>
        <w:jc w:val="both"/>
        <w:rPr>
          <w:rFonts w:ascii="仿宋" w:eastAsia="仿宋" w:cs="仿宋"/>
          <w:color w:val="333333"/>
          <w:sz w:val="32"/>
          <w:szCs w:val="32"/>
        </w:rPr>
      </w:pPr>
      <w:r>
        <w:rPr>
          <w:rFonts w:hint="eastAsia" w:ascii="仿宋" w:eastAsia="仿宋" w:cs="仿宋"/>
          <w:color w:val="333333"/>
          <w:sz w:val="32"/>
          <w:szCs w:val="32"/>
        </w:rPr>
        <w:t>3、项目绩效目标实际完成率100%。</w:t>
      </w:r>
    </w:p>
    <w:p>
      <w:pPr>
        <w:autoSpaceDE w:val="0"/>
        <w:autoSpaceDN w:val="0"/>
        <w:adjustRightInd w:val="0"/>
        <w:spacing w:line="560" w:lineRule="exact"/>
        <w:ind w:firstLine="640"/>
        <w:jc w:val="left"/>
        <w:rPr>
          <w:rFonts w:ascii="仿宋" w:eastAsia="仿宋" w:cs="仿宋"/>
          <w:sz w:val="32"/>
          <w:szCs w:val="32"/>
        </w:rPr>
      </w:pPr>
      <w:r>
        <w:rPr>
          <w:rFonts w:hint="eastAsia" w:ascii="仿宋" w:eastAsia="仿宋" w:cs="仿宋"/>
          <w:sz w:val="32"/>
          <w:szCs w:val="32"/>
        </w:rPr>
        <w:t>（三）重点项目绩效评价结果。</w:t>
      </w:r>
    </w:p>
    <w:p>
      <w:pPr>
        <w:autoSpaceDE w:val="0"/>
        <w:autoSpaceDN w:val="0"/>
        <w:adjustRightInd w:val="0"/>
        <w:spacing w:line="560" w:lineRule="exact"/>
        <w:ind w:firstLine="640"/>
        <w:jc w:val="left"/>
        <w:rPr>
          <w:rFonts w:ascii="仿宋" w:eastAsia="仿宋" w:cs="仿宋"/>
          <w:sz w:val="32"/>
          <w:szCs w:val="32"/>
        </w:rPr>
      </w:pPr>
      <w:r>
        <w:rPr>
          <w:rFonts w:hint="eastAsia" w:ascii="仿宋" w:eastAsia="仿宋" w:cs="仿宋"/>
          <w:sz w:val="32"/>
          <w:szCs w:val="32"/>
        </w:rPr>
        <w:t>1、巩固实施健康扶贫工作、医疗救助扶持行动、完善贫困患者精准识别。完成全县贫困人口就医信息管理系统建设；严格落实“先诊疗后结算”制度，方便建卡户就医报销。</w:t>
      </w:r>
    </w:p>
    <w:p>
      <w:pPr>
        <w:autoSpaceDE w:val="0"/>
        <w:autoSpaceDN w:val="0"/>
        <w:adjustRightInd w:val="0"/>
        <w:spacing w:line="560" w:lineRule="exact"/>
        <w:ind w:firstLine="640"/>
        <w:jc w:val="left"/>
        <w:rPr>
          <w:rFonts w:ascii="仿宋" w:eastAsia="仿宋" w:cs="仿宋"/>
          <w:sz w:val="32"/>
          <w:szCs w:val="32"/>
        </w:rPr>
      </w:pPr>
      <w:r>
        <w:rPr>
          <w:rFonts w:hint="eastAsia" w:ascii="仿宋" w:eastAsia="仿宋" w:cs="仿宋"/>
          <w:sz w:val="32"/>
          <w:szCs w:val="32"/>
        </w:rPr>
        <w:t>2、加大计划生育秩序整治力度。截</w:t>
      </w:r>
      <w:r>
        <w:rPr>
          <w:rFonts w:hint="eastAsia" w:ascii="仿宋" w:eastAsia="仿宋" w:cs="仿宋"/>
          <w:sz w:val="32"/>
          <w:szCs w:val="32"/>
          <w:lang w:eastAsia="zh-CN"/>
        </w:rPr>
        <w:t>至</w:t>
      </w:r>
      <w:r>
        <w:rPr>
          <w:rFonts w:hint="eastAsia" w:ascii="仿宋" w:eastAsia="仿宋" w:cs="仿宋"/>
          <w:sz w:val="32"/>
          <w:szCs w:val="32"/>
        </w:rPr>
        <w:t>2018年12月底总人口共422796人，出生5073人，死亡1570人，出生率为12.11‰，自然增长率为8.36‰，现有77068人达到生育上限的已婚育龄妇女，到目前为止，全县共计完成248对孕前优生健康检查，完成年终任务目标248对，落实率为100%；落实超怀补救措施2623例。其中人流2338人，药流2623人。</w:t>
      </w:r>
    </w:p>
    <w:p>
      <w:pPr>
        <w:autoSpaceDE w:val="0"/>
        <w:autoSpaceDN w:val="0"/>
        <w:adjustRightInd w:val="0"/>
        <w:spacing w:line="560" w:lineRule="exact"/>
        <w:ind w:firstLine="640"/>
        <w:jc w:val="left"/>
        <w:rPr>
          <w:rFonts w:ascii="仿宋" w:eastAsia="仿宋" w:cs="仿宋"/>
          <w:sz w:val="32"/>
          <w:szCs w:val="32"/>
        </w:rPr>
      </w:pPr>
      <w:r>
        <w:rPr>
          <w:rFonts w:hint="eastAsia" w:ascii="仿宋" w:eastAsia="仿宋" w:cs="仿宋"/>
          <w:sz w:val="32"/>
          <w:szCs w:val="32"/>
        </w:rPr>
        <w:t>3、严格传染病疫情报告，为应急</w:t>
      </w:r>
      <w:bookmarkStart w:id="0" w:name="_GoBack"/>
      <w:bookmarkEnd w:id="0"/>
      <w:r>
        <w:rPr>
          <w:rFonts w:hint="eastAsia" w:ascii="仿宋" w:eastAsia="仿宋" w:cs="仿宋"/>
          <w:sz w:val="32"/>
          <w:szCs w:val="32"/>
        </w:rPr>
        <w:t>工作打牢基础。一是坚持每天24小时疫情值班和零报告制度，保证了疫情信息和突发公共卫生事件信息畅通。二是加强全县传染病疫情报告管理。</w:t>
      </w:r>
    </w:p>
    <w:p>
      <w:pPr>
        <w:autoSpaceDE w:val="0"/>
        <w:autoSpaceDN w:val="0"/>
        <w:adjustRightInd w:val="0"/>
        <w:spacing w:line="560" w:lineRule="exact"/>
        <w:ind w:firstLine="640"/>
        <w:jc w:val="left"/>
        <w:rPr>
          <w:rFonts w:ascii="仿宋" w:eastAsia="仿宋" w:cs="仿宋"/>
          <w:sz w:val="32"/>
          <w:szCs w:val="32"/>
        </w:rPr>
      </w:pPr>
      <w:r>
        <w:rPr>
          <w:rFonts w:hint="eastAsia" w:ascii="仿宋" w:eastAsia="仿宋" w:cs="仿宋"/>
          <w:sz w:val="32"/>
          <w:szCs w:val="32"/>
        </w:rPr>
        <w:t>4、加强基本公共卫生服务。全区累计建立居民健康档案36.96万人，建立电子档案31.64万人，建档率68.3%；高血压、糖尿病患者规范管理人数4.4万人，65岁以上老年人健康管理人数达到2.43万人，管理结核病患者72人，严重精神障碍患者1681人，规范管理1158人。</w:t>
      </w:r>
    </w:p>
    <w:p>
      <w:pPr>
        <w:pStyle w:val="3"/>
        <w:spacing w:before="0" w:after="0" w:line="580" w:lineRule="exact"/>
        <w:ind w:firstLine="64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本部门2018年度机关运行经费支出116.04万元，比年初预算数减少</w:t>
      </w:r>
      <w:r>
        <w:rPr>
          <w:rFonts w:hint="eastAsia" w:eastAsia="仿宋_GB2312"/>
          <w:sz w:val="32"/>
          <w:szCs w:val="32"/>
        </w:rPr>
        <w:t>57.67</w:t>
      </w:r>
      <w:r>
        <w:rPr>
          <w:rFonts w:hint="eastAsia" w:ascii="仿宋_GB2312" w:eastAsia="仿宋_GB2312" w:cs="DengXian-Regular"/>
          <w:sz w:val="32"/>
          <w:szCs w:val="32"/>
        </w:rPr>
        <w:t>万元，降低</w:t>
      </w:r>
      <w:r>
        <w:rPr>
          <w:rFonts w:hint="eastAsia" w:eastAsia="仿宋_GB2312"/>
          <w:sz w:val="32"/>
          <w:szCs w:val="32"/>
        </w:rPr>
        <w:t>33.2%</w:t>
      </w:r>
      <w:r>
        <w:rPr>
          <w:rFonts w:hint="eastAsia" w:ascii="仿宋_GB2312" w:eastAsia="仿宋_GB2312" w:cs="DengXian-Regular"/>
          <w:sz w:val="32"/>
          <w:szCs w:val="32"/>
        </w:rPr>
        <w:t>。主要原因是商品服务支出减少。</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rPr>
        <w:t>22.54</w:t>
      </w:r>
      <w:r>
        <w:rPr>
          <w:rFonts w:eastAsia="仿宋_GB2312"/>
          <w:sz w:val="32"/>
          <w:szCs w:val="32"/>
        </w:rPr>
        <w:t>万元，增长</w:t>
      </w:r>
      <w:r>
        <w:rPr>
          <w:rFonts w:hint="eastAsia" w:eastAsia="仿宋_GB2312"/>
          <w:sz w:val="32"/>
          <w:szCs w:val="32"/>
        </w:rPr>
        <w:t>24.1</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2017年取暖费2018年支出，对机关办公环境进行了修缮和改造</w:t>
      </w:r>
      <w:r>
        <w:rPr>
          <w:rFonts w:eastAsia="仿宋_GB2312"/>
          <w:sz w:val="32"/>
          <w:szCs w:val="32"/>
        </w:rPr>
        <w:t>。</w:t>
      </w:r>
    </w:p>
    <w:p>
      <w:pPr>
        <w:pStyle w:val="4"/>
        <w:spacing w:before="0" w:after="0" w:line="580" w:lineRule="exact"/>
        <w:ind w:firstLine="643"/>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本部门2018年度政府采购支出总额278.53万元，从采购类型来看，</w:t>
      </w:r>
      <w:r>
        <w:rPr>
          <w:rFonts w:ascii="仿宋_GB2312" w:eastAsia="仿宋_GB2312" w:cs="仿宋_GB2312"/>
          <w:color w:val="000000"/>
          <w:kern w:val="0"/>
          <w:sz w:val="32"/>
          <w:szCs w:val="32"/>
        </w:rPr>
        <w:t>政府采购货物支出</w:t>
      </w:r>
      <w:r>
        <w:rPr>
          <w:rFonts w:hint="eastAsia" w:ascii="仿宋_GB2312" w:eastAsia="仿宋_GB2312" w:cs="DengXian-Regular"/>
          <w:sz w:val="32"/>
          <w:szCs w:val="32"/>
        </w:rPr>
        <w:t>278.53</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DengXian-Regular"/>
          <w:sz w:val="32"/>
          <w:szCs w:val="32"/>
        </w:rPr>
        <w:t>278.53</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pStyle w:val="4"/>
        <w:spacing w:before="0" w:after="0" w:line="580" w:lineRule="exact"/>
        <w:ind w:firstLine="643"/>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截至2018年12月31日，本部门共有车辆19辆，比上年减少3辆，主要原因是卫健局报废两辆车，新农合一辆车划入广阳区医疗保障局。其中，副部（省）级及以上领导用车xx辆，主要领导干部用车xx辆，机要通信用车4辆，应急保障用车1辆，执法执勤用车3辆，特种专业技术用车7辆，离退休干部用车xx辆，其他用车4辆，其他用车主要是北旺卫生院下乡接送病人用车3辆，九州卫生院摩托车一辆；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万元以上通用设备0台（套），比上年增加0套，主要原因是没有单位价值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 ，单位价值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万元以上专用设备0台（套）比上年增加0套,主要原因是没有单位价值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p>
    <w:p>
      <w:pPr>
        <w:pStyle w:val="4"/>
        <w:spacing w:before="0" w:after="0" w:line="580" w:lineRule="exact"/>
        <w:ind w:firstLine="643"/>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1、本部门2018年度</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无收支及结转结余情况表无数据，故</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w:t>
      </w:r>
      <w:r>
        <w:rPr>
          <w:rFonts w:hint="eastAsia" w:ascii="仿宋_GB2312" w:eastAsia="仿宋_GB2312" w:cs="DengXian-Regular"/>
          <w:sz w:val="32"/>
          <w:szCs w:val="32"/>
        </w:rPr>
        <w:t>表以空表列示。</w:t>
      </w:r>
    </w:p>
    <w:p>
      <w:pPr>
        <w:adjustRightInd w:val="0"/>
        <w:snapToGrid w:val="0"/>
        <w:spacing w:after="0" w:line="580" w:lineRule="exact"/>
        <w:ind w:firstLine="64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ind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zg0YWQxZmQ2Nzk2Y2FmYzcwYjJhM2ZkNTBhYTIyYzcifQ=="/>
  </w:docVars>
  <w:rsids>
    <w:rsidRoot w:val="00000000"/>
    <w:rsid w:val="57584B55"/>
    <w:rsid w:val="6D714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rPr>
  </w:style>
  <w:style w:type="paragraph" w:styleId="2">
    <w:name w:val="heading 1"/>
    <w:basedOn w:val="1"/>
    <w:next w:val="1"/>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uiPriority w:val="0"/>
    <w:pPr>
      <w:spacing w:before="200"/>
    </w:pPr>
    <w:rPr>
      <w:b/>
      <w:color w:val="4F81BD"/>
      <w:sz w:val="24"/>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4">
    <w:name w:val="Default Paragraph Font"/>
    <w:uiPriority w:val="0"/>
  </w:style>
  <w:style w:type="table" w:default="1" w:styleId="13">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pPr>
  </w:style>
  <w:style w:type="paragraph" w:styleId="7">
    <w:name w:val="Balloon Text"/>
    <w:basedOn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autoRedefine/>
    <w:qFormat/>
    <w:uiPriority w:val="0"/>
    <w:rPr>
      <w:i/>
      <w:color w:val="4F81BD"/>
      <w:sz w:val="24"/>
    </w:rPr>
  </w:style>
  <w:style w:type="paragraph" w:styleId="11">
    <w:name w:val="Normal (Web)"/>
    <w:basedOn w:val="1"/>
    <w:uiPriority w:val="0"/>
    <w:pPr>
      <w:spacing w:after="0"/>
      <w:jc w:val="left"/>
    </w:pPr>
    <w:rPr>
      <w:kern w:val="0"/>
      <w:sz w:val="24"/>
    </w:rPr>
  </w:style>
  <w:style w:type="paragraph" w:styleId="12">
    <w:name w:val="Title"/>
    <w:basedOn w:val="1"/>
    <w:next w:val="1"/>
    <w:autoRedefine/>
    <w:qFormat/>
    <w:uiPriority w:val="0"/>
    <w:pPr>
      <w:spacing w:after="300"/>
    </w:pPr>
    <w:rPr>
      <w:color w:val="17365D"/>
      <w:sz w:val="52"/>
    </w:rPr>
  </w:style>
  <w:style w:type="paragraph" w:styleId="15">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6">
    <w:name w:val="Style1"/>
    <w:basedOn w:val="14"/>
    <w:uiPriority w:val="0"/>
    <w:rPr>
      <w:rFonts w:ascii="Cambria" w:hAnsi="Cambria" w:eastAsia="黑体" w:cs="Times New Roman"/>
      <w:sz w:val="22"/>
      <w:szCs w:val="22"/>
      <w:lang w:eastAsia="zh-CN"/>
    </w:rPr>
  </w:style>
  <w:style w:type="character" w:customStyle="1" w:styleId="17">
    <w:name w:val="Style2"/>
    <w:basedOn w:val="14"/>
    <w:uiPriority w:val="0"/>
    <w:rPr>
      <w:rFonts w:ascii="Cambria" w:hAnsi="Cambria" w:eastAsia="黑体" w:cs="Times New Roman"/>
      <w:sz w:val="22"/>
      <w:szCs w:val="22"/>
      <w:lang w:eastAsia="zh-CN"/>
    </w:rPr>
  </w:style>
  <w:style w:type="character" w:customStyle="1" w:styleId="18">
    <w:name w:val="Style3"/>
    <w:basedOn w:val="14"/>
    <w:qFormat/>
    <w:uiPriority w:val="0"/>
    <w:rPr>
      <w:rFonts w:ascii="Cambria" w:hAnsi="Cambria" w:eastAsia="黑体" w:cs="Times New Roman"/>
      <w:szCs w:val="22"/>
      <w:lang w:eastAsia="zh-CN"/>
    </w:rPr>
  </w:style>
  <w:style w:type="character" w:customStyle="1" w:styleId="19">
    <w:name w:val="Style4"/>
    <w:basedOn w:val="14"/>
    <w:uiPriority w:val="0"/>
    <w:rPr>
      <w:rFonts w:ascii="Cambria" w:hAnsi="Cambria" w:eastAsia="黑体" w:cs="Times New Roman"/>
      <w:szCs w:val="22"/>
      <w:lang w:eastAsia="zh-CN"/>
    </w:rPr>
  </w:style>
  <w:style w:type="character" w:customStyle="1" w:styleId="20">
    <w:name w:val="Style5"/>
    <w:basedOn w:val="14"/>
    <w:uiPriority w:val="0"/>
    <w:rPr>
      <w:rFonts w:ascii="Cambria" w:hAnsi="Cambria" w:eastAsia="黑体" w:cs="Times New Roman"/>
      <w:sz w:val="22"/>
      <w:szCs w:val="22"/>
      <w:lang w:eastAsia="zh-CN"/>
    </w:rPr>
  </w:style>
  <w:style w:type="paragraph" w:styleId="21">
    <w:name w:val="List Paragraph"/>
    <w:basedOn w:val="1"/>
    <w:uiPriority w:val="0"/>
    <w:pPr>
      <w:ind w:firstLine="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19</Pages>
  <Words>5592</Words>
  <Characters>6232</Characters>
  <Lines>325</Lines>
  <Paragraphs>107</Paragraphs>
  <TotalTime>13</TotalTime>
  <ScaleCrop>false</ScaleCrop>
  <LinksUpToDate>false</LinksUpToDate>
  <CharactersWithSpaces>6240</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lenovo</cp:lastModifiedBy>
  <cp:lastPrinted>2019-09-27T00:42:00Z</cp:lastPrinted>
  <dcterms:modified xsi:type="dcterms:W3CDTF">2024-05-21T10:58:46Z</dcterms:modified>
  <dc:subject>石家庄市xxx部门</dc:subject>
  <dc:title>2017年度部门决算</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FFC5FB970CC44B238EC08AFA0D01790B</vt:lpwstr>
  </property>
</Properties>
</file>