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rPr>
          <w:color w:val="000000"/>
        </w:rPr>
      </w:pPr>
      <w:r>
        <w:rPr>
          <w:rFonts w:hint="eastAsia"/>
          <w:b/>
          <w:color w:val="000000"/>
          <w:sz w:val="44"/>
          <w:szCs w:val="44"/>
        </w:rPr>
        <w:t>廊坊市广阳区新源道街道办事处</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1、宣传国家法律、法规和政策，对居民群众进行思想政治教育和社会主义法制教育。</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2、管理街道经济，制定经济发展规划，对经济工作中的重要问题做出决定，监督、指导、协调街道经济的运作。</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3、做好计划生育工作，加强对辖区居民和流动人口的计划生育管理，落实区政府下达的各项计划生育指标。</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4、协调和参与辖区内城市管理、旧村改造、重点项目征地拆迁、制止违法建设，搞好市容环境卫生。</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5、开展社区群众文化、体育和科普工作。</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6、加强社区居民委员会建设，指导其开展工作，提高其自治能力。</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7、开展社会保障、拥军优属、社区服务工作，协助做好义务教育工作。</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8、协助政法部门搞好社会治安综合治理，加强流动人口管理，开展人民调解，维护老人、妇女、未成年人及残疾人的合法权益。</w:t>
      </w:r>
    </w:p>
    <w:p>
      <w:pPr>
        <w:pStyle w:val="11"/>
        <w:spacing w:before="0" w:beforeAutospacing="0" w:after="0" w:afterAutospacing="0" w:line="402" w:lineRule="atLeast"/>
        <w:ind w:firstLine="697" w:firstLineChars="218"/>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9、开展安全生产、抢险救灾工作。</w:t>
      </w:r>
    </w:p>
    <w:p>
      <w:pPr>
        <w:pStyle w:val="11"/>
        <w:spacing w:before="0" w:beforeAutospacing="0" w:after="0" w:afterAutospacing="0" w:line="402" w:lineRule="atLeas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10、向区人民政府反映社情民意，办理人民群众信访事项。</w:t>
      </w:r>
    </w:p>
    <w:p>
      <w:pPr>
        <w:ind w:firstLine="640" w:firstLineChars="200"/>
        <w:rPr>
          <w:rFonts w:eastAsia="仿宋_GB2312"/>
          <w:sz w:val="32"/>
          <w:szCs w:val="32"/>
        </w:rPr>
      </w:pPr>
      <w:r>
        <w:rPr>
          <w:rFonts w:hint="eastAsia" w:eastAsia="仿宋_GB2312"/>
          <w:sz w:val="32"/>
          <w:szCs w:val="32"/>
        </w:rPr>
        <w:t>11、承办区政府交办的其它事项。</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3"/>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廊坊市广阳区新源道街道办事处(本级)</w:t>
            </w:r>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bl>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本部门2018年度收支总计（含结转和结余）1574.44万元。与2017年度决算相比，收支各增加405.07万元，增长34.64%，主要原因是工资增加支出及2016-2017年绩效奖励发放。</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本部门2018年度本年收入合计1574.44万元，其中：财政拨款收入1574.44万元，占100%；事业收入0万元，占0%；经营收入0万元，占0%；其他收入0万元，占0%。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本部门2018年度本年支出合计1574.44万元，其中：基本支出1574.44万元，占100%；项目支出0万元，占0%；经营支出0万元，占0%。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本部门2018年度形成的财政拨款收支均为一般公共预算财政拨款，其中一般公共预算财政拨款本年收入1574.44万元,比2017年度增加405.07万元，增长34.64%，主要原因</w:t>
      </w:r>
      <w:bookmarkStart w:id="0" w:name="_GoBack"/>
      <w:bookmarkEnd w:id="0"/>
      <w:r>
        <w:rPr>
          <w:rFonts w:hint="eastAsia" w:ascii="仿宋_GB2312" w:eastAsia="仿宋_GB2312" w:cs="DengXian-Regular"/>
          <w:sz w:val="32"/>
          <w:szCs w:val="32"/>
        </w:rPr>
        <w:t>是工资增加支出及2016-2017年绩效奖励发放；本年支出1574.44万元，增加405.07万元，增长34.64%，主要原因是工资增加支出及2016-2017年绩效奖励发放。</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1574.44万元，完成年初预算的126.88%,比年初预算增加333.58万元，决算数大于预算数，主要原因是2016年目标绩效发放及工资支出增加；本年支出1574.44万元，完成年初预算的126.88%,比年初预算增加333.58万元，决算数大于预算数，主要原因是2016年目标绩效发放及工资支出增加。</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1574.44万元，主要用于以下方面：一般公共服务（类）支出1486.34万元，占94.4%；公共安全（类）支出0万元，占0%；教育（类）支出0万元，占0%；科学技术（类）支出0万元，占0x%；社会保障和就业（类）支出22.43万元，占1.4%；住房保障（类）支出65.68万元，占4.2%。</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1574.44万元，其中：人员经费1386.94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187.5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rPr>
        <w:t>0.76</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rPr>
        <w:t>3.84</w:t>
      </w:r>
      <w:r>
        <w:rPr>
          <w:rFonts w:eastAsia="仿宋_GB2312"/>
          <w:sz w:val="32"/>
          <w:szCs w:val="32"/>
        </w:rPr>
        <w:t>万元，降低</w:t>
      </w:r>
      <w:r>
        <w:rPr>
          <w:rFonts w:hint="eastAsia" w:eastAsia="仿宋_GB2312"/>
          <w:sz w:val="32"/>
          <w:szCs w:val="32"/>
        </w:rPr>
        <w:t>83.5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严格控制车辆使用</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0.25</w:t>
      </w:r>
      <w:r>
        <w:rPr>
          <w:rFonts w:eastAsia="仿宋_GB2312"/>
          <w:sz w:val="32"/>
          <w:szCs w:val="32"/>
        </w:rPr>
        <w:t>万元，增长降低</w:t>
      </w:r>
      <w:r>
        <w:rPr>
          <w:rFonts w:hint="eastAsia" w:eastAsia="仿宋_GB2312"/>
          <w:sz w:val="32"/>
          <w:szCs w:val="32"/>
        </w:rPr>
        <w:t>24.4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严格控制车辆使用</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0.76</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3.84</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83.48</w:t>
      </w:r>
      <w:r>
        <w:rPr>
          <w:rFonts w:eastAsia="仿宋_GB2312"/>
          <w:sz w:val="32"/>
          <w:szCs w:val="32"/>
        </w:rPr>
        <w:t>%</w:t>
      </w:r>
      <w:r>
        <w:rPr>
          <w:rFonts w:hint="eastAsia" w:ascii="仿宋_GB2312" w:eastAsia="仿宋_GB2312" w:cs="DengXian-Regular"/>
          <w:sz w:val="32"/>
          <w:szCs w:val="32"/>
        </w:rPr>
        <w:t>,主要原因是</w:t>
      </w:r>
      <w:r>
        <w:rPr>
          <w:rFonts w:hint="eastAsia" w:eastAsia="仿宋_GB2312"/>
          <w:sz w:val="32"/>
          <w:szCs w:val="32"/>
        </w:rPr>
        <w:t>严格控制车辆使用</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0.25</w:t>
      </w:r>
      <w:r>
        <w:rPr>
          <w:rFonts w:eastAsia="仿宋_GB2312"/>
          <w:sz w:val="32"/>
          <w:szCs w:val="32"/>
        </w:rPr>
        <w:t>万元，降低</w:t>
      </w:r>
      <w:r>
        <w:rPr>
          <w:rFonts w:hint="eastAsia" w:eastAsia="仿宋_GB2312"/>
          <w:sz w:val="32"/>
          <w:szCs w:val="32"/>
        </w:rPr>
        <w:t>24.4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严格控制车辆使用</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0.76</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2</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rPr>
        <w:t>3.84</w:t>
      </w:r>
      <w:r>
        <w:rPr>
          <w:rFonts w:eastAsia="仿宋_GB2312"/>
          <w:sz w:val="32"/>
          <w:szCs w:val="32"/>
        </w:rPr>
        <w:t>万元，降低</w:t>
      </w:r>
      <w:r>
        <w:rPr>
          <w:rFonts w:hint="eastAsia" w:eastAsia="仿宋_GB2312"/>
          <w:sz w:val="32"/>
          <w:szCs w:val="32"/>
        </w:rPr>
        <w:t>83.34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严格控制车辆使用</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0.25</w:t>
      </w:r>
      <w:r>
        <w:rPr>
          <w:rFonts w:eastAsia="仿宋_GB2312"/>
          <w:sz w:val="32"/>
          <w:szCs w:val="32"/>
        </w:rPr>
        <w:t>万元，降低</w:t>
      </w:r>
      <w:r>
        <w:rPr>
          <w:rFonts w:hint="eastAsia" w:eastAsia="仿宋_GB2312"/>
          <w:sz w:val="32"/>
          <w:szCs w:val="32"/>
        </w:rPr>
        <w:t>24.4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严格控制车辆使用</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adjustRightInd w:val="0"/>
        <w:snapToGrid w:val="0"/>
        <w:spacing w:after="0" w:line="580" w:lineRule="exact"/>
        <w:ind w:firstLine="640" w:firstLineChars="200"/>
        <w:rPr>
          <w:rFonts w:eastAsia="仿宋_GB2312"/>
          <w:sz w:val="32"/>
          <w:szCs w:val="32"/>
        </w:rPr>
      </w:pPr>
      <w:r>
        <w:rPr>
          <w:rFonts w:eastAsia="仿宋_GB2312"/>
          <w:sz w:val="32"/>
          <w:szCs w:val="32"/>
        </w:rPr>
        <w:t>根据财政预算绩效管理要求，</w:t>
      </w:r>
      <w:r>
        <w:rPr>
          <w:rFonts w:hint="eastAsia" w:eastAsia="仿宋_GB2312"/>
          <w:sz w:val="32"/>
          <w:szCs w:val="32"/>
        </w:rPr>
        <w:t>本</w:t>
      </w:r>
      <w:r>
        <w:rPr>
          <w:rFonts w:eastAsia="仿宋_GB2312"/>
          <w:sz w:val="32"/>
          <w:szCs w:val="32"/>
        </w:rPr>
        <w:t>部门以“部门职责 —工作活动”为依据，确定部门预算项目和预算额度，清晰描述 预算项目开支范围和内容，确定预算项目的绩效目标、绩效指标 和评价标准，为预算绩效控制、绩效分析、绩效评价打下好的基础。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p>
    <w:p>
      <w:pPr>
        <w:adjustRightInd w:val="0"/>
        <w:snapToGrid w:val="0"/>
        <w:spacing w:after="0" w:line="58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018 年我</w:t>
      </w:r>
      <w:r>
        <w:rPr>
          <w:rFonts w:hint="eastAsia" w:eastAsia="仿宋_GB2312"/>
          <w:sz w:val="32"/>
          <w:szCs w:val="32"/>
        </w:rPr>
        <w:t>单位</w:t>
      </w:r>
      <w:r>
        <w:rPr>
          <w:rFonts w:eastAsia="仿宋_GB2312"/>
          <w:sz w:val="32"/>
          <w:szCs w:val="32"/>
        </w:rPr>
        <w:t>部门年度预算共安排专项项目</w:t>
      </w:r>
      <w:r>
        <w:rPr>
          <w:rFonts w:hint="eastAsia" w:eastAsia="仿宋_GB2312"/>
          <w:sz w:val="32"/>
          <w:szCs w:val="32"/>
        </w:rPr>
        <w:t>1</w:t>
      </w:r>
      <w:r>
        <w:rPr>
          <w:rFonts w:eastAsia="仿宋_GB2312"/>
          <w:sz w:val="32"/>
          <w:szCs w:val="32"/>
        </w:rPr>
        <w:t>个项目，此次绩效评价资金总量为</w:t>
      </w:r>
      <w:r>
        <w:rPr>
          <w:rFonts w:hint="eastAsia" w:eastAsia="仿宋_GB2312"/>
          <w:sz w:val="32"/>
          <w:szCs w:val="32"/>
        </w:rPr>
        <w:t>100.69万元。</w:t>
      </w:r>
      <w:r>
        <w:rPr>
          <w:rFonts w:eastAsia="仿宋_GB2312"/>
          <w:sz w:val="32"/>
          <w:szCs w:val="32"/>
        </w:rPr>
        <w:t>部门全部项目评价指标优</w:t>
      </w:r>
      <w:r>
        <w:rPr>
          <w:rFonts w:hint="eastAsia" w:eastAsia="仿宋_GB2312"/>
          <w:sz w:val="32"/>
          <w:szCs w:val="32"/>
        </w:rPr>
        <w:t>。</w:t>
      </w:r>
      <w:r>
        <w:rPr>
          <w:rFonts w:eastAsia="仿宋_GB2312"/>
          <w:sz w:val="32"/>
          <w:szCs w:val="32"/>
        </w:rPr>
        <w:t xml:space="preserve"> </w:t>
      </w:r>
    </w:p>
    <w:p>
      <w:pPr>
        <w:rPr>
          <w:rFonts w:ascii="仿宋_GB2312" w:eastAsia="仿宋_GB2312" w:cs="DengXian-Regular"/>
          <w:sz w:val="32"/>
          <w:szCs w:val="32"/>
        </w:rPr>
      </w:pPr>
      <w:r>
        <w:rPr>
          <w:rFonts w:hint="eastAsia" w:ascii="仿宋_GB2312" w:eastAsia="仿宋_GB2312" w:cs="DengXian-Regular"/>
          <w:sz w:val="32"/>
          <w:szCs w:val="32"/>
        </w:rPr>
        <w:t>（三）重点项目绩效评价结果。</w:t>
      </w:r>
    </w:p>
    <w:p>
      <w:pPr>
        <w:ind w:firstLine="480" w:firstLineChars="150"/>
        <w:rPr>
          <w:rFonts w:eastAsia="仿宋_GB2312"/>
          <w:sz w:val="32"/>
          <w:szCs w:val="32"/>
        </w:rPr>
      </w:pPr>
      <w:r>
        <w:rPr>
          <w:rFonts w:hint="eastAsia" w:eastAsia="仿宋_GB2312"/>
          <w:sz w:val="32"/>
          <w:szCs w:val="32"/>
        </w:rPr>
        <w:t>社区人员经费</w:t>
      </w:r>
      <w:r>
        <w:rPr>
          <w:rFonts w:eastAsia="仿宋_GB2312"/>
          <w:sz w:val="32"/>
          <w:szCs w:val="32"/>
        </w:rPr>
        <w:t>已基本全部完成年初设定的绩效目标。</w:t>
      </w:r>
    </w:p>
    <w:p>
      <w:pPr>
        <w:pStyle w:val="3"/>
        <w:spacing w:before="0" w:after="0" w:line="580" w:lineRule="exact"/>
        <w:ind w:firstLine="800" w:firstLineChars="25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本部门2018年度机关运行经费支出187.5万元，比年初预算数增加83.33万元，增长80.1 </w:t>
      </w:r>
      <w:r>
        <w:rPr>
          <w:rFonts w:eastAsia="仿宋_GB2312"/>
          <w:sz w:val="32"/>
          <w:szCs w:val="32"/>
        </w:rPr>
        <w:t>%</w:t>
      </w:r>
      <w:r>
        <w:rPr>
          <w:rFonts w:hint="eastAsia" w:ascii="仿宋_GB2312" w:eastAsia="仿宋_GB2312" w:cs="DengXian-Regular"/>
          <w:sz w:val="32"/>
          <w:szCs w:val="32"/>
        </w:rPr>
        <w:t>。主要原因是创城费用增加。</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rPr>
        <w:t>67.22</w:t>
      </w:r>
      <w:r>
        <w:rPr>
          <w:rFonts w:eastAsia="仿宋_GB2312"/>
          <w:sz w:val="32"/>
          <w:szCs w:val="32"/>
        </w:rPr>
        <w:t>万元，增长</w:t>
      </w:r>
      <w:r>
        <w:rPr>
          <w:rFonts w:hint="eastAsia" w:eastAsia="仿宋_GB2312"/>
          <w:sz w:val="32"/>
          <w:szCs w:val="32"/>
        </w:rPr>
        <w:t>55. 9</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创城费用增加</w:t>
      </w:r>
      <w:r>
        <w:rPr>
          <w:rFonts w:eastAsia="仿宋_GB2312"/>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本部门2018年度政府采购支出总额1.65万元，从采购类型来看，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1.65</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万元、政府采购服务支出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辆，比上年增加0辆，主要原因是未进行车辆购置。其中，副部（省）级及以上领导用车0辆，主要领导干部用车0辆，机要通信用车2辆，应急保障用车0辆，执法执勤用车0辆，特种专业技术用车0辆，离退休干部用车0辆，其他用车0辆其他用车；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万元以上通用设备0台（套），比上年增加0套，主要原因是未进行购置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万元以上专用设备0台（套）比上年增加0套,主要原因是未进行购置。</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1、本部门2018年度国有资本经营预算收入无收支及结转结余情况，故</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Times New Roman"/>
    <w:panose1 w:val="00000000000000000000"/>
    <w:charset w:val="00"/>
    <w:family w:val="auto"/>
    <w:pitch w:val="default"/>
    <w:sig w:usb0="00000000" w:usb1="00000000" w:usb2="00000000" w:usb3="00000000" w:csb0="00000000" w:csb1="00000000"/>
  </w:font>
  <w:font w:name="MS-UIGothic,Bold">
    <w:altName w:val="Times New Roman"/>
    <w:panose1 w:val="00000000000000000000"/>
    <w:charset w:val="00"/>
    <w:family w:val="auto"/>
    <w:pitch w:val="default"/>
    <w:sig w:usb0="00000000" w:usb1="00000000" w:usb2="00000000" w:usb3="00000000" w:csb0="00000000" w:csb1="00000000"/>
  </w:font>
  <w:font w:name="DengXian-Regular">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00"/>
    <w:family w:val="auto"/>
    <w:pitch w:val="default"/>
    <w:sig w:usb0="00000000" w:usb1="00000000" w:usb2="00000000" w:usb3="00000000" w:csb0="00000000" w:csb1="00000000"/>
  </w:font>
  <w:font w:name="TimesNewRomanPSMT">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rsids>
    <w:rsidRoot w:val="00000000"/>
    <w:rsid w:val="54835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qFormat/>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Normal (Web)"/>
    <w:basedOn w:val="1"/>
    <w:qFormat/>
    <w:uiPriority w:val="0"/>
    <w:pPr>
      <w:widowControl/>
      <w:spacing w:before="100" w:beforeAutospacing="1" w:after="100" w:afterAutospacing="1" w:line="240" w:lineRule="auto"/>
      <w:jc w:val="left"/>
    </w:pPr>
    <w:rPr>
      <w:rFonts w:ascii="宋体" w:cs="宋体"/>
      <w:kern w:val="0"/>
      <w:sz w:val="24"/>
    </w:rPr>
  </w:style>
  <w:style w:type="paragraph" w:styleId="12">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5">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6">
    <w:name w:val="Style1"/>
    <w:basedOn w:val="14"/>
    <w:uiPriority w:val="0"/>
    <w:rPr>
      <w:rFonts w:ascii="Cambria" w:hAnsi="Cambria" w:eastAsia="黑体" w:cs="Times New Roman"/>
      <w:sz w:val="22"/>
      <w:szCs w:val="22"/>
      <w:lang w:eastAsia="zh-CN"/>
    </w:rPr>
  </w:style>
  <w:style w:type="character" w:customStyle="1" w:styleId="17">
    <w:name w:val="Style2"/>
    <w:basedOn w:val="14"/>
    <w:uiPriority w:val="0"/>
    <w:rPr>
      <w:rFonts w:ascii="Cambria" w:hAnsi="Cambria" w:eastAsia="黑体" w:cs="Times New Roman"/>
      <w:sz w:val="22"/>
      <w:szCs w:val="22"/>
      <w:lang w:eastAsia="zh-CN"/>
    </w:rPr>
  </w:style>
  <w:style w:type="character" w:customStyle="1" w:styleId="18">
    <w:name w:val="Style3"/>
    <w:basedOn w:val="14"/>
    <w:qFormat/>
    <w:uiPriority w:val="0"/>
    <w:rPr>
      <w:rFonts w:ascii="Cambria" w:hAnsi="Cambria" w:eastAsia="黑体" w:cs="Times New Roman"/>
      <w:szCs w:val="22"/>
      <w:lang w:eastAsia="zh-CN"/>
    </w:rPr>
  </w:style>
  <w:style w:type="character" w:customStyle="1" w:styleId="19">
    <w:name w:val="Style4"/>
    <w:basedOn w:val="14"/>
    <w:uiPriority w:val="0"/>
    <w:rPr>
      <w:rFonts w:ascii="Cambria" w:hAnsi="Cambria" w:eastAsia="黑体" w:cs="Times New Roman"/>
      <w:szCs w:val="22"/>
      <w:lang w:eastAsia="zh-CN"/>
    </w:rPr>
  </w:style>
  <w:style w:type="character" w:customStyle="1" w:styleId="20">
    <w:name w:val="Style5"/>
    <w:basedOn w:val="14"/>
    <w:uiPriority w:val="0"/>
    <w:rPr>
      <w:rFonts w:ascii="Cambria" w:hAnsi="Cambria" w:eastAsia="黑体" w:cs="Times New Roman"/>
      <w:sz w:val="22"/>
      <w:szCs w:val="22"/>
      <w:lang w:eastAsia="zh-CN"/>
    </w:rPr>
  </w:style>
  <w:style w:type="paragraph" w:customStyle="1" w:styleId="21">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17</Pages>
  <Words>4207</Words>
  <Characters>4597</Characters>
  <Lines>267</Lines>
  <Paragraphs>98</Paragraphs>
  <TotalTime>4</TotalTime>
  <ScaleCrop>false</ScaleCrop>
  <LinksUpToDate>false</LinksUpToDate>
  <CharactersWithSpaces>4613</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2019-10-31T01:34:00Z</dcterms:created>
  <dc:creator>User</dc:creator>
  <cp:lastModifiedBy>lenovo</cp:lastModifiedBy>
  <cp:lastPrinted>2019-09-27T00:42:00Z</cp:lastPrinted>
  <dcterms:modified xsi:type="dcterms:W3CDTF">2023-06-02T02:50:06Z</dcterms:modified>
  <dc:subject>石家庄市xxx部门</dc:subject>
  <dc:title>2017年度部门决算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FB118843A1B54A75A44244BCF60132DE</vt:lpwstr>
  </property>
</Properties>
</file>