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廊坊市广阳区南尖塔镇人民政府</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一)转变乡镇职能，明确乡镇工作重点。改革中要着力推进职能转变，乡镇党委、政府在履行好法律赋予职责的基础上，重点强化一下职责。第一，促进经济发展、增加农民收入。认真贯彻落实党和国家在农村的方针政策和强农惠农措施，坚持科学发展，积极转变经济发展方式，推动产业结构调整。结合实际制定本地产业发展规划，培育特色优势产业和特色经济，扶持壮大龙头企业，促进现代农业发展。稳定和完善农村基本经营制度，支持农民专业合作经济组织发展，健全农村市场和农业服务体系。大力推广先进科学技术，强化劳动力技能培训，做好农村剩余劳动力转移输出，促进农民增产增收。第二，强化公共服务、着力改善民生。做好农村社会保障工作，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第三，加强社会管理、维护农村稳定。普及农村法制教育，强化社会治安综合治理，加强信访和民师纠纷调解，维护农村公共秩序和社会稳定。加强安全生产、市场监管、疾病防控和农畜产品治理监控等社会管理，健全农民权益保障机制，维护农村社会公平正义。建立健全应急保障体系，加强突发事件预警和管理，做好防灾减灾工作。第四，推进基层民主、祖静农村和谐。加强农村党的基层组织建设，不断提高党组织领导农村经济社会发展的能力和水平。重视群众组织建设，依法推进村民组织自治，引导农民有序参与村级事务管理，增强农村社会自治功能。</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二）理顺职责，合理界定责任。进一步明确区和乡镇的事权、财权及相应承担的责任，对等配置区乡权责，赋予乡镇必要的行政管理权。在事权上，以乡镇政府的职能职责为准，该乡镇管的乡镇管，该上级管的上级管。在财权上，为乡镇履职配置相应财力，加大对乡镇财政支付力度，使乡镇有财力兴办公益事业，开展公共服务。乡镇所属机构，在乡镇党委、政府的直接领导下开展工作，人、财、物由乡镇统一管理，区直主管部门加强业务指导。上级派驻乡镇的机构，主动接受乡镇党委、政府的监督管理和考核评议，其部门负责人调动、任免和考核要征求乡镇党委的意见。加强农村民间组织、经济中介组织建设，减少乡镇政府对市场的行政干预。充分发挥村民自治组织的作用，切实指导好村民自治组织建设，实现政府行政管理与基层群众自治有效衔接和良性互动。</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三）创新体制机制，转变乡镇工作方式。适应新形势、新任务需要，不断解放思想，改进方法，切实履行好各项职能。一是切实转变乡镇工作的方式方法。努力拓宽服务渠道，改进服务方式，积极探索方便群众办事的措施方法，大力推行“一站式”服务、办事代理制、远程信息技术指导等多种形式的便民服务措施，最大限度地满足农民群众的需求。二是转变抓经济工作的方式。把经济工作的着力电放在政策引导、规划指导、扶持典型、带动示范和营造发展环境上来，尊重农民的生产经营自主权，不干预具体生产经营活动，积极搭建服务平台，提高农村经济发展的质量和水平。三是强化社会管理和公共服务职能。将乡镇工作中心转移到加强社会管理和更好地提供公共服务上来，不断增强服务意识，始终围绕农民群众的愿望和要求开展工作，切实把维护好农村经济社会发展秩序，保护好农民合法权益，解决好农村民生问题作为乡镇重要工作来抓。四是合理调整职能，推动行政管理与基层群众自治有效衔接。将承担的行业性服务职能交给社会中介组织，切实加强公益性职能，用主要精力发展农村经济，抓好农村社会管理。将应该属于村街组织的权利和事务，交给村级组织，充分发挥农村基础自治组织的作用。</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年度本部门决算汇编范围的独立核算单位（以下简称“单位”）共7个，具体情况如下：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32"/>
                <w:szCs w:val="32"/>
              </w:rPr>
            </w:pPr>
            <w:r>
              <w:rPr>
                <w:rFonts w:hint="eastAsia" w:ascii="仿宋_GB2312" w:eastAsia="仿宋_GB2312" w:cs="ArialUnicodeMS"/>
                <w:kern w:val="0"/>
                <w:sz w:val="32"/>
                <w:szCs w:val="32"/>
              </w:rPr>
              <w:t>廊坊市广阳区南尖塔镇人民政府</w:t>
            </w:r>
          </w:p>
        </w:tc>
        <w:tc>
          <w:tcPr>
            <w:tcW w:w="2445" w:type="dxa"/>
          </w:tcPr>
          <w:p>
            <w:pPr>
              <w:spacing w:after="0" w:line="560" w:lineRule="exact"/>
              <w:jc w:val="center"/>
              <w:rPr>
                <w:rFonts w:ascii="仿宋_GB2312" w:eastAsia="仿宋_GB2312" w:cs="ArialUnicodeMS"/>
                <w:kern w:val="0"/>
                <w:sz w:val="32"/>
                <w:szCs w:val="32"/>
              </w:rPr>
            </w:pPr>
            <w:r>
              <w:rPr>
                <w:rFonts w:hint="eastAsia" w:ascii="仿宋_GB2312" w:eastAsia="仿宋_GB2312" w:cs="ArialUnicodeMS"/>
                <w:kern w:val="0"/>
                <w:sz w:val="32"/>
                <w:szCs w:val="32"/>
              </w:rPr>
              <w:t>行政</w:t>
            </w:r>
          </w:p>
        </w:tc>
        <w:tc>
          <w:tcPr>
            <w:tcW w:w="2665" w:type="dxa"/>
          </w:tcPr>
          <w:p>
            <w:pPr>
              <w:spacing w:after="0" w:line="560" w:lineRule="exact"/>
              <w:jc w:val="center"/>
              <w:rPr>
                <w:rFonts w:ascii="仿宋_GB2312" w:eastAsia="仿宋_GB2312" w:cs="ArialUnicodeMS"/>
                <w:kern w:val="0"/>
                <w:sz w:val="32"/>
                <w:szCs w:val="32"/>
              </w:rPr>
            </w:pPr>
            <w:r>
              <w:rPr>
                <w:rFonts w:hint="eastAsia" w:ascii="仿宋_GB2312" w:eastAsia="仿宋_GB2312" w:cs="ArialUnicodeMS"/>
                <w:kern w:val="0"/>
                <w:sz w:val="32"/>
                <w:szCs w:val="32"/>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jc w:val="left"/>
              <w:rPr>
                <w:rFonts w:ascii="仿宋_GB2312" w:eastAsia="仿宋_GB2312" w:cs="ArialUnicodeMS"/>
                <w:kern w:val="0"/>
                <w:sz w:val="28"/>
                <w:szCs w:val="28"/>
                <w:highlight w:val="yellow"/>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宋体" w:cs="宋体"/>
          <w:sz w:val="32"/>
          <w:szCs w:val="32"/>
        </w:rPr>
      </w:pPr>
      <w:r>
        <w:rPr>
          <w:rFonts w:hint="eastAsia" w:ascii="仿宋_GB2312" w:eastAsia="仿宋_GB2312" w:cs="DengXian-Regular"/>
          <w:sz w:val="32"/>
          <w:szCs w:val="32"/>
        </w:rPr>
        <w:t>本部门2018年度收支总计（含结转和结余）</w:t>
      </w:r>
      <w:r>
        <w:rPr>
          <w:rFonts w:hint="eastAsia" w:ascii="仿宋_GB2312" w:eastAsia="仿宋_GB2312" w:cs="仿宋_GB2312"/>
          <w:sz w:val="32"/>
          <w:szCs w:val="32"/>
        </w:rPr>
        <w:t>5483.47</w:t>
      </w:r>
      <w:r>
        <w:rPr>
          <w:rFonts w:hint="eastAsia" w:ascii="仿宋_GB2312" w:eastAsia="仿宋_GB2312" w:cs="DengXian-Regular"/>
          <w:sz w:val="32"/>
          <w:szCs w:val="32"/>
        </w:rPr>
        <w:t>万元。与2017年度决算相比，收支各增加</w:t>
      </w:r>
      <w:r>
        <w:rPr>
          <w:rFonts w:hint="eastAsia" w:ascii="仿宋_GB2312" w:eastAsia="仿宋_GB2312" w:cs="仿宋_GB2312"/>
          <w:sz w:val="32"/>
          <w:szCs w:val="32"/>
        </w:rPr>
        <w:t>684.64</w:t>
      </w:r>
      <w:r>
        <w:rPr>
          <w:rFonts w:hint="eastAsia" w:ascii="仿宋_GB2312" w:eastAsia="仿宋_GB2312" w:cs="DengXian-Regular"/>
          <w:sz w:val="32"/>
          <w:szCs w:val="32"/>
        </w:rPr>
        <w:t>万元，增长</w:t>
      </w:r>
      <w:r>
        <w:rPr>
          <w:rFonts w:hint="eastAsia" w:ascii="仿宋_GB2312" w:eastAsia="仿宋_GB2312" w:cs="仿宋_GB2312"/>
          <w:sz w:val="32"/>
          <w:szCs w:val="32"/>
        </w:rPr>
        <w:t>14.2</w:t>
      </w:r>
      <w:r>
        <w:rPr>
          <w:rFonts w:hint="eastAsia" w:ascii="仿宋_GB2312" w:eastAsia="仿宋_GB2312" w:cs="DengXian-Regular"/>
          <w:sz w:val="32"/>
          <w:szCs w:val="32"/>
        </w:rPr>
        <w:t>%，</w:t>
      </w:r>
      <w:r>
        <w:rPr>
          <w:rFonts w:hint="eastAsia" w:ascii="仿宋_GB2312" w:eastAsia="仿宋_GB2312" w:cs="仿宋_GB2312"/>
          <w:sz w:val="32"/>
          <w:szCs w:val="32"/>
        </w:rPr>
        <w:t>主要原因是税收收入增加、工资调整，新增人员的工资。</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本部门2018年度本年收入合计5483.47万元，其中：财政拨款收入5483.47万元，占100%；事业收入0万元，占0%；经营收入0万元，占0%；其他收入0万元，占0%。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本部门2018年度本年支出合计5483.47万元，其中：基本支出5483.47万元，占100%；项目支出0万元，占0%；经营支出0万元，占0%。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本部门2018年度形成的财政拨款收支均为一般公共预算财政拨款，其中一般公共预算财政拨款本年收入5483.47万元,比2017年度增加684.64万元，增长14.2%，主要原因</w:t>
      </w:r>
      <w:bookmarkStart w:id="0" w:name="_GoBack"/>
      <w:bookmarkEnd w:id="0"/>
      <w:r>
        <w:rPr>
          <w:rFonts w:hint="eastAsia" w:ascii="仿宋_GB2312" w:eastAsia="仿宋_GB2312" w:cs="DengXian-Regular"/>
          <w:sz w:val="32"/>
          <w:szCs w:val="32"/>
        </w:rPr>
        <w:t>是税收收入增加；本年支出5483.47万元，增加684.64万元，增长14.2%，主要原因是工资的调整，还有新增人员的工资增加。</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5483.47万元，完成年初预算的14.9%,比年初预算增加714.93万元，决算数大于预算数，主要原因是税收收入的增加；本年支出5483.47万元，完成年初预算的14.9%,比年初预算增加714.93万元，决算数大于预算数，主要原因是工资进行了调整，还有新增人员的工资增加。</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 w:eastAsia="仿宋" w:cs="DengXian-Regular"/>
          <w:sz w:val="32"/>
          <w:szCs w:val="32"/>
        </w:rPr>
      </w:pPr>
      <w:r>
        <w:rPr>
          <w:rFonts w:hint="eastAsia" w:ascii="仿宋_GB2312" w:eastAsia="仿宋_GB2312" w:cs="DengXian-Regular"/>
          <w:sz w:val="32"/>
          <w:szCs w:val="32"/>
        </w:rPr>
        <w:t>2018 年度财政拨款支出5483.47万元，主要用于以下方面：一般公共服务（类）支出2153.63万元，占39.3%；教育（类）支出2998.72万元，占54.7%；医疗卫生与计划生育（类）支出87.75万元，占 1.6%；农林水（类）支出 243.37万元，占4.4%。</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年度一般公共预算财政拨款基本支出5483.47万元，其中：人员经费 5452.29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31.18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ascii="仿宋_GB2312" w:eastAsia="仿宋_GB2312" w:cs="DengXian-Regular"/>
          <w:sz w:val="32"/>
          <w:szCs w:val="32"/>
        </w:rPr>
      </w:pP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年度一般公共预算财政拨款“三公”经费支出共计</w:t>
      </w:r>
      <w:r>
        <w:rPr>
          <w:rFonts w:hint="eastAsia" w:ascii="仿宋_GB2312" w:eastAsia="仿宋_GB2312" w:cs="DengXian-Regular"/>
          <w:sz w:val="32"/>
          <w:szCs w:val="32"/>
        </w:rPr>
        <w:t>3.30</w:t>
      </w:r>
      <w:r>
        <w:rPr>
          <w:rFonts w:ascii="仿宋_GB2312" w:eastAsia="仿宋_GB2312" w:cs="DengXian-Regular"/>
          <w:sz w:val="32"/>
          <w:szCs w:val="32"/>
        </w:rPr>
        <w:t>万元，</w:t>
      </w:r>
      <w:r>
        <w:rPr>
          <w:rFonts w:hint="eastAsia" w:ascii="仿宋_GB2312" w:eastAsia="仿宋_GB2312" w:cs="DengXian-Regular"/>
          <w:sz w:val="32"/>
          <w:szCs w:val="32"/>
        </w:rPr>
        <w:t>比</w:t>
      </w:r>
      <w:r>
        <w:rPr>
          <w:rFonts w:ascii="仿宋_GB2312" w:eastAsia="仿宋_GB2312" w:cs="DengXian-Regular"/>
          <w:sz w:val="32"/>
          <w:szCs w:val="32"/>
        </w:rPr>
        <w:t>年初预算减少</w:t>
      </w:r>
      <w:r>
        <w:rPr>
          <w:rFonts w:hint="eastAsia" w:ascii="仿宋_GB2312" w:eastAsia="仿宋_GB2312" w:cs="DengXian-Regular"/>
          <w:sz w:val="32"/>
          <w:szCs w:val="32"/>
        </w:rPr>
        <w:t>1.3</w:t>
      </w:r>
      <w:r>
        <w:rPr>
          <w:rFonts w:ascii="仿宋_GB2312" w:eastAsia="仿宋_GB2312" w:cs="DengXian-Regular"/>
          <w:sz w:val="32"/>
          <w:szCs w:val="32"/>
        </w:rPr>
        <w:t>万元，降低</w:t>
      </w:r>
      <w:r>
        <w:rPr>
          <w:rFonts w:hint="eastAsia" w:ascii="仿宋_GB2312" w:eastAsia="仿宋_GB2312" w:cs="DengXian-Regular"/>
          <w:sz w:val="32"/>
          <w:szCs w:val="32"/>
        </w:rPr>
        <w:t>28.2</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公车改革减少公车使用次数</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年度决算增加</w:t>
      </w:r>
      <w:r>
        <w:rPr>
          <w:rFonts w:hint="eastAsia" w:ascii="仿宋_GB2312" w:eastAsia="仿宋_GB2312" w:cs="DengXian-Regular"/>
          <w:sz w:val="32"/>
          <w:szCs w:val="32"/>
        </w:rPr>
        <w:t>3.3</w:t>
      </w:r>
      <w:r>
        <w:rPr>
          <w:rFonts w:ascii="仿宋_GB2312" w:eastAsia="仿宋_GB2312" w:cs="DengXian-Regular"/>
          <w:sz w:val="32"/>
          <w:szCs w:val="32"/>
        </w:rPr>
        <w:t>万元，增长</w:t>
      </w:r>
      <w:r>
        <w:rPr>
          <w:rFonts w:hint="eastAsia" w:ascii="仿宋_GB2312" w:eastAsia="仿宋_GB2312" w:cs="DengXian-Regular"/>
          <w:sz w:val="32"/>
          <w:szCs w:val="32"/>
        </w:rPr>
        <w:t>100</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2017年度无此项预算。</w:t>
      </w:r>
    </w:p>
    <w:p>
      <w:pPr>
        <w:adjustRightInd w:val="0"/>
        <w:snapToGrid w:val="0"/>
        <w:spacing w:line="584" w:lineRule="exact"/>
        <w:ind w:firstLine="643" w:firstLineChars="200"/>
        <w:rPr>
          <w:rFonts w:ascii="仿宋_GB2312" w:eastAsia="仿宋_GB2312" w:cs="DengXian-Regular"/>
          <w:sz w:val="32"/>
          <w:szCs w:val="32"/>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费支出，较年初预算无增减变化；较201</w:t>
      </w:r>
      <w:r>
        <w:rPr>
          <w:rFonts w:hint="eastAsia" w:ascii="仿宋_GB2312" w:eastAsia="仿宋_GB2312" w:cs="DengXian-Regular"/>
          <w:sz w:val="32"/>
          <w:szCs w:val="32"/>
        </w:rPr>
        <w:t>7</w:t>
      </w:r>
      <w:r>
        <w:rPr>
          <w:rFonts w:ascii="仿宋_GB2312" w:eastAsia="仿宋_GB2312" w:cs="DengXian-Regular"/>
          <w:sz w:val="32"/>
          <w:szCs w:val="32"/>
        </w:rPr>
        <w:t>年度决算无增减变化</w:t>
      </w:r>
      <w:r>
        <w:rPr>
          <w:rFonts w:hint="eastAsia" w:ascii="仿宋_GB2312" w:eastAsia="仿宋_GB2312" w:cs="DengXian-Regular"/>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3.3</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ascii="仿宋_GB2312" w:eastAsia="仿宋_GB2312" w:cs="DengXian-Regular"/>
          <w:sz w:val="32"/>
          <w:szCs w:val="32"/>
        </w:rPr>
        <w:t>减少</w:t>
      </w:r>
      <w:r>
        <w:rPr>
          <w:rFonts w:hint="eastAsia" w:ascii="仿宋_GB2312" w:eastAsia="仿宋_GB2312" w:cs="DengXian-Regular"/>
          <w:sz w:val="32"/>
          <w:szCs w:val="32"/>
        </w:rPr>
        <w:t>1.3</w:t>
      </w:r>
      <w:r>
        <w:rPr>
          <w:rFonts w:ascii="仿宋_GB2312" w:eastAsia="仿宋_GB2312" w:cs="DengXian-Regular"/>
          <w:sz w:val="32"/>
          <w:szCs w:val="32"/>
        </w:rPr>
        <w:t>万元</w:t>
      </w:r>
      <w:r>
        <w:rPr>
          <w:rFonts w:hint="eastAsia" w:ascii="仿宋_GB2312" w:eastAsia="仿宋_GB2312" w:cs="DengXian-Regular"/>
          <w:sz w:val="32"/>
          <w:szCs w:val="32"/>
        </w:rPr>
        <w:t>，</w:t>
      </w:r>
      <w:r>
        <w:rPr>
          <w:rFonts w:ascii="仿宋_GB2312" w:eastAsia="仿宋_GB2312" w:cs="DengXian-Regular"/>
          <w:sz w:val="32"/>
          <w:szCs w:val="32"/>
        </w:rPr>
        <w:t>降低</w:t>
      </w:r>
      <w:r>
        <w:rPr>
          <w:rFonts w:hint="eastAsia" w:ascii="仿宋_GB2312" w:eastAsia="仿宋_GB2312" w:cs="DengXian-Regular"/>
          <w:sz w:val="32"/>
          <w:szCs w:val="32"/>
        </w:rPr>
        <w:t>28.2</w:t>
      </w:r>
      <w:r>
        <w:rPr>
          <w:rFonts w:ascii="仿宋_GB2312" w:eastAsia="仿宋_GB2312" w:cs="DengXian-Regular"/>
          <w:sz w:val="32"/>
          <w:szCs w:val="32"/>
        </w:rPr>
        <w:t>%</w:t>
      </w:r>
      <w:r>
        <w:rPr>
          <w:rFonts w:hint="eastAsia" w:ascii="仿宋_GB2312" w:eastAsia="仿宋_GB2312" w:cs="DengXian-Regular"/>
          <w:sz w:val="32"/>
          <w:szCs w:val="32"/>
        </w:rPr>
        <w:t>,主要原因是公车改革减少公车使用次数；比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年度决算增加</w:t>
      </w:r>
      <w:r>
        <w:rPr>
          <w:rFonts w:hint="eastAsia" w:ascii="仿宋_GB2312" w:eastAsia="仿宋_GB2312" w:cs="DengXian-Regular"/>
          <w:sz w:val="32"/>
          <w:szCs w:val="32"/>
        </w:rPr>
        <w:t>3.3</w:t>
      </w:r>
      <w:r>
        <w:rPr>
          <w:rFonts w:ascii="仿宋_GB2312" w:eastAsia="仿宋_GB2312" w:cs="DengXian-Regular"/>
          <w:sz w:val="32"/>
          <w:szCs w:val="32"/>
        </w:rPr>
        <w:t>万元，增长</w:t>
      </w:r>
      <w:r>
        <w:rPr>
          <w:rFonts w:hint="eastAsia" w:ascii="仿宋_GB2312" w:eastAsia="仿宋_GB2312" w:cs="DengXian-Regular"/>
          <w:sz w:val="32"/>
          <w:szCs w:val="32"/>
        </w:rPr>
        <w:t>100</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2017年度无此项预算</w:t>
      </w:r>
      <w:r>
        <w:rPr>
          <w:rFonts w:ascii="仿宋_GB2312" w:eastAsia="仿宋_GB2312" w:cs="DengXian-Regular"/>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年度公务用车购置数量</w:t>
      </w:r>
      <w:r>
        <w:rPr>
          <w:rFonts w:hint="eastAsia" w:ascii="仿宋_GB2312" w:eastAsia="仿宋_GB2312" w:cs="DengXian-Regular"/>
          <w:sz w:val="32"/>
          <w:szCs w:val="32"/>
        </w:rPr>
        <w:t>0</w:t>
      </w:r>
      <w:r>
        <w:rPr>
          <w:rFonts w:ascii="仿宋_GB2312" w:eastAsia="仿宋_GB2312" w:cs="DengXian-Regular"/>
          <w:sz w:val="32"/>
          <w:szCs w:val="32"/>
        </w:rPr>
        <w:t>辆。公务用车购置费支出</w:t>
      </w:r>
      <w:r>
        <w:rPr>
          <w:rFonts w:hint="eastAsia" w:ascii="仿宋_GB2312" w:eastAsia="仿宋_GB2312" w:cs="DengXian-Regular"/>
          <w:sz w:val="32"/>
          <w:szCs w:val="32"/>
        </w:rPr>
        <w:t>比</w:t>
      </w:r>
      <w:r>
        <w:rPr>
          <w:rFonts w:ascii="仿宋_GB2312" w:eastAsia="仿宋_GB2312" w:cs="DengXian-Regular"/>
          <w:sz w:val="32"/>
          <w:szCs w:val="32"/>
        </w:rPr>
        <w:t>年初预算</w:t>
      </w:r>
      <w:r>
        <w:rPr>
          <w:rFonts w:hint="eastAsia" w:ascii="仿宋_GB2312" w:eastAsia="仿宋_GB2312" w:cs="DengXian-Regular"/>
          <w:sz w:val="32"/>
          <w:szCs w:val="32"/>
        </w:rPr>
        <w:t>无变化</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无公务用车购置</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w:t>
      </w:r>
      <w:r>
        <w:rPr>
          <w:rFonts w:hint="eastAsia" w:ascii="仿宋_GB2312" w:eastAsia="仿宋_GB2312" w:cs="DengXian-Regular"/>
          <w:sz w:val="32"/>
          <w:szCs w:val="32"/>
        </w:rPr>
        <w:t>无增减变化</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无公务用车购置</w:t>
      </w:r>
      <w:r>
        <w:rPr>
          <w:rFonts w:ascii="仿宋_GB2312" w:eastAsia="仿宋_GB2312" w:cs="DengXian-Regular"/>
          <w:sz w:val="32"/>
          <w:szCs w:val="32"/>
        </w:rPr>
        <w:t>。</w:t>
      </w:r>
    </w:p>
    <w:p>
      <w:pPr>
        <w:adjustRightInd w:val="0"/>
        <w:snapToGrid w:val="0"/>
        <w:spacing w:line="584" w:lineRule="exact"/>
        <w:ind w:firstLine="643" w:firstLineChars="200"/>
        <w:rPr>
          <w:rFonts w:ascii="仿宋_GB2312" w:eastAsia="仿宋_GB2312" w:cs="DengXian-Regular"/>
          <w:sz w:val="32"/>
          <w:szCs w:val="32"/>
        </w:rPr>
      </w:pPr>
      <w:r>
        <w:rPr>
          <w:rFonts w:eastAsia="仿宋_GB2312"/>
          <w:b/>
          <w:sz w:val="32"/>
          <w:szCs w:val="32"/>
        </w:rPr>
        <w:t>公务用车运行维护费支出</w:t>
      </w:r>
      <w:r>
        <w:rPr>
          <w:rFonts w:hint="eastAsia" w:eastAsia="仿宋_GB2312"/>
          <w:b/>
          <w:sz w:val="32"/>
          <w:szCs w:val="32"/>
        </w:rPr>
        <w:t>3.3</w:t>
      </w:r>
      <w:r>
        <w:rPr>
          <w:rFonts w:eastAsia="仿宋_GB2312"/>
          <w:b/>
          <w:sz w:val="32"/>
          <w:szCs w:val="32"/>
        </w:rPr>
        <w:t>万元。</w:t>
      </w: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年末单位公务用车保有量</w:t>
      </w:r>
      <w:r>
        <w:rPr>
          <w:rFonts w:hint="eastAsia" w:ascii="仿宋_GB2312" w:eastAsia="仿宋_GB2312" w:cs="DengXian-Regular"/>
          <w:sz w:val="32"/>
          <w:szCs w:val="32"/>
        </w:rPr>
        <w:t>2</w:t>
      </w:r>
      <w:r>
        <w:rPr>
          <w:rFonts w:ascii="仿宋_GB2312" w:eastAsia="仿宋_GB2312" w:cs="DengXian-Regular"/>
          <w:sz w:val="32"/>
          <w:szCs w:val="32"/>
        </w:rPr>
        <w:t>辆。公车运行维护费支出</w:t>
      </w:r>
      <w:r>
        <w:rPr>
          <w:rFonts w:hint="eastAsia" w:ascii="仿宋_GB2312" w:eastAsia="仿宋_GB2312" w:cs="DengXian-Regular"/>
          <w:sz w:val="32"/>
          <w:szCs w:val="32"/>
        </w:rPr>
        <w:t>比</w:t>
      </w:r>
      <w:r>
        <w:rPr>
          <w:rFonts w:ascii="仿宋_GB2312" w:eastAsia="仿宋_GB2312" w:cs="DengXian-Regular"/>
          <w:sz w:val="32"/>
          <w:szCs w:val="32"/>
        </w:rPr>
        <w:t>年初预算减少</w:t>
      </w:r>
      <w:r>
        <w:rPr>
          <w:rFonts w:hint="eastAsia" w:ascii="仿宋_GB2312" w:eastAsia="仿宋_GB2312" w:cs="DengXian-Regular"/>
          <w:sz w:val="32"/>
          <w:szCs w:val="32"/>
        </w:rPr>
        <w:t>1.3</w:t>
      </w:r>
      <w:r>
        <w:rPr>
          <w:rFonts w:ascii="仿宋_GB2312" w:eastAsia="仿宋_GB2312" w:cs="DengXian-Regular"/>
          <w:sz w:val="32"/>
          <w:szCs w:val="32"/>
        </w:rPr>
        <w:t>万元，降低</w:t>
      </w:r>
      <w:r>
        <w:rPr>
          <w:rFonts w:hint="eastAsia" w:ascii="仿宋_GB2312" w:eastAsia="仿宋_GB2312" w:cs="DengXian-Regular"/>
          <w:sz w:val="32"/>
          <w:szCs w:val="32"/>
        </w:rPr>
        <w:t>28.2</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公车改革减少公车使用次数</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年度决算增加</w:t>
      </w:r>
      <w:r>
        <w:rPr>
          <w:rFonts w:hint="eastAsia" w:ascii="仿宋_GB2312" w:eastAsia="仿宋_GB2312" w:cs="DengXian-Regular"/>
          <w:sz w:val="32"/>
          <w:szCs w:val="32"/>
        </w:rPr>
        <w:t>3.3</w:t>
      </w:r>
      <w:r>
        <w:rPr>
          <w:rFonts w:ascii="仿宋_GB2312" w:eastAsia="仿宋_GB2312" w:cs="DengXian-Regular"/>
          <w:sz w:val="32"/>
          <w:szCs w:val="32"/>
        </w:rPr>
        <w:t>万元，增长</w:t>
      </w:r>
      <w:r>
        <w:rPr>
          <w:rFonts w:hint="eastAsia" w:ascii="仿宋_GB2312" w:eastAsia="仿宋_GB2312" w:cs="DengXian-Regular"/>
          <w:sz w:val="32"/>
          <w:szCs w:val="32"/>
        </w:rPr>
        <w:t>100</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2017年度无此项预算</w:t>
      </w:r>
      <w:r>
        <w:rPr>
          <w:rFonts w:ascii="仿宋_GB2312" w:eastAsia="仿宋_GB2312" w:cs="DengXian-Regular"/>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年度公务接待共</w:t>
      </w:r>
      <w:r>
        <w:rPr>
          <w:rFonts w:hint="eastAsia" w:ascii="仿宋_GB2312" w:eastAsia="仿宋_GB2312" w:cs="DengXian-Regular"/>
          <w:sz w:val="32"/>
          <w:szCs w:val="32"/>
        </w:rPr>
        <w:t>0</w:t>
      </w:r>
      <w:r>
        <w:rPr>
          <w:rFonts w:ascii="仿宋_GB2312" w:eastAsia="仿宋_GB2312" w:cs="DengXian-Regular"/>
          <w:sz w:val="32"/>
          <w:szCs w:val="32"/>
        </w:rPr>
        <w:t>批次、</w:t>
      </w:r>
      <w:r>
        <w:rPr>
          <w:rFonts w:hint="eastAsia" w:ascii="仿宋_GB2312" w:eastAsia="仿宋_GB2312" w:cs="DengXian-Regular"/>
          <w:sz w:val="32"/>
          <w:szCs w:val="32"/>
        </w:rPr>
        <w:t>0</w:t>
      </w:r>
      <w:r>
        <w:rPr>
          <w:rFonts w:ascii="仿宋_GB2312" w:eastAsia="仿宋_GB2312" w:cs="DengXian-Regular"/>
          <w:sz w:val="32"/>
          <w:szCs w:val="32"/>
        </w:rPr>
        <w:t>人次。公务接待费支出</w:t>
      </w:r>
      <w:r>
        <w:rPr>
          <w:rFonts w:hint="eastAsia" w:ascii="仿宋_GB2312" w:eastAsia="仿宋_GB2312" w:cs="DengXian-Regular"/>
          <w:sz w:val="32"/>
          <w:szCs w:val="32"/>
        </w:rPr>
        <w:t>比</w:t>
      </w:r>
      <w:r>
        <w:rPr>
          <w:rFonts w:ascii="仿宋_GB2312" w:eastAsia="仿宋_GB2312" w:cs="DengXian-Regular"/>
          <w:sz w:val="32"/>
          <w:szCs w:val="32"/>
        </w:rPr>
        <w:t>年初预算</w:t>
      </w:r>
      <w:r>
        <w:rPr>
          <w:rFonts w:hint="eastAsia" w:ascii="仿宋_GB2312" w:eastAsia="仿宋_GB2312" w:cs="DengXian-Regular"/>
          <w:sz w:val="32"/>
          <w:szCs w:val="32"/>
        </w:rPr>
        <w:t>无增减变化</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无公务接待费用支出</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w:t>
      </w:r>
      <w:r>
        <w:rPr>
          <w:rFonts w:hint="eastAsia" w:ascii="仿宋_GB2312" w:eastAsia="仿宋_GB2312" w:cs="DengXian-Regular"/>
          <w:sz w:val="32"/>
          <w:szCs w:val="32"/>
        </w:rPr>
        <w:t>无增减变化</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无公务接待费用支出</w:t>
      </w:r>
      <w:r>
        <w:rPr>
          <w:rFonts w:ascii="仿宋_GB2312" w:eastAsia="仿宋_GB2312" w:cs="DengXian-Regular"/>
          <w:sz w:val="32"/>
          <w:szCs w:val="32"/>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（一）预算绩效管理工作开展情况。建章立制结合我镇实际情况制定预算绩效管理制度、规范预算绩效指标体系建设、跟宗监控、绩效评价为预算绩效管理提供制度保障</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（二）项目绩效自评结果。我们按照相关工作安排配合区财政局对项目资金进行绩效评价，切实提高财政资金的使用效率，保障各项资金落实到位。</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（三）重点项目绩效评价结果。我们配合财政局对项目资金进行绩效评价，从评价结果看，专项资金的使用基本达到了既定目标，绩效评价良好。</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本部门2018年度机关运行经费支出31.18                                                                                              万元，比年初预算数减少</w:t>
      </w:r>
      <w:r>
        <w:rPr>
          <w:rFonts w:ascii="仿宋_GB2312" w:eastAsia="仿宋_GB2312" w:cs="DengXian-Regular"/>
          <w:sz w:val="32"/>
          <w:szCs w:val="32"/>
        </w:rPr>
        <w:t xml:space="preserve"> </w:t>
      </w:r>
      <w:r>
        <w:rPr>
          <w:rFonts w:hint="eastAsia" w:ascii="仿宋_GB2312" w:eastAsia="仿宋_GB2312" w:cs="DengXian-Regular"/>
          <w:sz w:val="32"/>
          <w:szCs w:val="32"/>
        </w:rPr>
        <w:t xml:space="preserve">133.09万元，降低81.1 </w:t>
      </w:r>
      <w:r>
        <w:rPr>
          <w:rFonts w:ascii="仿宋_GB2312" w:eastAsia="仿宋_GB2312" w:cs="DengXian-Regular"/>
          <w:sz w:val="32"/>
          <w:szCs w:val="32"/>
        </w:rPr>
        <w:t>%</w:t>
      </w:r>
      <w:r>
        <w:rPr>
          <w:rFonts w:hint="eastAsia" w:ascii="仿宋_GB2312" w:eastAsia="仿宋_GB2312" w:cs="DengXian-Regular"/>
          <w:sz w:val="32"/>
          <w:szCs w:val="32"/>
        </w:rPr>
        <w:t>。主要原因是公车补贴和通讯补贴未在机关运行经费中列支。</w:t>
      </w:r>
      <w:r>
        <w:rPr>
          <w:rFonts w:ascii="仿宋_GB2312" w:eastAsia="仿宋_GB2312" w:cs="DengXian-Regular"/>
          <w:sz w:val="32"/>
          <w:szCs w:val="32"/>
        </w:rPr>
        <w:t>较201</w:t>
      </w:r>
      <w:r>
        <w:rPr>
          <w:rFonts w:hint="eastAsia" w:ascii="仿宋_GB2312" w:eastAsia="仿宋_GB2312" w:cs="DengXian-Regular"/>
          <w:sz w:val="32"/>
          <w:szCs w:val="32"/>
        </w:rPr>
        <w:t>7</w:t>
      </w:r>
      <w:r>
        <w:rPr>
          <w:rFonts w:ascii="仿宋_GB2312" w:eastAsia="仿宋_GB2312" w:cs="DengXian-Regular"/>
          <w:sz w:val="32"/>
          <w:szCs w:val="32"/>
        </w:rPr>
        <w:t>年度决算减少</w:t>
      </w:r>
      <w:r>
        <w:rPr>
          <w:rFonts w:hint="eastAsia" w:ascii="仿宋_GB2312" w:eastAsia="仿宋_GB2312" w:cs="DengXian-Regular"/>
          <w:sz w:val="32"/>
          <w:szCs w:val="32"/>
        </w:rPr>
        <w:t>240.36</w:t>
      </w:r>
      <w:r>
        <w:rPr>
          <w:rFonts w:ascii="仿宋_GB2312" w:eastAsia="仿宋_GB2312" w:cs="DengXian-Regular"/>
          <w:sz w:val="32"/>
          <w:szCs w:val="32"/>
        </w:rPr>
        <w:t>万元，降低</w:t>
      </w:r>
      <w:r>
        <w:rPr>
          <w:rFonts w:hint="eastAsia" w:ascii="仿宋_GB2312" w:eastAsia="仿宋_GB2312" w:cs="DengXian-Regular"/>
          <w:sz w:val="32"/>
          <w:szCs w:val="32"/>
        </w:rPr>
        <w:t>88.5</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公车补贴和通讯补贴未在机关运行经费中列支</w:t>
      </w:r>
      <w:r>
        <w:rPr>
          <w:rFonts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本部门2018年度政府采购支出总额33.36万元，从采购类型来看，</w:t>
      </w:r>
      <w:r>
        <w:rPr>
          <w:rFonts w:ascii="仿宋_GB2312" w:eastAsia="仿宋_GB2312" w:cs="DengXian-Regular"/>
          <w:sz w:val="32"/>
          <w:szCs w:val="32"/>
        </w:rPr>
        <w:t>政府采购货物支出</w:t>
      </w:r>
      <w:r>
        <w:rPr>
          <w:rFonts w:hint="eastAsia" w:ascii="仿宋_GB2312" w:eastAsia="仿宋_GB2312" w:cs="DengXian-Regular"/>
          <w:sz w:val="32"/>
          <w:szCs w:val="32"/>
        </w:rPr>
        <w:t>33.36</w:t>
      </w:r>
      <w:r>
        <w:rPr>
          <w:rFonts w:ascii="仿宋_GB2312" w:eastAsia="仿宋_GB2312" w:cs="DengXian-Regular"/>
          <w:sz w:val="32"/>
          <w:szCs w:val="32"/>
        </w:rPr>
        <w:t>万元、政府采购工程支出</w:t>
      </w:r>
      <w:r>
        <w:rPr>
          <w:rFonts w:hint="eastAsia" w:ascii="仿宋_GB2312" w:eastAsia="仿宋_GB2312" w:cs="DengXian-Regular"/>
          <w:sz w:val="32"/>
          <w:szCs w:val="32"/>
        </w:rPr>
        <w:t>0</w:t>
      </w:r>
      <w:r>
        <w:rPr>
          <w:rFonts w:ascii="仿宋_GB2312" w:eastAsia="仿宋_GB2312" w:cs="DengXian-Regular"/>
          <w:sz w:val="32"/>
          <w:szCs w:val="32"/>
        </w:rPr>
        <w:t xml:space="preserve">万元、政府采购服务支出 </w:t>
      </w:r>
      <w:r>
        <w:rPr>
          <w:rFonts w:hint="eastAsia" w:ascii="仿宋_GB2312" w:eastAsia="仿宋_GB2312" w:cs="DengXian-Regular"/>
          <w:sz w:val="32"/>
          <w:szCs w:val="32"/>
        </w:rPr>
        <w:t>0</w:t>
      </w:r>
      <w:r>
        <w:rPr>
          <w:rFonts w:ascii="仿宋_GB2312" w:eastAsia="仿宋_GB2312" w:cs="DengXian-Regular"/>
          <w:sz w:val="32"/>
          <w:szCs w:val="32"/>
        </w:rPr>
        <w:t>万元。授予中小企业合同金</w:t>
      </w:r>
      <w:r>
        <w:rPr>
          <w:rFonts w:hint="eastAsia" w:ascii="仿宋_GB2312" w:eastAsia="仿宋_GB2312" w:cs="DengXian-Regular"/>
          <w:sz w:val="32"/>
          <w:szCs w:val="32"/>
        </w:rPr>
        <w:t>33.36</w:t>
      </w:r>
      <w:r>
        <w:rPr>
          <w:rFonts w:ascii="仿宋_GB2312" w:eastAsia="仿宋_GB2312" w:cs="DengXian-Regular"/>
          <w:sz w:val="32"/>
          <w:szCs w:val="32"/>
        </w:rPr>
        <w:t>万元，占政府采购支出总额的</w:t>
      </w:r>
      <w:r>
        <w:rPr>
          <w:rFonts w:hint="eastAsia" w:ascii="仿宋_GB2312" w:eastAsia="仿宋_GB2312" w:cs="DengXian-Regular"/>
          <w:sz w:val="32"/>
          <w:szCs w:val="32"/>
        </w:rPr>
        <w:t>100%，</w:t>
      </w:r>
      <w:r>
        <w:rPr>
          <w:rFonts w:ascii="仿宋_GB2312" w:eastAsia="仿宋_GB2312" w:cs="DengXian-Regular"/>
          <w:sz w:val="32"/>
          <w:szCs w:val="32"/>
        </w:rPr>
        <w:t>其中授予小微企业合同金额</w:t>
      </w:r>
      <w:r>
        <w:rPr>
          <w:rFonts w:hint="eastAsia" w:ascii="仿宋_GB2312" w:eastAsia="仿宋_GB2312" w:cs="DengXian-Regular"/>
          <w:sz w:val="32"/>
          <w:szCs w:val="32"/>
        </w:rPr>
        <w:t>0</w:t>
      </w:r>
      <w:r>
        <w:rPr>
          <w:rFonts w:ascii="仿宋_GB2312" w:eastAsia="仿宋_GB2312" w:cs="DengXian-Regular"/>
          <w:sz w:val="32"/>
          <w:szCs w:val="32"/>
        </w:rPr>
        <w:t xml:space="preserve">万元，占政府采购支出总额的 </w:t>
      </w:r>
      <w:r>
        <w:rPr>
          <w:rFonts w:hint="eastAsia" w:ascii="仿宋_GB2312" w:eastAsia="仿宋_GB2312" w:cs="DengXian-Regular"/>
          <w:sz w:val="32"/>
          <w:szCs w:val="32"/>
        </w:rPr>
        <w:t>0</w:t>
      </w:r>
      <w:r>
        <w:rPr>
          <w:rFonts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2辆，比上年持平，主要原因是未购买车辆。其中，副部（省）级及以上领导用车0辆，主要领导干部用车0辆，机要通信用车2辆，应急保障用车0辆，执法执勤用车0辆，特种专业技术用车0辆，离退休干部用车0辆，其他用车0辆。单位价值50万元以上通用设备0台（套），比上年增加0套，主要原因是未进行设备购买 ，单位价值100万元以上专用设备0台（套）比上年增加0套,主要原因是未进行设备购买。</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1、本部门2018年度国有资本经营预算收入，政府性基金预算财政拨款无收支及结转结余情况，故国有资本经营预算财政拨款支出决算表、政府性基金预算财政拨款收入支出决算表以空表列示。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Times New Roman"/>
    <w:panose1 w:val="00000000000000000000"/>
    <w:charset w:val="00"/>
    <w:family w:val="auto"/>
    <w:pitch w:val="default"/>
    <w:sig w:usb0="00000000" w:usb1="00000000" w:usb2="00000000" w:usb3="00000000" w:csb0="00000000" w:csb1="00000000"/>
  </w:font>
  <w:font w:name="MS-UIGothic,Bold">
    <w:altName w:val="Times New Roman"/>
    <w:panose1 w:val="00000000000000000000"/>
    <w:charset w:val="00"/>
    <w:family w:val="auto"/>
    <w:pitch w:val="default"/>
    <w:sig w:usb0="00000000" w:usb1="00000000" w:usb2="00000000" w:usb3="00000000" w:csb0="00000000" w:csb1="00000000"/>
  </w:font>
  <w:font w:name="DengXian-Regular">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rsids>
    <w:rsidRoot w:val="00000000"/>
    <w:rsid w:val="1E765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List Paragraph"/>
    <w:basedOn w:val="1"/>
    <w:uiPriority w:val="0"/>
    <w:pPr>
      <w:ind w:firstLine="200" w:firstLineChars="200"/>
    </w:pPr>
  </w:style>
  <w:style w:type="paragraph" w:customStyle="1" w:styleId="21">
    <w:name w:val="普通(网站)1"/>
    <w:next w:val="8"/>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18</Pages>
  <Words>5413</Words>
  <Characters>5767</Characters>
  <Lines>307</Lines>
  <Paragraphs>87</Paragraphs>
  <TotalTime>427</TotalTime>
  <ScaleCrop>false</ScaleCrop>
  <LinksUpToDate>false</LinksUpToDate>
  <CharactersWithSpaces>5875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lenovo</cp:lastModifiedBy>
  <cp:lastPrinted>2019-09-27T00:42:00Z</cp:lastPrinted>
  <dcterms:modified xsi:type="dcterms:W3CDTF">2023-06-02T02:46:13Z</dcterms:modified>
  <dc:subject>石家庄市xxx部门</dc:subject>
  <dc:title>2017年度部门决算</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6615559708FB4C5EBFB457875AE8D644</vt:lpwstr>
  </property>
</Properties>
</file>