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b/>
          <w:sz w:val="44"/>
          <w:szCs w:val="44"/>
        </w:rPr>
        <w:t>廊坊市广阳区民政局（汇总）</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ind w:firstLine="630" w:firstLineChars="196"/>
        <w:rPr>
          <w:b/>
          <w:bCs/>
          <w:sz w:val="32"/>
          <w:szCs w:val="32"/>
        </w:rPr>
      </w:pPr>
      <w:r>
        <w:rPr>
          <w:b/>
          <w:bCs/>
          <w:sz w:val="32"/>
          <w:szCs w:val="32"/>
        </w:rPr>
        <w:t>（1）局机关部门职责</w:t>
      </w:r>
    </w:p>
    <w:p>
      <w:pPr>
        <w:spacing w:line="590" w:lineRule="exact"/>
        <w:ind w:firstLine="640" w:firstLineChars="200"/>
        <w:rPr>
          <w:rFonts w:ascii="仿宋_GB2312" w:eastAsia="仿宋_GB2312"/>
          <w:sz w:val="32"/>
          <w:szCs w:val="32"/>
        </w:rPr>
      </w:pPr>
      <w:r>
        <w:rPr>
          <w:rFonts w:hint="eastAsia" w:ascii="仿宋_GB2312" w:eastAsia="仿宋_GB2312" w:cs="宋体"/>
          <w:color w:val="000000"/>
          <w:sz w:val="32"/>
          <w:szCs w:val="32"/>
        </w:rPr>
        <w:t>1、负责城乡低保工作。</w:t>
      </w:r>
    </w:p>
    <w:p>
      <w:pPr>
        <w:pStyle w:val="21"/>
        <w:widowControl w:val="0"/>
        <w:rPr>
          <w:rFonts w:ascii="仿宋_GB2312" w:eastAsia="仿宋_GB2312"/>
        </w:rPr>
      </w:pPr>
      <w:r>
        <w:rPr>
          <w:rFonts w:hint="eastAsia" w:ascii="仿宋_GB2312" w:eastAsia="仿宋_GB2312" w:cs="宋体"/>
          <w:color w:val="000000"/>
          <w:sz w:val="32"/>
          <w:szCs w:val="32"/>
        </w:rPr>
        <w:t xml:space="preserve">    2、城乡医疗救助工作。</w:t>
      </w:r>
    </w:p>
    <w:p>
      <w:pPr>
        <w:pStyle w:val="21"/>
        <w:widowControl w:val="0"/>
        <w:rPr>
          <w:rFonts w:ascii="仿宋_GB2312" w:eastAsia="仿宋_GB2312"/>
        </w:rPr>
      </w:pPr>
      <w:r>
        <w:rPr>
          <w:rFonts w:hint="eastAsia" w:ascii="仿宋_GB2312" w:eastAsia="仿宋_GB2312" w:cs="宋体"/>
          <w:color w:val="000000"/>
          <w:sz w:val="32"/>
          <w:szCs w:val="32"/>
        </w:rPr>
        <w:t xml:space="preserve">    3、全区各类优抚对象抚恤金的发放。</w:t>
      </w:r>
    </w:p>
    <w:p>
      <w:pPr>
        <w:pStyle w:val="21"/>
        <w:widowControl w:val="0"/>
        <w:rPr>
          <w:rFonts w:ascii="仿宋_GB2312" w:eastAsia="仿宋_GB2312"/>
        </w:rPr>
      </w:pPr>
      <w:r>
        <w:rPr>
          <w:rFonts w:hint="eastAsia" w:ascii="仿宋_GB2312" w:eastAsia="仿宋_GB2312" w:cs="宋体"/>
          <w:color w:val="000000"/>
          <w:sz w:val="32"/>
          <w:szCs w:val="32"/>
        </w:rPr>
        <w:t xml:space="preserve">    4、退伍安置工作。</w:t>
      </w:r>
    </w:p>
    <w:p>
      <w:pPr>
        <w:pStyle w:val="21"/>
        <w:widowControl w:val="0"/>
        <w:rPr>
          <w:rFonts w:ascii="仿宋_GB2312" w:eastAsia="仿宋_GB2312"/>
        </w:rPr>
      </w:pPr>
      <w:r>
        <w:rPr>
          <w:rFonts w:hint="eastAsia" w:ascii="仿宋_GB2312" w:eastAsia="仿宋_GB2312" w:cs="宋体"/>
          <w:color w:val="000000"/>
          <w:sz w:val="32"/>
          <w:szCs w:val="32"/>
        </w:rPr>
        <w:t xml:space="preserve">    5、救灾救济工作。</w:t>
      </w:r>
    </w:p>
    <w:p>
      <w:pPr>
        <w:pStyle w:val="21"/>
        <w:widowControl w:val="0"/>
        <w:rPr>
          <w:rFonts w:ascii="仿宋_GB2312" w:eastAsia="仿宋_GB2312"/>
        </w:rPr>
      </w:pPr>
      <w:r>
        <w:rPr>
          <w:rFonts w:hint="eastAsia" w:ascii="仿宋_GB2312" w:eastAsia="仿宋_GB2312" w:cs="宋体"/>
          <w:color w:val="000000"/>
          <w:sz w:val="32"/>
          <w:szCs w:val="32"/>
        </w:rPr>
        <w:t xml:space="preserve">    6、孤儿救助工作。</w:t>
      </w:r>
    </w:p>
    <w:p>
      <w:pPr>
        <w:pStyle w:val="21"/>
        <w:widowControl w:val="0"/>
        <w:rPr>
          <w:rFonts w:ascii="仿宋_GB2312" w:eastAsia="仿宋_GB2312"/>
        </w:rPr>
      </w:pPr>
      <w:r>
        <w:rPr>
          <w:rFonts w:hint="eastAsia" w:ascii="仿宋_GB2312" w:eastAsia="仿宋_GB2312" w:cs="宋体"/>
          <w:color w:val="000000"/>
          <w:sz w:val="32"/>
          <w:szCs w:val="32"/>
        </w:rPr>
        <w:t xml:space="preserve">    7、社会团体、民办非企业单位的审批、年检工作。</w:t>
      </w:r>
    </w:p>
    <w:p>
      <w:pPr>
        <w:pStyle w:val="21"/>
        <w:widowControl w:val="0"/>
        <w:rPr>
          <w:rFonts w:ascii="仿宋_GB2312" w:eastAsia="仿宋_GB2312"/>
        </w:rPr>
      </w:pPr>
      <w:r>
        <w:rPr>
          <w:rFonts w:hint="eastAsia" w:ascii="仿宋_GB2312" w:eastAsia="仿宋_GB2312" w:cs="宋体"/>
          <w:color w:val="000000"/>
          <w:sz w:val="32"/>
          <w:szCs w:val="32"/>
        </w:rPr>
        <w:t xml:space="preserve">    8、农村幸福院的建设。</w:t>
      </w:r>
    </w:p>
    <w:p>
      <w:pPr>
        <w:pStyle w:val="21"/>
        <w:widowControl w:val="0"/>
        <w:rPr>
          <w:rFonts w:ascii="仿宋_GB2312" w:eastAsia="仿宋_GB2312"/>
        </w:rPr>
      </w:pPr>
      <w:r>
        <w:rPr>
          <w:rFonts w:hint="eastAsia" w:ascii="仿宋_GB2312" w:eastAsia="仿宋_GB2312" w:cs="宋体"/>
          <w:color w:val="000000"/>
          <w:sz w:val="32"/>
          <w:szCs w:val="32"/>
        </w:rPr>
        <w:t xml:space="preserve">    9、农村五保供养工作。</w:t>
      </w:r>
    </w:p>
    <w:p>
      <w:pPr>
        <w:pStyle w:val="21"/>
        <w:widowControl w:val="0"/>
        <w:rPr>
          <w:rFonts w:ascii="仿宋_GB2312" w:eastAsia="仿宋_GB2312"/>
        </w:rPr>
      </w:pPr>
      <w:r>
        <w:rPr>
          <w:rFonts w:hint="eastAsia" w:ascii="仿宋_GB2312" w:eastAsia="仿宋_GB2312" w:cs="宋体"/>
          <w:color w:val="000000"/>
          <w:sz w:val="32"/>
          <w:szCs w:val="32"/>
        </w:rPr>
        <w:t xml:space="preserve">    10、光荣院、干休所的管理工作。</w:t>
      </w:r>
    </w:p>
    <w:p>
      <w:pPr>
        <w:pStyle w:val="21"/>
        <w:widowControl w:val="0"/>
        <w:rPr>
          <w:rFonts w:ascii="仿宋_GB2312" w:eastAsia="仿宋_GB2312"/>
        </w:rPr>
      </w:pPr>
      <w:r>
        <w:rPr>
          <w:rFonts w:hint="eastAsia" w:ascii="仿宋_GB2312" w:eastAsia="仿宋_GB2312" w:cs="宋体"/>
          <w:color w:val="000000"/>
          <w:sz w:val="32"/>
          <w:szCs w:val="32"/>
        </w:rPr>
        <w:t xml:space="preserve">    11、地名、区划工作。</w:t>
      </w:r>
    </w:p>
    <w:p>
      <w:pPr>
        <w:pStyle w:val="21"/>
        <w:widowControl w:val="0"/>
        <w:rPr>
          <w:rFonts w:ascii="仿宋_GB2312" w:eastAsia="仿宋_GB2312"/>
        </w:rPr>
      </w:pPr>
      <w:r>
        <w:rPr>
          <w:rFonts w:hint="eastAsia" w:ascii="仿宋_GB2312" w:eastAsia="仿宋_GB2312" w:cs="宋体"/>
          <w:color w:val="000000"/>
          <w:sz w:val="32"/>
          <w:szCs w:val="32"/>
        </w:rPr>
        <w:t xml:space="preserve">    12、村委会换届选举工作。</w:t>
      </w:r>
    </w:p>
    <w:p>
      <w:pPr>
        <w:pStyle w:val="21"/>
        <w:widowControl w:val="0"/>
        <w:rPr>
          <w:rFonts w:ascii="仿宋_GB2312" w:eastAsia="仿宋_GB2312"/>
        </w:rPr>
      </w:pPr>
      <w:r>
        <w:rPr>
          <w:rFonts w:hint="eastAsia" w:ascii="仿宋_GB2312" w:eastAsia="仿宋_GB2312" w:cs="宋体"/>
          <w:color w:val="000000"/>
          <w:sz w:val="32"/>
          <w:szCs w:val="32"/>
        </w:rPr>
        <w:t xml:space="preserve">    13、地名普查工作。</w:t>
      </w:r>
    </w:p>
    <w:p>
      <w:pPr>
        <w:pStyle w:val="21"/>
        <w:widowControl w:val="0"/>
        <w:rPr>
          <w:rFonts w:ascii="仿宋_GB2312" w:eastAsia="仿宋_GB2312"/>
        </w:rPr>
      </w:pPr>
      <w:r>
        <w:rPr>
          <w:rFonts w:hint="eastAsia" w:ascii="仿宋_GB2312" w:eastAsia="仿宋_GB2312" w:cs="宋体"/>
          <w:color w:val="000000"/>
          <w:sz w:val="32"/>
          <w:szCs w:val="32"/>
        </w:rPr>
        <w:t xml:space="preserve">    14、婚姻登记工作。</w:t>
      </w:r>
    </w:p>
    <w:p>
      <w:pPr>
        <w:pStyle w:val="21"/>
        <w:widowControl w:val="0"/>
        <w:rPr>
          <w:rFonts w:ascii="仿宋_GB2312" w:eastAsia="仿宋_GB2312"/>
        </w:rPr>
      </w:pPr>
      <w:r>
        <w:rPr>
          <w:rFonts w:hint="eastAsia" w:ascii="仿宋_GB2312" w:eastAsia="仿宋_GB2312" w:cs="宋体"/>
          <w:color w:val="000000"/>
          <w:sz w:val="32"/>
          <w:szCs w:val="32"/>
        </w:rPr>
        <w:t xml:space="preserve">    15、勘界工作。</w:t>
      </w:r>
    </w:p>
    <w:p>
      <w:pPr>
        <w:pStyle w:val="21"/>
        <w:widowControl w:val="0"/>
        <w:rPr>
          <w:rFonts w:ascii="仿宋_GB2312" w:eastAsia="仿宋_GB2312"/>
        </w:rPr>
      </w:pPr>
      <w:r>
        <w:rPr>
          <w:rFonts w:hint="eastAsia" w:ascii="仿宋_GB2312" w:eastAsia="仿宋_GB2312" w:cs="宋体"/>
          <w:color w:val="000000"/>
          <w:sz w:val="32"/>
          <w:szCs w:val="32"/>
        </w:rPr>
        <w:t xml:space="preserve">    16、老龄工作。</w:t>
      </w:r>
    </w:p>
    <w:p>
      <w:pPr>
        <w:pStyle w:val="21"/>
        <w:widowControl w:val="0"/>
        <w:rPr>
          <w:rFonts w:ascii="仿宋_GB2312" w:eastAsia="仿宋_GB2312"/>
        </w:rPr>
      </w:pPr>
      <w:r>
        <w:rPr>
          <w:rFonts w:hint="eastAsia" w:ascii="仿宋_GB2312" w:eastAsia="仿宋_GB2312" w:cs="宋体"/>
          <w:color w:val="000000"/>
          <w:sz w:val="32"/>
          <w:szCs w:val="32"/>
        </w:rPr>
        <w:t xml:space="preserve">    17、村委会换届选举工作。</w:t>
      </w:r>
    </w:p>
    <w:p>
      <w:pPr>
        <w:pStyle w:val="21"/>
        <w:widowControl w:val="0"/>
        <w:ind w:left="360" w:hanging="360"/>
        <w:rPr>
          <w:rFonts w:ascii="仿宋_GB2312" w:eastAsia="仿宋_GB2312"/>
        </w:rPr>
      </w:pPr>
      <w:r>
        <w:rPr>
          <w:rFonts w:hint="eastAsia" w:ascii="仿宋_GB2312" w:eastAsia="仿宋_GB2312" w:cs="宋体"/>
          <w:color w:val="000000"/>
          <w:sz w:val="32"/>
          <w:szCs w:val="32"/>
        </w:rPr>
        <w:t xml:space="preserve">    18、支出型贫困家庭救助工作。</w:t>
      </w:r>
    </w:p>
    <w:p>
      <w:pPr>
        <w:pStyle w:val="21"/>
        <w:widowControl w:val="0"/>
        <w:ind w:left="360" w:hanging="360"/>
        <w:rPr>
          <w:rFonts w:ascii="仿宋_GB2312" w:eastAsia="仿宋_GB2312"/>
        </w:rPr>
      </w:pPr>
      <w:r>
        <w:rPr>
          <w:rFonts w:hint="eastAsia" w:ascii="仿宋_GB2312" w:eastAsia="仿宋_GB2312" w:cs="宋体"/>
          <w:color w:val="000000"/>
          <w:sz w:val="32"/>
          <w:szCs w:val="32"/>
        </w:rPr>
        <w:t xml:space="preserve">    19、义务兵家属优待。</w:t>
      </w:r>
    </w:p>
    <w:p>
      <w:pPr>
        <w:pStyle w:val="21"/>
        <w:widowControl w:val="0"/>
        <w:ind w:left="360" w:hanging="360"/>
        <w:rPr>
          <w:rFonts w:ascii="仿宋_GB2312" w:eastAsia="仿宋_GB2312"/>
        </w:rPr>
      </w:pPr>
      <w:r>
        <w:rPr>
          <w:rFonts w:hint="eastAsia" w:ascii="仿宋_GB2312" w:eastAsia="仿宋_GB2312" w:cs="宋体"/>
          <w:color w:val="000000"/>
          <w:sz w:val="32"/>
          <w:szCs w:val="32"/>
        </w:rPr>
        <w:t xml:space="preserve">    20、城乡临时救助。</w:t>
      </w:r>
    </w:p>
    <w:p>
      <w:pPr>
        <w:pStyle w:val="21"/>
        <w:widowControl w:val="0"/>
        <w:ind w:left="360" w:hanging="360"/>
        <w:rPr>
          <w:rFonts w:ascii="仿宋_GB2312" w:eastAsia="仿宋_GB2312"/>
        </w:rPr>
      </w:pPr>
      <w:r>
        <w:rPr>
          <w:rFonts w:hint="eastAsia" w:ascii="仿宋_GB2312" w:eastAsia="仿宋_GB2312" w:cs="宋体"/>
          <w:color w:val="000000"/>
          <w:sz w:val="32"/>
          <w:szCs w:val="32"/>
        </w:rPr>
        <w:t xml:space="preserve">    21、福彩助学。</w:t>
      </w:r>
    </w:p>
    <w:p>
      <w:pPr>
        <w:pStyle w:val="21"/>
        <w:widowControl w:val="0"/>
        <w:ind w:left="360" w:hanging="360"/>
        <w:rPr>
          <w:rFonts w:ascii="仿宋_GB2312" w:eastAsia="仿宋_GB2312"/>
        </w:rPr>
      </w:pPr>
      <w:r>
        <w:rPr>
          <w:rFonts w:hint="eastAsia" w:ascii="仿宋_GB2312" w:eastAsia="仿宋_GB2312" w:cs="宋体"/>
          <w:color w:val="000000"/>
          <w:sz w:val="32"/>
          <w:szCs w:val="32"/>
        </w:rPr>
        <w:t xml:space="preserve">    22、爱心慈善超市建设和管理工作。</w:t>
      </w:r>
    </w:p>
    <w:p>
      <w:pPr>
        <w:pStyle w:val="22"/>
        <w:widowControl w:val="0"/>
        <w:ind w:left="360" w:hanging="360"/>
        <w:rPr>
          <w:rFonts w:ascii="仿宋_GB2312" w:eastAsia="仿宋_GB2312"/>
        </w:rPr>
      </w:pPr>
      <w:r>
        <w:rPr>
          <w:rFonts w:hint="eastAsia" w:ascii="仿宋_GB2312" w:eastAsia="仿宋_GB2312" w:cs="宋体"/>
          <w:color w:val="000000"/>
          <w:sz w:val="32"/>
          <w:szCs w:val="32"/>
        </w:rPr>
        <w:t xml:space="preserve">    23、敬老院管理工作。</w:t>
      </w:r>
    </w:p>
    <w:p>
      <w:pPr>
        <w:pStyle w:val="22"/>
        <w:widowControl w:val="0"/>
        <w:ind w:left="360" w:hanging="360"/>
        <w:rPr>
          <w:rFonts w:ascii="仿宋_GB2312" w:eastAsia="仿宋_GB2312"/>
        </w:rPr>
      </w:pPr>
      <w:r>
        <w:rPr>
          <w:rFonts w:hint="eastAsia" w:ascii="仿宋_GB2312" w:eastAsia="仿宋_GB2312" w:cs="宋体"/>
          <w:color w:val="000000"/>
          <w:sz w:val="32"/>
          <w:szCs w:val="32"/>
        </w:rPr>
        <w:t xml:space="preserve">    34、流浪乞讨人员救助。</w:t>
      </w:r>
    </w:p>
    <w:p>
      <w:pPr>
        <w:pStyle w:val="22"/>
        <w:widowControl w:val="0"/>
        <w:ind w:left="360" w:hanging="360"/>
        <w:rPr>
          <w:rFonts w:ascii="仿宋_GB2312" w:eastAsia="仿宋_GB2312"/>
        </w:rPr>
      </w:pPr>
      <w:r>
        <w:rPr>
          <w:rFonts w:hint="eastAsia" w:ascii="仿宋_GB2312" w:eastAsia="仿宋_GB2312" w:cs="宋体"/>
          <w:color w:val="000000"/>
          <w:sz w:val="32"/>
          <w:szCs w:val="32"/>
        </w:rPr>
        <w:t xml:space="preserve">    35、双拥工作。</w:t>
      </w:r>
    </w:p>
    <w:p>
      <w:pPr>
        <w:autoSpaceDE w:val="0"/>
        <w:autoSpaceDN w:val="0"/>
        <w:snapToGrid w:val="0"/>
        <w:spacing w:line="520" w:lineRule="exact"/>
        <w:ind w:firstLine="480" w:firstLineChars="150"/>
        <w:rPr>
          <w:rFonts w:ascii="仿宋_GB2312" w:eastAsia="仿宋_GB2312" w:cs="宋体"/>
          <w:color w:val="000000"/>
          <w:sz w:val="32"/>
          <w:szCs w:val="32"/>
        </w:rPr>
      </w:pPr>
      <w:r>
        <w:rPr>
          <w:rFonts w:hint="eastAsia" w:ascii="仿宋_GB2312" w:eastAsia="仿宋_GB2312" w:cs="宋体"/>
          <w:color w:val="000000"/>
          <w:sz w:val="32"/>
          <w:szCs w:val="32"/>
        </w:rPr>
        <w:t xml:space="preserve"> 36、低收入家庭经济状况核查工作。</w:t>
      </w:r>
    </w:p>
    <w:p>
      <w:pPr>
        <w:autoSpaceDE w:val="0"/>
        <w:autoSpaceDN w:val="0"/>
        <w:snapToGrid w:val="0"/>
        <w:spacing w:line="520" w:lineRule="exact"/>
        <w:ind w:firstLine="643" w:firstLineChars="200"/>
        <w:rPr>
          <w:rFonts w:ascii="仿宋_GB2312" w:eastAsia="仿宋_GB2312" w:cs="仿宋_GB2312"/>
          <w:b/>
          <w:bCs/>
          <w:color w:val="333333"/>
          <w:kern w:val="0"/>
          <w:sz w:val="32"/>
          <w:szCs w:val="32"/>
          <w:shd w:val="clear" w:color="auto" w:fill="FFFFFF"/>
        </w:rPr>
      </w:pPr>
      <w:r>
        <w:rPr>
          <w:rFonts w:ascii="仿宋_GB2312" w:eastAsia="仿宋_GB2312" w:cs="仿宋_GB2312"/>
          <w:b/>
          <w:bCs/>
          <w:color w:val="333333"/>
          <w:kern w:val="0"/>
          <w:sz w:val="32"/>
          <w:szCs w:val="32"/>
          <w:shd w:val="clear" w:color="auto" w:fill="FFFFFF"/>
        </w:rPr>
        <w:t>（2）下属敬老院部门职责</w:t>
      </w:r>
    </w:p>
    <w:p>
      <w:pPr>
        <w:autoSpaceDE w:val="0"/>
        <w:autoSpaceDN w:val="0"/>
        <w:snapToGrid w:val="0"/>
        <w:spacing w:line="520" w:lineRule="exact"/>
        <w:ind w:left="315" w:leftChars="150" w:firstLine="480" w:firstLineChars="150"/>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承担社会救助体系建设，负责城乡居民最低生活保障、五保供养、医疗救助。负责农村五保户的集中供养和分散供养工作。</w:t>
      </w:r>
    </w:p>
    <w:p>
      <w:pPr>
        <w:autoSpaceDE w:val="0"/>
        <w:autoSpaceDN w:val="0"/>
        <w:snapToGrid w:val="0"/>
        <w:spacing w:line="520" w:lineRule="exact"/>
        <w:ind w:firstLine="643" w:firstLineChars="200"/>
        <w:rPr>
          <w:rFonts w:ascii="仿宋_GB2312" w:eastAsia="仿宋_GB2312" w:cs="仿宋_GB2312"/>
          <w:b/>
          <w:bCs/>
          <w:color w:val="333333"/>
          <w:kern w:val="0"/>
          <w:sz w:val="32"/>
          <w:szCs w:val="32"/>
          <w:shd w:val="clear" w:color="auto" w:fill="FFFFFF"/>
        </w:rPr>
      </w:pPr>
      <w:r>
        <w:rPr>
          <w:rFonts w:ascii="仿宋_GB2312" w:eastAsia="仿宋_GB2312" w:cs="仿宋_GB2312"/>
          <w:b/>
          <w:bCs/>
          <w:color w:val="333333"/>
          <w:kern w:val="0"/>
          <w:sz w:val="32"/>
          <w:szCs w:val="32"/>
          <w:shd w:val="clear" w:color="auto" w:fill="FFFFFF"/>
        </w:rPr>
        <w:t>（3）下属光荣院部门职责</w:t>
      </w:r>
    </w:p>
    <w:p>
      <w:pPr>
        <w:widowControl/>
        <w:spacing w:line="580" w:lineRule="exact"/>
        <w:ind w:firstLine="800" w:firstLineChars="250"/>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为军属，孤老，优抚对象提供住所及生活医疗等相关服务。孤老烈军属、伤残复</w:t>
      </w:r>
      <w:r>
        <w:rPr>
          <w:rFonts w:hint="eastAsia" w:ascii="仿宋_GB2312" w:eastAsia="仿宋_GB2312" w:cs="仿宋_GB2312"/>
          <w:color w:val="333333"/>
          <w:kern w:val="0"/>
          <w:sz w:val="32"/>
          <w:szCs w:val="32"/>
          <w:shd w:val="clear" w:color="auto" w:fill="FFFFFF"/>
          <w:lang w:val="en-US" w:eastAsia="zh-CN"/>
        </w:rPr>
        <w:t>员</w:t>
      </w:r>
      <w:r>
        <w:rPr>
          <w:rFonts w:hint="eastAsia" w:ascii="仿宋_GB2312" w:eastAsia="仿宋_GB2312" w:cs="仿宋_GB2312"/>
          <w:color w:val="333333"/>
          <w:kern w:val="0"/>
          <w:sz w:val="32"/>
          <w:szCs w:val="32"/>
          <w:shd w:val="clear" w:color="auto" w:fill="FFFFFF"/>
        </w:rPr>
        <w:t>军人生活修养、住所与服务管理。</w:t>
      </w:r>
    </w:p>
    <w:p>
      <w:pPr>
        <w:autoSpaceDE w:val="0"/>
        <w:autoSpaceDN w:val="0"/>
        <w:snapToGrid w:val="0"/>
        <w:spacing w:line="520" w:lineRule="exact"/>
        <w:ind w:firstLine="482" w:firstLineChars="150"/>
        <w:rPr>
          <w:rFonts w:ascii="仿宋_GB2312" w:eastAsia="仿宋_GB2312" w:cs="仿宋_GB2312"/>
          <w:b/>
          <w:bCs/>
          <w:color w:val="333333"/>
          <w:kern w:val="0"/>
          <w:sz w:val="32"/>
          <w:szCs w:val="32"/>
          <w:shd w:val="clear" w:color="auto" w:fill="FFFFFF"/>
        </w:rPr>
      </w:pPr>
      <w:r>
        <w:rPr>
          <w:rFonts w:ascii="仿宋_GB2312" w:eastAsia="仿宋_GB2312" w:cs="仿宋_GB2312"/>
          <w:b/>
          <w:bCs/>
          <w:color w:val="333333"/>
          <w:kern w:val="0"/>
          <w:sz w:val="32"/>
          <w:szCs w:val="32"/>
          <w:shd w:val="clear" w:color="auto" w:fill="FFFFFF"/>
        </w:rPr>
        <w:t>（4）下属干休所部门职责</w:t>
      </w:r>
    </w:p>
    <w:p>
      <w:pPr>
        <w:widowControl/>
        <w:spacing w:line="520" w:lineRule="exact"/>
        <w:ind w:firstLine="640" w:firstLineChars="200"/>
        <w:jc w:val="left"/>
        <w:rPr>
          <w:rFonts w:ascii="仿宋_GB2312" w:eastAsia="仿宋_GB2312" w:cs="仿宋_GB2312"/>
          <w:color w:val="333333"/>
          <w:kern w:val="0"/>
          <w:sz w:val="32"/>
          <w:szCs w:val="32"/>
          <w:shd w:val="clear" w:color="auto" w:fill="FFFFFF"/>
        </w:rPr>
      </w:pPr>
      <w:r>
        <w:rPr>
          <w:rFonts w:hint="eastAsia" w:ascii="仿宋_GB2312" w:eastAsia="仿宋_GB2312" w:cs="仿宋_GB2312"/>
          <w:color w:val="333333"/>
          <w:kern w:val="0"/>
          <w:sz w:val="32"/>
          <w:szCs w:val="32"/>
          <w:shd w:val="clear" w:color="auto" w:fill="FFFFFF"/>
        </w:rPr>
        <w:t>廊坊市</w:t>
      </w:r>
      <w:r>
        <w:rPr>
          <w:rFonts w:ascii="仿宋_GB2312" w:eastAsia="仿宋_GB2312" w:cs="仿宋_GB2312"/>
          <w:color w:val="333333"/>
          <w:kern w:val="0"/>
          <w:sz w:val="32"/>
          <w:szCs w:val="32"/>
          <w:shd w:val="clear" w:color="auto" w:fill="FFFFFF"/>
        </w:rPr>
        <w:t>广阳区军队离休退休干部干休所</w:t>
      </w:r>
      <w:r>
        <w:rPr>
          <w:rFonts w:hint="eastAsia" w:ascii="仿宋_GB2312" w:eastAsia="仿宋_GB2312" w:cs="仿宋_GB2312"/>
          <w:color w:val="333333"/>
          <w:kern w:val="0"/>
          <w:sz w:val="32"/>
          <w:szCs w:val="32"/>
          <w:shd w:val="clear" w:color="auto" w:fill="FFFFFF"/>
        </w:rPr>
        <w:t>，承担为军休干部提供休养住所与相关服务，军休干部和无军籍职工生活扶助，医疗保健，生活待遇发放，阅读文件，重要活动和文体活动组织。</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年度本部门决算汇编范围的独立核算单位共</w:t>
      </w:r>
      <w:r>
        <w:rPr>
          <w:rFonts w:ascii="仿宋_GB2312" w:eastAsia="仿宋_GB2312" w:cs="ArialUnicodeMS"/>
          <w:kern w:val="0"/>
          <w:sz w:val="32"/>
          <w:szCs w:val="32"/>
        </w:rPr>
        <w:t>4</w:t>
      </w:r>
      <w:r>
        <w:rPr>
          <w:rFonts w:hint="eastAsia" w:ascii="仿宋_GB2312" w:eastAsia="仿宋_GB2312" w:cs="ArialUnicodeMS"/>
          <w:kern w:val="0"/>
          <w:sz w:val="32"/>
          <w:szCs w:val="32"/>
        </w:rPr>
        <w:t>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726"/>
        <w:gridCol w:w="238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726"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384"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廊坊市广阳区民政局</w:t>
            </w:r>
          </w:p>
        </w:tc>
        <w:tc>
          <w:tcPr>
            <w:tcW w:w="2726" w:type="dxa"/>
            <w:vAlign w:val="center"/>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384" w:type="dxa"/>
            <w:vAlign w:val="center"/>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2</w:t>
            </w:r>
          </w:p>
        </w:tc>
        <w:tc>
          <w:tcPr>
            <w:tcW w:w="3485" w:type="dxa"/>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廊坊市广阳区敬老院</w:t>
            </w:r>
          </w:p>
        </w:tc>
        <w:tc>
          <w:tcPr>
            <w:tcW w:w="2726" w:type="dxa"/>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84" w:type="dxa"/>
            <w:vAlign w:val="center"/>
          </w:tcPr>
          <w:p>
            <w:pPr>
              <w:widowControl/>
              <w:spacing w:line="58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3</w:t>
            </w:r>
          </w:p>
        </w:tc>
        <w:tc>
          <w:tcPr>
            <w:tcW w:w="3485" w:type="dxa"/>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廊坊市广阳区光荣院</w:t>
            </w:r>
          </w:p>
        </w:tc>
        <w:tc>
          <w:tcPr>
            <w:tcW w:w="2726" w:type="dxa"/>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84" w:type="dxa"/>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85" w:type="dxa"/>
            <w:tcBorders>
              <w:bottom w:val="single" w:color="auto" w:sz="4" w:space="0"/>
            </w:tcBorders>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4</w:t>
            </w:r>
          </w:p>
        </w:tc>
        <w:tc>
          <w:tcPr>
            <w:tcW w:w="3485" w:type="dxa"/>
            <w:tcBorders>
              <w:bottom w:val="single" w:color="auto" w:sz="4" w:space="0"/>
            </w:tcBorders>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廊坊市广阳区军队离休退休干部干休所</w:t>
            </w:r>
          </w:p>
        </w:tc>
        <w:tc>
          <w:tcPr>
            <w:tcW w:w="2726" w:type="dxa"/>
            <w:tcBorders>
              <w:bottom w:val="single" w:color="auto" w:sz="4" w:space="0"/>
            </w:tcBorders>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384" w:type="dxa"/>
            <w:tcBorders>
              <w:bottom w:val="single" w:color="auto" w:sz="4" w:space="0"/>
            </w:tcBorders>
            <w:vAlign w:val="center"/>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2018年度收</w:t>
      </w:r>
      <w:r>
        <w:rPr>
          <w:rFonts w:ascii="仿宋_GB2312" w:eastAsia="仿宋_GB2312" w:cs="DengXian-Regular"/>
          <w:sz w:val="32"/>
          <w:szCs w:val="32"/>
        </w:rPr>
        <w:t>入总计9477万元，支出总计7972.46万元</w:t>
      </w:r>
      <w:r>
        <w:rPr>
          <w:rFonts w:hint="eastAsia" w:ascii="仿宋_GB2312" w:eastAsia="仿宋_GB2312" w:cs="DengXian-Regular"/>
          <w:sz w:val="32"/>
          <w:szCs w:val="32"/>
        </w:rPr>
        <w:t>。与2017年度决算相比，收</w:t>
      </w:r>
      <w:r>
        <w:rPr>
          <w:rFonts w:ascii="仿宋_GB2312" w:eastAsia="仿宋_GB2312" w:cs="DengXian-Regular"/>
          <w:sz w:val="32"/>
          <w:szCs w:val="32"/>
        </w:rPr>
        <w:t>入增加了5802.01万元，增长157.</w:t>
      </w:r>
      <w:r>
        <w:rPr>
          <w:rFonts w:hint="eastAsia" w:ascii="仿宋_GB2312" w:eastAsia="仿宋_GB2312" w:cs="DengXian-Regular"/>
          <w:sz w:val="32"/>
          <w:szCs w:val="32"/>
        </w:rPr>
        <w:t>9%，主要原因是</w:t>
      </w:r>
      <w:r>
        <w:rPr>
          <w:rFonts w:ascii="仿宋_GB2312" w:eastAsia="仿宋_GB2312" w:cs="DengXian-Regular"/>
          <w:sz w:val="32"/>
          <w:szCs w:val="32"/>
        </w:rPr>
        <w:t>最低生活保障、两残补贴、重点优抚对象抚恤金等资金2018年度之前都是财政代发，从2018年度开始由民政局发放，所以本年收入相比2017年增长157.</w:t>
      </w:r>
      <w:r>
        <w:rPr>
          <w:rFonts w:hint="eastAsia" w:ascii="仿宋_GB2312" w:eastAsia="仿宋_GB2312" w:cs="DengXian-Regular"/>
          <w:sz w:val="32"/>
          <w:szCs w:val="32"/>
        </w:rPr>
        <w:t>9%</w:t>
      </w:r>
      <w:r>
        <w:rPr>
          <w:rFonts w:ascii="仿宋_GB2312" w:eastAsia="仿宋_GB2312" w:cs="DengXian-Regular"/>
          <w:sz w:val="32"/>
          <w:szCs w:val="32"/>
        </w:rPr>
        <w:t>；与2017年度决算相比，支出增加了4686.8万元，增长142.6%，主要原因为最低生活保障、两残补贴、重点优抚对象抚恤金等资金2018年度之前都是财政代发，从2018年度开始由民政局发放，所以本年支出相比2017年增长142.6</w:t>
      </w:r>
      <w:r>
        <w:rPr>
          <w:rFonts w:hint="eastAsia" w:ascii="仿宋_GB2312" w:eastAsia="仿宋_GB2312" w:cs="DengXian-Regular"/>
          <w:sz w:val="32"/>
          <w:szCs w:val="32"/>
        </w:rPr>
        <w:t>%</w:t>
      </w:r>
      <w:r>
        <w:rPr>
          <w:rFonts w:ascii="仿宋_GB2312" w:eastAsia="仿宋_GB2312" w:cs="DengXian-Regular"/>
          <w:sz w:val="32"/>
          <w:szCs w:val="32"/>
        </w:rPr>
        <w:t>。下属敬老院</w:t>
      </w:r>
      <w:r>
        <w:rPr>
          <w:rFonts w:hint="eastAsia" w:ascii="仿宋_GB2312" w:eastAsia="仿宋_GB2312" w:cs="DengXian-Regular"/>
          <w:sz w:val="32"/>
          <w:szCs w:val="32"/>
        </w:rPr>
        <w:t>2018年度收支总计（含结转和结余）406.83万</w:t>
      </w:r>
      <w:r>
        <w:rPr>
          <w:rFonts w:hint="eastAsia" w:ascii="仿宋_GB2312" w:eastAsia="仿宋_GB2312" w:cs="DengXian-Regular"/>
          <w:b/>
          <w:sz w:val="32"/>
          <w:szCs w:val="32"/>
        </w:rPr>
        <w:t>元。与2017年度决算相比，收支各增加61.39万元，增长15.0%，主要原因是职</w:t>
      </w:r>
      <w:r>
        <w:rPr>
          <w:rFonts w:hint="eastAsia" w:ascii="仿宋_GB2312" w:eastAsia="仿宋_GB2312" w:cs="DengXian-Regular"/>
          <w:sz w:val="32"/>
          <w:szCs w:val="32"/>
        </w:rPr>
        <w:t>员工资的增加和日常开支如取暖费等的增加等。</w:t>
      </w:r>
      <w:r>
        <w:rPr>
          <w:rFonts w:ascii="仿宋_GB2312" w:eastAsia="仿宋_GB2312" w:cs="DengXian-Regular"/>
          <w:sz w:val="32"/>
          <w:szCs w:val="32"/>
        </w:rPr>
        <w:t>下属光荣院</w:t>
      </w:r>
      <w:r>
        <w:rPr>
          <w:rFonts w:hint="eastAsia" w:ascii="仿宋_GB2312" w:eastAsia="仿宋_GB2312" w:cs="DengXian-Regular"/>
          <w:sz w:val="32"/>
          <w:szCs w:val="32"/>
        </w:rPr>
        <w:t>2018年度收支总计（含结转和结余）203.21万元。与2017年度决算相比，收支各增加29.35万元，增长16.9%，主要原因是</w:t>
      </w:r>
      <w:r>
        <w:rPr>
          <w:rFonts w:ascii="仿宋_GB2312" w:eastAsia="仿宋_GB2312" w:cs="DengXian-Regular"/>
          <w:sz w:val="32"/>
          <w:szCs w:val="32"/>
        </w:rPr>
        <w:t>较上年</w:t>
      </w:r>
      <w:r>
        <w:rPr>
          <w:rFonts w:hint="eastAsia" w:ascii="仿宋_GB2312" w:eastAsia="仿宋_GB2312" w:cs="DengXian-Regular"/>
          <w:sz w:val="32"/>
          <w:szCs w:val="32"/>
        </w:rPr>
        <w:t>工资的上调。</w:t>
      </w:r>
      <w:r>
        <w:rPr>
          <w:rFonts w:ascii="仿宋_GB2312" w:eastAsia="仿宋_GB2312" w:cs="DengXian-Regular"/>
          <w:sz w:val="32"/>
          <w:szCs w:val="32"/>
        </w:rPr>
        <w:t>下属干休所</w:t>
      </w:r>
      <w:r>
        <w:rPr>
          <w:rFonts w:hint="eastAsia" w:ascii="仿宋_GB2312" w:eastAsia="仿宋_GB2312" w:cs="DengXian-Regular"/>
          <w:sz w:val="32"/>
          <w:szCs w:val="32"/>
        </w:rPr>
        <w:t>2018年度收入总计2871.74万元，支出总计2701.28万元，与2017年度决算相比，收入总计增加2632.89万元，增长1103.0%，支出总计增加2425.28万元，增长879.0%，主要原因是退休无军籍职工工资参加了决算。</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2018年度本年收入合计</w:t>
      </w:r>
      <w:r>
        <w:rPr>
          <w:rFonts w:ascii="仿宋_GB2312" w:eastAsia="仿宋_GB2312" w:cs="DengXian-Regular"/>
          <w:sz w:val="32"/>
          <w:szCs w:val="32"/>
        </w:rPr>
        <w:t>9477</w:t>
      </w:r>
      <w:r>
        <w:rPr>
          <w:rFonts w:hint="eastAsia" w:ascii="仿宋_GB2312" w:eastAsia="仿宋_GB2312" w:cs="DengXian-Regular"/>
          <w:sz w:val="32"/>
          <w:szCs w:val="32"/>
        </w:rPr>
        <w:t>万元，其中：财政拨款收入</w:t>
      </w:r>
      <w:r>
        <w:rPr>
          <w:rFonts w:ascii="仿宋_GB2312" w:eastAsia="仿宋_GB2312" w:cs="DengXian-Regular"/>
          <w:sz w:val="32"/>
          <w:szCs w:val="32"/>
        </w:rPr>
        <w:t>9436</w:t>
      </w:r>
      <w:r>
        <w:rPr>
          <w:rFonts w:hint="eastAsia" w:ascii="仿宋_GB2312" w:eastAsia="仿宋_GB2312" w:cs="DengXian-Regular"/>
          <w:sz w:val="32"/>
          <w:szCs w:val="32"/>
        </w:rPr>
        <w:t>万元，占</w:t>
      </w:r>
      <w:r>
        <w:rPr>
          <w:rFonts w:ascii="仿宋_GB2312" w:eastAsia="仿宋_GB2312" w:cs="DengXian-Regular"/>
          <w:sz w:val="32"/>
          <w:szCs w:val="32"/>
        </w:rPr>
        <w:t>99.</w:t>
      </w:r>
      <w:r>
        <w:rPr>
          <w:rFonts w:hint="eastAsia" w:ascii="仿宋_GB2312" w:eastAsia="仿宋_GB2312" w:cs="DengXian-Regular"/>
          <w:sz w:val="32"/>
          <w:szCs w:val="32"/>
        </w:rPr>
        <w:t>6%；其他收入</w:t>
      </w:r>
      <w:r>
        <w:rPr>
          <w:rFonts w:ascii="仿宋_GB2312" w:eastAsia="仿宋_GB2312" w:cs="DengXian-Regular"/>
          <w:sz w:val="32"/>
          <w:szCs w:val="32"/>
        </w:rPr>
        <w:t>41</w:t>
      </w:r>
      <w:r>
        <w:rPr>
          <w:rFonts w:hint="eastAsia" w:ascii="仿宋_GB2312" w:eastAsia="仿宋_GB2312" w:cs="DengXian-Regular"/>
          <w:sz w:val="32"/>
          <w:szCs w:val="32"/>
        </w:rPr>
        <w:t>万元，占</w:t>
      </w:r>
      <w:r>
        <w:rPr>
          <w:rFonts w:ascii="仿宋_GB2312" w:eastAsia="仿宋_GB2312" w:cs="DengXian-Regular"/>
          <w:sz w:val="32"/>
          <w:szCs w:val="32"/>
        </w:rPr>
        <w:t>0.4</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2018年度本年收入合计</w:t>
      </w:r>
      <w:r>
        <w:rPr>
          <w:rFonts w:hint="eastAsia" w:ascii="宋体" w:cs="宋体"/>
          <w:sz w:val="32"/>
          <w:szCs w:val="32"/>
        </w:rPr>
        <w:t>369.46</w:t>
      </w:r>
      <w:r>
        <w:rPr>
          <w:rFonts w:hint="eastAsia" w:ascii="仿宋_GB2312" w:eastAsia="仿宋_GB2312" w:cs="DengXian-Regular"/>
          <w:sz w:val="32"/>
          <w:szCs w:val="32"/>
        </w:rPr>
        <w:t>万元，其中：财政拨款收入</w:t>
      </w:r>
      <w:r>
        <w:rPr>
          <w:rFonts w:hint="eastAsia" w:ascii="宋体" w:cs="宋体"/>
          <w:sz w:val="32"/>
          <w:szCs w:val="32"/>
        </w:rPr>
        <w:t>369.46</w:t>
      </w:r>
      <w:r>
        <w:rPr>
          <w:rFonts w:hint="eastAsia" w:ascii="仿宋_GB2312" w:eastAsia="仿宋_GB2312" w:cs="DengXian-Regular"/>
          <w:sz w:val="32"/>
          <w:szCs w:val="32"/>
        </w:rPr>
        <w:t>万元，占</w:t>
      </w:r>
      <w:r>
        <w:rPr>
          <w:rFonts w:hint="eastAsia" w:ascii="宋体" w:cs="宋体"/>
          <w:sz w:val="32"/>
          <w:szCs w:val="32"/>
        </w:rPr>
        <w:t>100</w:t>
      </w:r>
      <w:r>
        <w:rPr>
          <w:rFonts w:hint="eastAsia" w:ascii="仿宋_GB2312" w:eastAsia="仿宋_GB2312" w:cs="DengXian-Regular"/>
          <w:sz w:val="32"/>
          <w:szCs w:val="32"/>
        </w:rPr>
        <w:t>%；事业收入</w:t>
      </w:r>
      <w:r>
        <w:rPr>
          <w:rFonts w:hint="eastAsia" w:ascii="宋体" w:cs="宋体"/>
          <w:sz w:val="32"/>
          <w:szCs w:val="32"/>
        </w:rPr>
        <w:t>0</w:t>
      </w:r>
      <w:r>
        <w:rPr>
          <w:rFonts w:hint="eastAsia" w:ascii="仿宋_GB2312" w:eastAsia="仿宋_GB2312" w:cs="DengXian-Regular"/>
          <w:sz w:val="32"/>
          <w:szCs w:val="32"/>
        </w:rPr>
        <w:t>万元，占</w:t>
      </w:r>
      <w:r>
        <w:rPr>
          <w:rFonts w:hint="eastAsia" w:ascii="宋体" w:cs="宋体"/>
          <w:sz w:val="32"/>
          <w:szCs w:val="32"/>
        </w:rPr>
        <w:t>0</w:t>
      </w:r>
      <w:r>
        <w:rPr>
          <w:rFonts w:hint="eastAsia" w:ascii="仿宋_GB2312" w:eastAsia="仿宋_GB2312" w:cs="DengXian-Regular"/>
          <w:sz w:val="32"/>
          <w:szCs w:val="32"/>
        </w:rPr>
        <w:t>%；经营收入</w:t>
      </w:r>
      <w:r>
        <w:rPr>
          <w:rFonts w:hint="eastAsia" w:ascii="宋体" w:cs="宋体"/>
          <w:sz w:val="32"/>
          <w:szCs w:val="32"/>
        </w:rPr>
        <w:t>0</w:t>
      </w:r>
      <w:r>
        <w:rPr>
          <w:rFonts w:hint="eastAsia" w:ascii="仿宋_GB2312" w:eastAsia="仿宋_GB2312" w:cs="DengXian-Regular"/>
          <w:sz w:val="32"/>
          <w:szCs w:val="32"/>
        </w:rPr>
        <w:t>万元，占</w:t>
      </w:r>
      <w:r>
        <w:rPr>
          <w:rFonts w:hint="eastAsia" w:ascii="宋体" w:cs="宋体"/>
          <w:sz w:val="32"/>
          <w:szCs w:val="32"/>
        </w:rPr>
        <w:t>0</w:t>
      </w:r>
      <w:r>
        <w:rPr>
          <w:rFonts w:hint="eastAsia" w:ascii="仿宋_GB2312" w:eastAsia="仿宋_GB2312" w:cs="DengXian-Regular"/>
          <w:sz w:val="32"/>
          <w:szCs w:val="32"/>
        </w:rPr>
        <w:t>%；其他收入</w:t>
      </w:r>
      <w:r>
        <w:rPr>
          <w:rFonts w:hint="eastAsia" w:ascii="宋体" w:cs="宋体"/>
          <w:sz w:val="32"/>
          <w:szCs w:val="32"/>
        </w:rPr>
        <w:t>0</w:t>
      </w:r>
      <w:r>
        <w:rPr>
          <w:rFonts w:hint="eastAsia" w:ascii="仿宋_GB2312" w:eastAsia="仿宋_GB2312" w:cs="DengXian-Regular"/>
          <w:sz w:val="32"/>
          <w:szCs w:val="32"/>
        </w:rPr>
        <w:t>万元，占</w:t>
      </w:r>
      <w:r>
        <w:rPr>
          <w:rFonts w:hint="eastAsia" w:ascii="宋体" w:cs="宋体"/>
          <w:sz w:val="32"/>
          <w:szCs w:val="32"/>
        </w:rPr>
        <w:t>0</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2018年度本年收入合计150</w:t>
      </w:r>
      <w:r>
        <w:rPr>
          <w:rFonts w:hint="eastAsia" w:ascii="宋体" w:cs="宋体"/>
          <w:sz w:val="32"/>
          <w:szCs w:val="32"/>
        </w:rPr>
        <w:t>.38</w:t>
      </w:r>
      <w:r>
        <w:rPr>
          <w:rFonts w:hint="eastAsia" w:ascii="仿宋_GB2312" w:eastAsia="仿宋_GB2312" w:cs="DengXian-Regular"/>
          <w:sz w:val="32"/>
          <w:szCs w:val="32"/>
        </w:rPr>
        <w:t>万元，其中：财政拨款收入1</w:t>
      </w:r>
      <w:r>
        <w:rPr>
          <w:rFonts w:hint="eastAsia" w:ascii="宋体" w:cs="宋体"/>
          <w:sz w:val="32"/>
          <w:szCs w:val="32"/>
        </w:rPr>
        <w:t>43.66</w:t>
      </w:r>
      <w:r>
        <w:rPr>
          <w:rFonts w:hint="eastAsia" w:ascii="仿宋_GB2312" w:eastAsia="仿宋_GB2312" w:cs="DengXian-Regular"/>
          <w:sz w:val="32"/>
          <w:szCs w:val="32"/>
        </w:rPr>
        <w:t>万元，占</w:t>
      </w:r>
      <w:r>
        <w:rPr>
          <w:rFonts w:hint="eastAsia" w:ascii="宋体" w:cs="宋体"/>
          <w:sz w:val="32"/>
          <w:szCs w:val="32"/>
        </w:rPr>
        <w:t>95.5</w:t>
      </w:r>
      <w:r>
        <w:rPr>
          <w:rFonts w:hint="eastAsia" w:ascii="仿宋_GB2312" w:eastAsia="仿宋_GB2312" w:cs="DengXian-Regular"/>
          <w:sz w:val="32"/>
          <w:szCs w:val="32"/>
        </w:rPr>
        <w:t>%；事业收入0万元，占0%；经营收入0万元，占0%；其他收入6</w:t>
      </w:r>
      <w:r>
        <w:rPr>
          <w:rFonts w:hint="eastAsia" w:ascii="宋体" w:cs="宋体"/>
          <w:sz w:val="32"/>
          <w:szCs w:val="32"/>
        </w:rPr>
        <w:t>.72</w:t>
      </w:r>
      <w:r>
        <w:rPr>
          <w:rFonts w:hint="eastAsia" w:ascii="仿宋_GB2312" w:eastAsia="仿宋_GB2312" w:cs="DengXian-Regular"/>
          <w:sz w:val="32"/>
          <w:szCs w:val="32"/>
        </w:rPr>
        <w:t>万元，占</w:t>
      </w:r>
      <w:r>
        <w:rPr>
          <w:rFonts w:hint="eastAsia" w:ascii="宋体" w:cs="宋体"/>
          <w:sz w:val="32"/>
          <w:szCs w:val="32"/>
        </w:rPr>
        <w:t>4.5</w:t>
      </w:r>
      <w:r>
        <w:rPr>
          <w:rFonts w:hint="eastAsia" w:ascii="仿宋_GB2312" w:eastAsia="仿宋_GB2312" w:cs="DengXian-Regular"/>
          <w:sz w:val="32"/>
          <w:szCs w:val="32"/>
        </w:rPr>
        <w:t>%。</w:t>
      </w:r>
    </w:p>
    <w:p>
      <w:pPr>
        <w:adjustRightInd w:val="0"/>
        <w:snapToGrid w:val="0"/>
        <w:spacing w:after="0" w:line="580" w:lineRule="exact"/>
        <w:ind w:firstLine="640" w:firstLineChars="200"/>
      </w:pPr>
      <w:r>
        <w:rPr>
          <w:rFonts w:ascii="仿宋_GB2312" w:eastAsia="仿宋_GB2312" w:cs="DengXian-Regular"/>
          <w:sz w:val="32"/>
          <w:szCs w:val="32"/>
        </w:rPr>
        <w:t>下属干休所</w:t>
      </w:r>
      <w:r>
        <w:rPr>
          <w:rFonts w:hint="eastAsia" w:ascii="仿宋_GB2312" w:eastAsia="仿宋_GB2312" w:cs="DengXian-Regular"/>
          <w:sz w:val="32"/>
          <w:szCs w:val="32"/>
        </w:rPr>
        <w:t>2018年度本年收入合计2800</w:t>
      </w:r>
      <w:r>
        <w:rPr>
          <w:rFonts w:hint="eastAsia" w:ascii="宋体" w:cs="宋体"/>
          <w:sz w:val="32"/>
          <w:szCs w:val="32"/>
        </w:rPr>
        <w:t>.23</w:t>
      </w:r>
      <w:r>
        <w:rPr>
          <w:rFonts w:hint="eastAsia" w:ascii="仿宋_GB2312" w:eastAsia="仿宋_GB2312" w:cs="DengXian-Regular"/>
          <w:sz w:val="32"/>
          <w:szCs w:val="32"/>
        </w:rPr>
        <w:t>万元，其中：财政拨款收入2783</w:t>
      </w:r>
      <w:r>
        <w:rPr>
          <w:rFonts w:hint="eastAsia" w:ascii="宋体" w:cs="宋体"/>
          <w:sz w:val="32"/>
          <w:szCs w:val="32"/>
        </w:rPr>
        <w:t>.17</w:t>
      </w:r>
      <w:r>
        <w:rPr>
          <w:rFonts w:hint="eastAsia" w:ascii="仿宋_GB2312" w:eastAsia="仿宋_GB2312" w:cs="DengXian-Regular"/>
          <w:sz w:val="32"/>
          <w:szCs w:val="32"/>
        </w:rPr>
        <w:t>万元，占</w:t>
      </w:r>
      <w:r>
        <w:rPr>
          <w:rFonts w:hint="eastAsia" w:ascii="宋体" w:cs="宋体"/>
          <w:sz w:val="32"/>
          <w:szCs w:val="32"/>
        </w:rPr>
        <w:t>99.0</w:t>
      </w:r>
      <w:r>
        <w:rPr>
          <w:rFonts w:hint="eastAsia" w:ascii="仿宋_GB2312" w:eastAsia="仿宋_GB2312" w:cs="DengXian-Regular"/>
          <w:sz w:val="32"/>
          <w:szCs w:val="32"/>
        </w:rPr>
        <w:t>%；事业收入2783</w:t>
      </w:r>
      <w:r>
        <w:rPr>
          <w:rFonts w:hint="eastAsia" w:ascii="宋体" w:cs="宋体"/>
          <w:sz w:val="32"/>
          <w:szCs w:val="32"/>
        </w:rPr>
        <w:t>.17</w:t>
      </w:r>
      <w:r>
        <w:rPr>
          <w:rFonts w:hint="eastAsia" w:ascii="仿宋_GB2312" w:eastAsia="仿宋_GB2312" w:cs="DengXian-Regular"/>
          <w:sz w:val="32"/>
          <w:szCs w:val="32"/>
        </w:rPr>
        <w:t>万元，占100%；经营收入0万元，占0%；其他收入17</w:t>
      </w:r>
      <w:r>
        <w:rPr>
          <w:rFonts w:hint="eastAsia" w:ascii="宋体" w:cs="宋体"/>
          <w:sz w:val="32"/>
          <w:szCs w:val="32"/>
        </w:rPr>
        <w:t>.06</w:t>
      </w:r>
      <w:r>
        <w:rPr>
          <w:rFonts w:hint="eastAsia" w:ascii="仿宋_GB2312" w:eastAsia="仿宋_GB2312" w:cs="DengXian-Regular"/>
          <w:sz w:val="32"/>
          <w:szCs w:val="32"/>
        </w:rPr>
        <w:t>万元，占0</w:t>
      </w:r>
      <w:r>
        <w:rPr>
          <w:rFonts w:hint="eastAsia" w:ascii="宋体" w:cs="宋体"/>
          <w:sz w:val="32"/>
          <w:szCs w:val="32"/>
        </w:rPr>
        <w:t>.1</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2018年度本年支出合计</w:t>
      </w:r>
      <w:r>
        <w:rPr>
          <w:rFonts w:ascii="仿宋_GB2312" w:eastAsia="仿宋_GB2312" w:cs="DengXian-Regular"/>
          <w:sz w:val="32"/>
          <w:szCs w:val="32"/>
        </w:rPr>
        <w:t>7972.46</w:t>
      </w:r>
      <w:r>
        <w:rPr>
          <w:rFonts w:hint="eastAsia" w:ascii="仿宋_GB2312" w:eastAsia="仿宋_GB2312" w:cs="DengXian-Regular"/>
          <w:sz w:val="32"/>
          <w:szCs w:val="32"/>
        </w:rPr>
        <w:t>万元，其中：基本支出</w:t>
      </w:r>
      <w:r>
        <w:rPr>
          <w:rFonts w:ascii="仿宋_GB2312" w:eastAsia="仿宋_GB2312" w:cs="DengXian-Regular"/>
          <w:sz w:val="32"/>
          <w:szCs w:val="32"/>
        </w:rPr>
        <w:t>1305.76</w:t>
      </w:r>
      <w:r>
        <w:rPr>
          <w:rFonts w:hint="eastAsia" w:ascii="仿宋_GB2312" w:eastAsia="仿宋_GB2312" w:cs="DengXian-Regular"/>
          <w:sz w:val="32"/>
          <w:szCs w:val="32"/>
        </w:rPr>
        <w:t>万元，占</w:t>
      </w:r>
      <w:r>
        <w:rPr>
          <w:rFonts w:ascii="仿宋_GB2312" w:eastAsia="仿宋_GB2312" w:cs="DengXian-Regular"/>
          <w:sz w:val="32"/>
          <w:szCs w:val="32"/>
        </w:rPr>
        <w:t>16.</w:t>
      </w:r>
      <w:r>
        <w:rPr>
          <w:rFonts w:hint="eastAsia" w:ascii="仿宋_GB2312" w:eastAsia="仿宋_GB2312" w:cs="DengXian-Regular"/>
          <w:sz w:val="32"/>
          <w:szCs w:val="32"/>
        </w:rPr>
        <w:t>4%；项目支出</w:t>
      </w:r>
      <w:r>
        <w:rPr>
          <w:rFonts w:ascii="仿宋_GB2312" w:eastAsia="仿宋_GB2312" w:cs="DengXian-Regular"/>
          <w:sz w:val="32"/>
          <w:szCs w:val="32"/>
        </w:rPr>
        <w:t>6666.7</w:t>
      </w:r>
      <w:r>
        <w:rPr>
          <w:rFonts w:hint="eastAsia" w:ascii="仿宋_GB2312" w:eastAsia="仿宋_GB2312" w:cs="DengXian-Regular"/>
          <w:sz w:val="32"/>
          <w:szCs w:val="32"/>
        </w:rPr>
        <w:t>万元，占</w:t>
      </w:r>
      <w:r>
        <w:rPr>
          <w:rFonts w:ascii="仿宋_GB2312" w:eastAsia="仿宋_GB2312" w:cs="DengXian-Regular"/>
          <w:sz w:val="32"/>
          <w:szCs w:val="32"/>
        </w:rPr>
        <w:t>83.6</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2018年度本年支出合计378.3万元，其中：基本支出291.3万元，占77.0%；项目支出87万元，占23.0%；经营支出0万元，占0%。</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2018年度本年支出合计145.32万元，其中：基本支出142.25万元，占97.9%；项目支出3.07万元，占2.1%；经营支出0万元，占0%。</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下属干休所</w:t>
      </w:r>
      <w:r>
        <w:rPr>
          <w:rFonts w:hint="eastAsia" w:ascii="仿宋_GB2312" w:eastAsia="仿宋_GB2312" w:cs="DengXian-Regular"/>
          <w:sz w:val="32"/>
          <w:szCs w:val="32"/>
        </w:rPr>
        <w:t>2018年度本年支出合计2701.28万元，其中：基本支出1602.20万元，占60.0%；项目支出1099.08万元，占40.0%；经营支出0万元，占0%。</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2018年度财政拨款本年收入</w:t>
      </w:r>
      <w:r>
        <w:rPr>
          <w:rFonts w:ascii="仿宋_GB2312" w:eastAsia="仿宋_GB2312" w:cs="DengXian-Regular"/>
          <w:sz w:val="32"/>
          <w:szCs w:val="32"/>
        </w:rPr>
        <w:t>9477</w:t>
      </w:r>
      <w:r>
        <w:rPr>
          <w:rFonts w:hint="eastAsia" w:ascii="仿宋_GB2312" w:eastAsia="仿宋_GB2312" w:cs="DengXian-Regular"/>
          <w:sz w:val="32"/>
          <w:szCs w:val="32"/>
        </w:rPr>
        <w:t>万元,比2017年度增加</w:t>
      </w:r>
      <w:r>
        <w:rPr>
          <w:rFonts w:ascii="仿宋_GB2312" w:eastAsia="仿宋_GB2312" w:cs="DengXian-Regular"/>
          <w:sz w:val="32"/>
          <w:szCs w:val="32"/>
        </w:rPr>
        <w:t>5802.01</w:t>
      </w:r>
      <w:r>
        <w:rPr>
          <w:rFonts w:hint="eastAsia" w:ascii="仿宋_GB2312" w:eastAsia="仿宋_GB2312" w:cs="DengXian-Regular"/>
          <w:sz w:val="32"/>
          <w:szCs w:val="32"/>
        </w:rPr>
        <w:t>万元，增长</w:t>
      </w:r>
      <w:r>
        <w:rPr>
          <w:rFonts w:ascii="仿宋_GB2312" w:eastAsia="仿宋_GB2312" w:cs="DengXian-Regular"/>
          <w:sz w:val="32"/>
          <w:szCs w:val="32"/>
        </w:rPr>
        <w:t>157.</w:t>
      </w:r>
      <w:r>
        <w:rPr>
          <w:rFonts w:hint="eastAsia" w:ascii="仿宋_GB2312" w:eastAsia="仿宋_GB2312" w:cs="DengXian-Regular"/>
          <w:sz w:val="32"/>
          <w:szCs w:val="32"/>
        </w:rPr>
        <w:t>9%，主要原因是</w:t>
      </w:r>
      <w:r>
        <w:rPr>
          <w:rFonts w:ascii="仿宋_GB2312" w:eastAsia="仿宋_GB2312" w:cs="DengXian-Regular"/>
          <w:sz w:val="32"/>
          <w:szCs w:val="32"/>
        </w:rPr>
        <w:t>最低生活保障、两残补贴、重点优抚对象抚恤金等资金2018年度之前都是财政代发，从2018年度开始由民政局发放，所以本年收入相比2017年增长157.</w:t>
      </w:r>
      <w:r>
        <w:rPr>
          <w:rFonts w:hint="eastAsia" w:ascii="仿宋_GB2312" w:eastAsia="仿宋_GB2312" w:cs="DengXian-Regular"/>
          <w:sz w:val="32"/>
          <w:szCs w:val="32"/>
        </w:rPr>
        <w:t>9%；本年支出</w:t>
      </w:r>
      <w:r>
        <w:rPr>
          <w:rFonts w:ascii="仿宋_GB2312" w:eastAsia="仿宋_GB2312" w:cs="DengXian-Regular"/>
          <w:sz w:val="32"/>
          <w:szCs w:val="32"/>
        </w:rPr>
        <w:t>7972.46</w:t>
      </w:r>
      <w:r>
        <w:rPr>
          <w:rFonts w:hint="eastAsia" w:ascii="仿宋_GB2312" w:eastAsia="仿宋_GB2312" w:cs="DengXian-Regular"/>
          <w:sz w:val="32"/>
          <w:szCs w:val="32"/>
        </w:rPr>
        <w:t>万元，增加</w:t>
      </w:r>
      <w:r>
        <w:rPr>
          <w:rFonts w:ascii="仿宋_GB2312" w:eastAsia="仿宋_GB2312" w:cs="DengXian-Regular"/>
          <w:sz w:val="32"/>
          <w:szCs w:val="32"/>
        </w:rPr>
        <w:t>4686.8</w:t>
      </w:r>
      <w:r>
        <w:rPr>
          <w:rFonts w:hint="eastAsia" w:ascii="仿宋_GB2312" w:eastAsia="仿宋_GB2312" w:cs="DengXian-Regular"/>
          <w:sz w:val="32"/>
          <w:szCs w:val="32"/>
        </w:rPr>
        <w:t>万元，增长</w:t>
      </w:r>
      <w:r>
        <w:rPr>
          <w:rFonts w:ascii="仿宋_GB2312" w:eastAsia="仿宋_GB2312" w:cs="DengXian-Regular"/>
          <w:sz w:val="32"/>
          <w:szCs w:val="32"/>
        </w:rPr>
        <w:t>142.6</w:t>
      </w:r>
      <w:r>
        <w:rPr>
          <w:rFonts w:hint="eastAsia" w:ascii="仿宋_GB2312" w:eastAsia="仿宋_GB2312" w:cs="DengXian-Regular"/>
          <w:sz w:val="32"/>
          <w:szCs w:val="32"/>
        </w:rPr>
        <w:t>%，主要原因是</w:t>
      </w:r>
      <w:r>
        <w:rPr>
          <w:rFonts w:ascii="仿宋_GB2312" w:eastAsia="仿宋_GB2312" w:cs="DengXian-Regular"/>
          <w:sz w:val="32"/>
          <w:szCs w:val="32"/>
        </w:rPr>
        <w:t>最低生活保障、两残补贴、重点优抚对象抚恤金等资金2018年度之前都是财政代发，从2018年度开始由民政局发放，所以本年支出相比2017年增长142.6</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ascii="仿宋_GB2312" w:eastAsia="仿宋_GB2312" w:cs="DengXian-Regular"/>
          <w:sz w:val="32"/>
          <w:szCs w:val="32"/>
        </w:rPr>
        <w:t>8293.22</w:t>
      </w:r>
      <w:r>
        <w:rPr>
          <w:rFonts w:hint="eastAsia" w:ascii="仿宋_GB2312" w:eastAsia="仿宋_GB2312" w:cs="DengXian-Regular"/>
          <w:sz w:val="32"/>
          <w:szCs w:val="32"/>
        </w:rPr>
        <w:t>万元，比2017年度增加</w:t>
      </w:r>
      <w:r>
        <w:rPr>
          <w:rFonts w:ascii="仿宋_GB2312" w:eastAsia="仿宋_GB2312" w:cs="DengXian-Regular"/>
          <w:sz w:val="32"/>
          <w:szCs w:val="32"/>
        </w:rPr>
        <w:t>4618.23</w:t>
      </w:r>
      <w:r>
        <w:rPr>
          <w:rFonts w:hint="eastAsia" w:ascii="仿宋_GB2312" w:eastAsia="仿宋_GB2312" w:cs="DengXian-Regular"/>
          <w:sz w:val="32"/>
          <w:szCs w:val="32"/>
        </w:rPr>
        <w:t>万元；主要原因是</w:t>
      </w:r>
      <w:r>
        <w:rPr>
          <w:rFonts w:ascii="仿宋_GB2312" w:eastAsia="仿宋_GB2312" w:cs="DengXian-Regular"/>
          <w:sz w:val="32"/>
          <w:szCs w:val="32"/>
        </w:rPr>
        <w:t>最低生活保障、两残补贴、重点优抚对象抚恤金等资金2018年度之前都是财政代发，从2018年度开始由民政局发放，所以一般公共预算收入相比2017年增加</w:t>
      </w:r>
      <w:r>
        <w:rPr>
          <w:rFonts w:hint="eastAsia" w:ascii="仿宋_GB2312" w:eastAsia="仿宋_GB2312" w:cs="DengXian-Regular"/>
          <w:sz w:val="32"/>
          <w:szCs w:val="32"/>
        </w:rPr>
        <w:t>；本年支出</w:t>
      </w:r>
      <w:r>
        <w:rPr>
          <w:rFonts w:ascii="仿宋_GB2312" w:eastAsia="仿宋_GB2312" w:cs="DengXian-Regular"/>
          <w:sz w:val="32"/>
          <w:szCs w:val="32"/>
        </w:rPr>
        <w:t>71129111.04</w:t>
      </w:r>
      <w:r>
        <w:rPr>
          <w:rFonts w:hint="eastAsia" w:ascii="仿宋_GB2312" w:eastAsia="仿宋_GB2312" w:cs="DengXian-Regular"/>
          <w:sz w:val="32"/>
          <w:szCs w:val="32"/>
        </w:rPr>
        <w:t>万元，比2017年度增加</w:t>
      </w:r>
      <w:r>
        <w:rPr>
          <w:rFonts w:ascii="仿宋_GB2312" w:eastAsia="仿宋_GB2312" w:cs="DengXian-Regular"/>
          <w:sz w:val="32"/>
          <w:szCs w:val="32"/>
        </w:rPr>
        <w:t>39841424.01</w:t>
      </w:r>
      <w:r>
        <w:rPr>
          <w:rFonts w:hint="eastAsia" w:ascii="仿宋_GB2312" w:eastAsia="仿宋_GB2312" w:cs="DengXian-Regular"/>
          <w:sz w:val="32"/>
          <w:szCs w:val="32"/>
        </w:rPr>
        <w:t>万元，增长</w:t>
      </w:r>
      <w:r>
        <w:rPr>
          <w:rFonts w:ascii="仿宋_GB2312" w:eastAsia="仿宋_GB2312" w:cs="DengXian-Regular"/>
          <w:sz w:val="32"/>
          <w:szCs w:val="32"/>
        </w:rPr>
        <w:t>127.3</w:t>
      </w:r>
      <w:r>
        <w:rPr>
          <w:rFonts w:hint="eastAsia" w:ascii="仿宋_GB2312" w:eastAsia="仿宋_GB2312" w:cs="DengXian-Regular"/>
          <w:sz w:val="32"/>
          <w:szCs w:val="32"/>
        </w:rPr>
        <w:t>%，主要原因是</w:t>
      </w:r>
      <w:r>
        <w:rPr>
          <w:rFonts w:ascii="仿宋_GB2312" w:eastAsia="仿宋_GB2312" w:cs="DengXian-Regular"/>
          <w:sz w:val="32"/>
          <w:szCs w:val="32"/>
        </w:rPr>
        <w:t>最低生活保障、两残补贴、重点优抚对象抚恤金等资金2018年度之前都是财政代发，从2018年度开始由民政局发放，所以一般公共预算支出相比2017年增加</w:t>
      </w:r>
      <w:r>
        <w:rPr>
          <w:rFonts w:hint="eastAsia" w:ascii="仿宋_GB2312" w:eastAsia="仿宋_GB2312" w:cs="DengXian-Regular"/>
          <w:sz w:val="32"/>
          <w:szCs w:val="32"/>
        </w:rPr>
        <w:t>。政府性基金预算财政拨款本年收入</w:t>
      </w:r>
      <w:r>
        <w:rPr>
          <w:rFonts w:ascii="仿宋_GB2312" w:eastAsia="仿宋_GB2312" w:cs="DengXian-Regular"/>
          <w:sz w:val="32"/>
          <w:szCs w:val="32"/>
        </w:rPr>
        <w:t>1183.78</w:t>
      </w:r>
      <w:r>
        <w:rPr>
          <w:rFonts w:hint="eastAsia" w:ascii="仿宋_GB2312" w:eastAsia="仿宋_GB2312" w:cs="DengXian-Regular"/>
          <w:sz w:val="32"/>
          <w:szCs w:val="32"/>
        </w:rPr>
        <w:t>万元，比2017年度增加</w:t>
      </w:r>
      <w:r>
        <w:rPr>
          <w:rFonts w:ascii="仿宋_GB2312" w:eastAsia="仿宋_GB2312" w:cs="DengXian-Regular"/>
          <w:sz w:val="32"/>
          <w:szCs w:val="32"/>
        </w:rPr>
        <w:t>1183.78</w:t>
      </w:r>
      <w:r>
        <w:rPr>
          <w:rFonts w:hint="eastAsia" w:ascii="仿宋_GB2312" w:eastAsia="仿宋_GB2312" w:cs="DengXian-Regular"/>
          <w:sz w:val="32"/>
          <w:szCs w:val="32"/>
        </w:rPr>
        <w:t>万元，增长</w:t>
      </w:r>
      <w:r>
        <w:rPr>
          <w:rFonts w:ascii="仿宋_GB2312" w:eastAsia="仿宋_GB2312" w:cs="DengXian-Regular"/>
          <w:sz w:val="32"/>
          <w:szCs w:val="32"/>
        </w:rPr>
        <w:t>100</w:t>
      </w:r>
      <w:r>
        <w:rPr>
          <w:rFonts w:hint="eastAsia" w:ascii="仿宋_GB2312" w:eastAsia="仿宋_GB2312" w:cs="DengXian-Regular"/>
          <w:sz w:val="32"/>
          <w:szCs w:val="32"/>
        </w:rPr>
        <w:t>%，主要原因是</w:t>
      </w:r>
      <w:r>
        <w:rPr>
          <w:rFonts w:ascii="仿宋_GB2312" w:eastAsia="仿宋_GB2312" w:cs="DengXian-Regular"/>
          <w:sz w:val="32"/>
          <w:szCs w:val="32"/>
        </w:rPr>
        <w:t>国家增加了对彩票公益金资金的拨付</w:t>
      </w:r>
      <w:r>
        <w:rPr>
          <w:rFonts w:hint="eastAsia" w:ascii="仿宋_GB2312" w:eastAsia="仿宋_GB2312" w:cs="DengXian-Regular"/>
          <w:sz w:val="32"/>
          <w:szCs w:val="32"/>
        </w:rPr>
        <w:t>；本年支出</w:t>
      </w:r>
      <w:r>
        <w:rPr>
          <w:rFonts w:ascii="仿宋_GB2312" w:eastAsia="仿宋_GB2312" w:cs="DengXian-Regular"/>
          <w:sz w:val="32"/>
          <w:szCs w:val="32"/>
        </w:rPr>
        <w:t>859.55</w:t>
      </w:r>
      <w:r>
        <w:rPr>
          <w:rFonts w:hint="eastAsia" w:ascii="仿宋_GB2312" w:eastAsia="仿宋_GB2312" w:cs="DengXian-Regular"/>
          <w:sz w:val="32"/>
          <w:szCs w:val="32"/>
        </w:rPr>
        <w:t>万元，比2017年度增加</w:t>
      </w:r>
      <w:r>
        <w:rPr>
          <w:rFonts w:ascii="仿宋_GB2312" w:eastAsia="仿宋_GB2312" w:cs="DengXian-Regular"/>
          <w:sz w:val="32"/>
          <w:szCs w:val="32"/>
        </w:rPr>
        <w:t>702.66</w:t>
      </w:r>
      <w:r>
        <w:rPr>
          <w:rFonts w:hint="eastAsia" w:ascii="仿宋_GB2312" w:eastAsia="仿宋_GB2312" w:cs="DengXian-Regular"/>
          <w:sz w:val="32"/>
          <w:szCs w:val="32"/>
        </w:rPr>
        <w:t>万元，增长</w:t>
      </w:r>
      <w:r>
        <w:rPr>
          <w:rFonts w:ascii="仿宋_GB2312" w:eastAsia="仿宋_GB2312" w:cs="DengXian-Regular"/>
          <w:sz w:val="32"/>
          <w:szCs w:val="32"/>
        </w:rPr>
        <w:t>447.</w:t>
      </w:r>
      <w:r>
        <w:rPr>
          <w:rFonts w:hint="eastAsia" w:ascii="仿宋_GB2312" w:eastAsia="仿宋_GB2312" w:cs="DengXian-Regular"/>
          <w:sz w:val="32"/>
          <w:szCs w:val="32"/>
        </w:rPr>
        <w:t>9%，主要原因是</w:t>
      </w:r>
      <w:r>
        <w:rPr>
          <w:rFonts w:ascii="仿宋_GB2312" w:eastAsia="仿宋_GB2312" w:cs="DengXian-Regular"/>
          <w:sz w:val="32"/>
          <w:szCs w:val="32"/>
        </w:rPr>
        <w:t>2018年度福彩公益金增加了分成支出和养老服务体系公益金支出</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2018年度形成的财政拨款收支均为一般公共预算财政拨款，其中一般公共预算财政拨款本年收入</w:t>
      </w:r>
      <w:r>
        <w:rPr>
          <w:rFonts w:hint="eastAsia" w:ascii="宋体" w:cs="宋体"/>
          <w:sz w:val="32"/>
          <w:szCs w:val="32"/>
        </w:rPr>
        <w:t>369.46</w:t>
      </w:r>
      <w:r>
        <w:rPr>
          <w:rFonts w:hint="eastAsia" w:ascii="仿宋_GB2312" w:eastAsia="仿宋_GB2312" w:cs="DengXian-Regular"/>
          <w:sz w:val="32"/>
          <w:szCs w:val="32"/>
        </w:rPr>
        <w:t>万元,比2017年度增加</w:t>
      </w:r>
      <w:r>
        <w:rPr>
          <w:rFonts w:hint="eastAsia" w:ascii="宋体" w:cs="宋体"/>
          <w:sz w:val="32"/>
          <w:szCs w:val="32"/>
        </w:rPr>
        <w:t>24.02</w:t>
      </w:r>
      <w:r>
        <w:rPr>
          <w:rFonts w:hint="eastAsia" w:ascii="仿宋_GB2312" w:eastAsia="仿宋_GB2312" w:cs="DengXian-Regular"/>
          <w:sz w:val="32"/>
          <w:szCs w:val="32"/>
        </w:rPr>
        <w:t>万元，增长</w:t>
      </w:r>
      <w:r>
        <w:rPr>
          <w:rFonts w:hint="eastAsia" w:ascii="宋体" w:cs="宋体"/>
          <w:sz w:val="32"/>
          <w:szCs w:val="32"/>
        </w:rPr>
        <w:t>6.5</w:t>
      </w:r>
      <w:r>
        <w:rPr>
          <w:rFonts w:hint="eastAsia" w:ascii="仿宋_GB2312" w:eastAsia="仿宋_GB2312" w:cs="DengXian-Regular"/>
          <w:sz w:val="32"/>
          <w:szCs w:val="32"/>
        </w:rPr>
        <w:t>%，主要原因是员工工资的增加；本年支出</w:t>
      </w:r>
      <w:r>
        <w:rPr>
          <w:rFonts w:hint="eastAsia" w:ascii="宋体" w:cs="宋体"/>
          <w:sz w:val="32"/>
          <w:szCs w:val="32"/>
        </w:rPr>
        <w:t>378.3</w:t>
      </w:r>
      <w:r>
        <w:rPr>
          <w:rFonts w:hint="eastAsia" w:ascii="仿宋_GB2312" w:eastAsia="仿宋_GB2312" w:cs="DengXian-Regular"/>
          <w:sz w:val="32"/>
          <w:szCs w:val="32"/>
        </w:rPr>
        <w:t>万元，增加</w:t>
      </w:r>
      <w:r>
        <w:rPr>
          <w:rFonts w:hint="eastAsia" w:ascii="宋体" w:cs="宋体"/>
          <w:sz w:val="32"/>
          <w:szCs w:val="32"/>
        </w:rPr>
        <w:t>49.15</w:t>
      </w:r>
      <w:r>
        <w:rPr>
          <w:rFonts w:hint="eastAsia" w:ascii="仿宋_GB2312" w:eastAsia="仿宋_GB2312" w:cs="DengXian-Regular"/>
          <w:sz w:val="32"/>
          <w:szCs w:val="32"/>
        </w:rPr>
        <w:t>万元，增长</w:t>
      </w:r>
      <w:r>
        <w:rPr>
          <w:rFonts w:hint="eastAsia" w:ascii="宋体" w:cs="宋体"/>
          <w:sz w:val="32"/>
          <w:szCs w:val="32"/>
        </w:rPr>
        <w:t>14.9</w:t>
      </w:r>
      <w:r>
        <w:rPr>
          <w:rFonts w:hint="eastAsia" w:ascii="仿宋_GB2312" w:eastAsia="仿宋_GB2312" w:cs="DengXian-Regular"/>
          <w:sz w:val="32"/>
          <w:szCs w:val="32"/>
        </w:rPr>
        <w:t>%，主要原因是工资的增加和日常开支的增加。</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2018年度形成的财政拨款收支均为一般公共预算财政拨款，其中一般公共预算财政拨款本年收入150.38万元,比2017年度增加33.91万元，增长29.1%，主要原因是</w:t>
      </w:r>
      <w:r>
        <w:rPr>
          <w:rFonts w:ascii="仿宋_GB2312" w:eastAsia="仿宋_GB2312" w:cs="DengXian-Regular"/>
          <w:sz w:val="32"/>
          <w:szCs w:val="32"/>
        </w:rPr>
        <w:t>较上年</w:t>
      </w:r>
      <w:r>
        <w:rPr>
          <w:rFonts w:hint="eastAsia" w:ascii="仿宋_GB2312" w:eastAsia="仿宋_GB2312" w:cs="DengXian-Regular"/>
          <w:sz w:val="32"/>
          <w:szCs w:val="32"/>
        </w:rPr>
        <w:t>工资的上调；本年支出145.32万元，增加24.3万元，增长20.1%，主要原因是</w:t>
      </w:r>
      <w:r>
        <w:rPr>
          <w:rFonts w:ascii="仿宋_GB2312" w:eastAsia="仿宋_GB2312" w:cs="DengXian-Regular"/>
          <w:sz w:val="32"/>
          <w:szCs w:val="32"/>
        </w:rPr>
        <w:t>较上年</w:t>
      </w:r>
      <w:r>
        <w:rPr>
          <w:rFonts w:hint="eastAsia" w:ascii="仿宋_GB2312" w:eastAsia="仿宋_GB2312" w:cs="DengXian-Regular"/>
          <w:sz w:val="32"/>
          <w:szCs w:val="32"/>
        </w:rPr>
        <w:t>工资的上调，日常开支维修费的增加等。</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下属干休所</w:t>
      </w:r>
      <w:r>
        <w:rPr>
          <w:rFonts w:hint="eastAsia" w:ascii="仿宋_GB2312" w:eastAsia="仿宋_GB2312" w:cs="DengXian-Regular"/>
          <w:sz w:val="32"/>
          <w:szCs w:val="32"/>
        </w:rPr>
        <w:t>2018年度形成的财政拨款收支均为一般公共预算财政拨款，其中一般公共预算财政拨款本年收入2783</w:t>
      </w:r>
      <w:r>
        <w:rPr>
          <w:rFonts w:hint="eastAsia" w:ascii="宋体" w:cs="宋体"/>
          <w:sz w:val="32"/>
          <w:szCs w:val="32"/>
        </w:rPr>
        <w:t>.17</w:t>
      </w:r>
      <w:r>
        <w:rPr>
          <w:rFonts w:hint="eastAsia" w:ascii="仿宋_GB2312" w:eastAsia="仿宋_GB2312" w:cs="DengXian-Regular"/>
          <w:sz w:val="32"/>
          <w:szCs w:val="32"/>
        </w:rPr>
        <w:t>万元,比2017年度增加2563</w:t>
      </w:r>
      <w:r>
        <w:rPr>
          <w:rFonts w:hint="eastAsia" w:ascii="宋体" w:cs="宋体"/>
          <w:sz w:val="32"/>
          <w:szCs w:val="32"/>
        </w:rPr>
        <w:t>.92</w:t>
      </w:r>
      <w:r>
        <w:rPr>
          <w:rFonts w:hint="eastAsia" w:ascii="仿宋_GB2312" w:eastAsia="仿宋_GB2312" w:cs="DengXian-Regular"/>
          <w:sz w:val="32"/>
          <w:szCs w:val="32"/>
        </w:rPr>
        <w:t>万元，增长1170.0%，主要原因</w:t>
      </w:r>
      <w:bookmarkStart w:id="0" w:name="_GoBack"/>
      <w:bookmarkEnd w:id="0"/>
      <w:r>
        <w:rPr>
          <w:rFonts w:hint="eastAsia" w:ascii="仿宋_GB2312" w:eastAsia="仿宋_GB2312" w:cs="DengXian-Regular"/>
          <w:sz w:val="32"/>
          <w:szCs w:val="32"/>
        </w:rPr>
        <w:t>是退休无军籍职工工资参加了决算；本年支出2700</w:t>
      </w:r>
      <w:r>
        <w:rPr>
          <w:rFonts w:hint="eastAsia" w:ascii="宋体" w:cs="宋体"/>
          <w:sz w:val="32"/>
          <w:szCs w:val="32"/>
        </w:rPr>
        <w:t>.1</w:t>
      </w:r>
      <w:r>
        <w:rPr>
          <w:rFonts w:hint="eastAsia" w:ascii="仿宋_GB2312" w:eastAsia="仿宋_GB2312" w:cs="DengXian-Regular"/>
          <w:sz w:val="32"/>
          <w:szCs w:val="32"/>
        </w:rPr>
        <w:t>万元，增加2</w:t>
      </w:r>
      <w:r>
        <w:rPr>
          <w:rFonts w:hint="eastAsia" w:ascii="宋体" w:cs="宋体"/>
          <w:sz w:val="32"/>
          <w:szCs w:val="32"/>
        </w:rPr>
        <w:t>438.24</w:t>
      </w:r>
      <w:r>
        <w:rPr>
          <w:rFonts w:hint="eastAsia" w:ascii="仿宋_GB2312" w:eastAsia="仿宋_GB2312" w:cs="DengXian-Regular"/>
          <w:sz w:val="32"/>
          <w:szCs w:val="32"/>
        </w:rPr>
        <w:t>万元，增长</w:t>
      </w:r>
      <w:r>
        <w:rPr>
          <w:rFonts w:hint="eastAsia" w:ascii="宋体" w:cs="宋体"/>
          <w:sz w:val="32"/>
          <w:szCs w:val="32"/>
        </w:rPr>
        <w:t>932.0</w:t>
      </w:r>
      <w:r>
        <w:rPr>
          <w:rFonts w:hint="eastAsia" w:ascii="仿宋_GB2312" w:eastAsia="仿宋_GB2312" w:cs="DengXian-Regular"/>
          <w:sz w:val="32"/>
          <w:szCs w:val="32"/>
        </w:rPr>
        <w:t>%，主要原因是退休无军籍职工工资参加了决算。</w:t>
      </w:r>
    </w:p>
    <w:p>
      <w:pPr>
        <w:spacing w:after="0" w:line="580" w:lineRule="exact"/>
        <w:ind w:firstLine="482" w:firstLineChars="15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2018年度一般公共预算财政拨款收入</w:t>
      </w:r>
      <w:r>
        <w:rPr>
          <w:rFonts w:ascii="仿宋_GB2312" w:eastAsia="仿宋_GB2312" w:cs="DengXian-Regular"/>
          <w:sz w:val="32"/>
          <w:szCs w:val="32"/>
        </w:rPr>
        <w:t>8293.22</w:t>
      </w:r>
      <w:r>
        <w:rPr>
          <w:rFonts w:hint="eastAsia" w:ascii="仿宋_GB2312" w:eastAsia="仿宋_GB2312" w:cs="DengXian-Regular"/>
          <w:sz w:val="32"/>
          <w:szCs w:val="32"/>
        </w:rPr>
        <w:t>万元，完成年初预算的</w:t>
      </w:r>
      <w:r>
        <w:rPr>
          <w:rFonts w:ascii="仿宋_GB2312" w:eastAsia="仿宋_GB2312" w:cs="DengXian-Regular"/>
          <w:sz w:val="32"/>
          <w:szCs w:val="32"/>
        </w:rPr>
        <w:t>113.8</w:t>
      </w:r>
      <w:r>
        <w:rPr>
          <w:rFonts w:hint="eastAsia" w:ascii="仿宋_GB2312" w:eastAsia="仿宋_GB2312" w:cs="DengXian-Regular"/>
          <w:sz w:val="32"/>
          <w:szCs w:val="32"/>
        </w:rPr>
        <w:t>%,比年初预算增加</w:t>
      </w:r>
      <w:r>
        <w:rPr>
          <w:rFonts w:ascii="仿宋_GB2312" w:eastAsia="仿宋_GB2312" w:cs="DengXian-Regular"/>
          <w:sz w:val="32"/>
          <w:szCs w:val="32"/>
        </w:rPr>
        <w:t>1004.37</w:t>
      </w:r>
      <w:r>
        <w:rPr>
          <w:rFonts w:hint="eastAsia" w:ascii="仿宋_GB2312" w:eastAsia="仿宋_GB2312" w:cs="DengXian-Regular"/>
          <w:sz w:val="32"/>
          <w:szCs w:val="32"/>
        </w:rPr>
        <w:t>万元，决算数大于预算数，主要原因是</w:t>
      </w:r>
      <w:r>
        <w:rPr>
          <w:rFonts w:ascii="仿宋_GB2312" w:eastAsia="仿宋_GB2312" w:cs="DengXian-Regular"/>
          <w:sz w:val="32"/>
          <w:szCs w:val="32"/>
        </w:rPr>
        <w:t>年初预算数中只包含本级配备相关资金，我单位在财政年度内会收到省级、市级及追加的各项资金所以决算数大于预算数</w:t>
      </w:r>
      <w:r>
        <w:rPr>
          <w:rFonts w:hint="eastAsia" w:ascii="仿宋_GB2312" w:eastAsia="仿宋_GB2312" w:cs="DengXian-Regular"/>
          <w:sz w:val="32"/>
          <w:szCs w:val="32"/>
        </w:rPr>
        <w:t>；本年支出</w:t>
      </w:r>
      <w:r>
        <w:rPr>
          <w:rFonts w:ascii="仿宋_GB2312" w:eastAsia="仿宋_GB2312" w:cs="DengXian-Regular"/>
          <w:sz w:val="32"/>
          <w:szCs w:val="32"/>
        </w:rPr>
        <w:t>7112.91</w:t>
      </w:r>
      <w:r>
        <w:rPr>
          <w:rFonts w:hint="eastAsia" w:ascii="仿宋_GB2312" w:eastAsia="仿宋_GB2312" w:cs="DengXian-Regular"/>
          <w:sz w:val="32"/>
          <w:szCs w:val="32"/>
        </w:rPr>
        <w:t>万元，完成年初预算的</w:t>
      </w:r>
      <w:r>
        <w:rPr>
          <w:rFonts w:ascii="仿宋_GB2312" w:eastAsia="仿宋_GB2312" w:cs="DengXian-Regular"/>
          <w:sz w:val="32"/>
          <w:szCs w:val="32"/>
        </w:rPr>
        <w:t>97.</w:t>
      </w:r>
      <w:r>
        <w:rPr>
          <w:rFonts w:hint="eastAsia" w:ascii="仿宋_GB2312" w:eastAsia="仿宋_GB2312" w:cs="DengXian-Regular"/>
          <w:sz w:val="32"/>
          <w:szCs w:val="32"/>
        </w:rPr>
        <w:t>6%,比年初预算减少</w:t>
      </w:r>
      <w:r>
        <w:rPr>
          <w:rFonts w:ascii="仿宋_GB2312" w:eastAsia="仿宋_GB2312" w:cs="DengXian-Regular"/>
          <w:sz w:val="32"/>
          <w:szCs w:val="32"/>
        </w:rPr>
        <w:t>175.94</w:t>
      </w:r>
      <w:r>
        <w:rPr>
          <w:rFonts w:hint="eastAsia" w:ascii="仿宋_GB2312" w:eastAsia="仿宋_GB2312" w:cs="DengXian-Regular"/>
          <w:sz w:val="32"/>
          <w:szCs w:val="32"/>
        </w:rPr>
        <w:t>万元，决算数小于预算数，主要原因是</w:t>
      </w:r>
      <w:r>
        <w:rPr>
          <w:rFonts w:ascii="仿宋_GB2312" w:eastAsia="仿宋_GB2312" w:cs="DengXian-Regular"/>
          <w:sz w:val="32"/>
          <w:szCs w:val="32"/>
        </w:rPr>
        <w:t>各项补贴到年底略有结余</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年度一般公共预算财政拨款收入369.46万元，完成年初预算的100%,比年初预算增加46.07万元，决算数大于预算数，主要原因是工资的增加；本年支出378.3万元，完成年初预算的100%,比年初预算增加54.91万元，决算数大于预算数，主要原因是工资的调整，日常开支的增加。</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年度一般公共预算财政拨款收入143.66万元，完成年初预算的100%,比年初预算增加8.73万元，决算数大于预算数，主要原因是工资的调整；本年支出138.60万元，完成年初预算的100%,比年初预算增加3.67万元，决算数大于预算数，主要原因是工资的上调和维修费的增加。</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下属干休所</w:t>
      </w:r>
      <w:r>
        <w:rPr>
          <w:rFonts w:hint="eastAsia" w:ascii="仿宋_GB2312" w:eastAsia="仿宋_GB2312" w:cs="DengXian-Regular"/>
          <w:sz w:val="32"/>
          <w:szCs w:val="32"/>
        </w:rPr>
        <w:t>2018年度一般公共预算财政拨款收入2783.17万元，完成年初预算的99%,比年初预算减少29.24万元，决算数小于预算数，主要原因是退休无军籍职工去世；本年支出2700.10万元，完成年初预算的96.0%,比年初预算减少112.31万元，决算数小于预算数，主要原因是退役安置机构经费是滚动支出经费。</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 年度财政拨款支出</w:t>
      </w:r>
      <w:r>
        <w:rPr>
          <w:rFonts w:ascii="仿宋_GB2312" w:eastAsia="仿宋_GB2312" w:cs="DengXian-Regular"/>
          <w:sz w:val="32"/>
          <w:szCs w:val="32"/>
        </w:rPr>
        <w:t>7972.46</w:t>
      </w:r>
      <w:r>
        <w:rPr>
          <w:rFonts w:hint="eastAsia" w:ascii="仿宋_GB2312" w:eastAsia="仿宋_GB2312" w:cs="DengXian-Regular"/>
          <w:sz w:val="32"/>
          <w:szCs w:val="32"/>
        </w:rPr>
        <w:t>万元，主要用于以下方面：一般公共服务（类）支出</w:t>
      </w:r>
      <w:r>
        <w:rPr>
          <w:rFonts w:ascii="仿宋_GB2312" w:eastAsia="仿宋_GB2312" w:cs="DengXian-Regular"/>
          <w:sz w:val="32"/>
          <w:szCs w:val="32"/>
        </w:rPr>
        <w:t>20</w:t>
      </w:r>
      <w:r>
        <w:rPr>
          <w:rFonts w:hint="eastAsia" w:ascii="仿宋_GB2312" w:eastAsia="仿宋_GB2312" w:cs="DengXian-Regular"/>
          <w:sz w:val="32"/>
          <w:szCs w:val="32"/>
        </w:rPr>
        <w:t>万元，占</w:t>
      </w:r>
      <w:r>
        <w:rPr>
          <w:rFonts w:ascii="仿宋_GB2312" w:eastAsia="仿宋_GB2312" w:cs="DengXian-Regular"/>
          <w:sz w:val="32"/>
          <w:szCs w:val="32"/>
        </w:rPr>
        <w:t>0.</w:t>
      </w:r>
      <w:r>
        <w:rPr>
          <w:rFonts w:hint="eastAsia" w:ascii="仿宋_GB2312" w:eastAsia="仿宋_GB2312" w:cs="DengXian-Regular"/>
          <w:sz w:val="32"/>
          <w:szCs w:val="32"/>
        </w:rPr>
        <w:t xml:space="preserve">3%；社会保障和就业（类）支出 </w:t>
      </w:r>
      <w:r>
        <w:rPr>
          <w:rFonts w:ascii="仿宋_GB2312" w:eastAsia="仿宋_GB2312" w:cs="DengXian-Regular"/>
          <w:sz w:val="32"/>
          <w:szCs w:val="32"/>
        </w:rPr>
        <w:t>6345.83</w:t>
      </w:r>
      <w:r>
        <w:rPr>
          <w:rFonts w:hint="eastAsia" w:ascii="仿宋_GB2312" w:eastAsia="仿宋_GB2312" w:cs="DengXian-Regular"/>
          <w:sz w:val="32"/>
          <w:szCs w:val="32"/>
        </w:rPr>
        <w:t>万元，占</w:t>
      </w:r>
      <w:r>
        <w:rPr>
          <w:rFonts w:ascii="仿宋_GB2312" w:eastAsia="仿宋_GB2312" w:cs="DengXian-Regular"/>
          <w:sz w:val="32"/>
          <w:szCs w:val="32"/>
        </w:rPr>
        <w:t>79.6</w:t>
      </w:r>
      <w:r>
        <w:rPr>
          <w:rFonts w:hint="eastAsia" w:ascii="仿宋_GB2312" w:eastAsia="仿宋_GB2312" w:cs="DengXian-Regular"/>
          <w:sz w:val="32"/>
          <w:szCs w:val="32"/>
        </w:rPr>
        <w:t>%；</w:t>
      </w:r>
      <w:r>
        <w:rPr>
          <w:rFonts w:ascii="仿宋_GB2312" w:eastAsia="仿宋_GB2312" w:cs="DengXian-Regular"/>
          <w:sz w:val="32"/>
          <w:szCs w:val="32"/>
        </w:rPr>
        <w:t>医疗卫生与计划生育（类）支出647.56万元，占8.1</w:t>
      </w:r>
      <w:r>
        <w:rPr>
          <w:rFonts w:hint="eastAsia" w:ascii="仿宋_GB2312" w:eastAsia="仿宋_GB2312" w:cs="DengXian-Regular"/>
          <w:sz w:val="32"/>
          <w:szCs w:val="32"/>
        </w:rPr>
        <w:t>%</w:t>
      </w:r>
      <w:r>
        <w:rPr>
          <w:rFonts w:ascii="仿宋_GB2312" w:eastAsia="仿宋_GB2312" w:cs="DengXian-Regular"/>
          <w:sz w:val="32"/>
          <w:szCs w:val="32"/>
        </w:rPr>
        <w:t>；农林水（类）支出3.2万元，占0.4%；住房保障支出75.84万元，占</w:t>
      </w:r>
      <w:r>
        <w:rPr>
          <w:rFonts w:hint="eastAsia" w:ascii="仿宋_GB2312" w:eastAsia="仿宋_GB2312" w:cs="DengXian-Regular"/>
          <w:sz w:val="32"/>
          <w:szCs w:val="32"/>
        </w:rPr>
        <w:t>1.0</w:t>
      </w:r>
      <w:r>
        <w:rPr>
          <w:rFonts w:ascii="仿宋_GB2312" w:eastAsia="仿宋_GB2312" w:cs="DengXian-Regular"/>
          <w:sz w:val="32"/>
          <w:szCs w:val="32"/>
        </w:rPr>
        <w:t>%；其它支出880.03万元，占11%。</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 年度财政拨款支出378.3万元，主要用于以下方面：一般公共服务（类）支出0万元，占0%；公共安全（类）支出0万元，占0%；教育（类）支出0万元，占0%；科学技术（类）支出0万元，占0%；社会保障和就业（类）支出 370万元，占x%；住房保障（类）支出 万元，占97.8 %，医疗卫生与计划生育支出（类）8.31万元，占2.2%。</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 年度财政拨款支出145.32万元，主要用于以下方面：一般公共服务（类）支出0万元，占0%；公共安全（类）支出0万元，占0%；教育（类）支出0万元，占0%；科学技术（类）支出0万元，占0%；社会保障和就业（类）支出140.28万元，占96.5%；住房保障（类）支出0万元，占0%;医疗卫生与计划生育支出（类）支出5.04万元，占3.5%。</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下属干休所</w:t>
      </w:r>
      <w:r>
        <w:rPr>
          <w:rFonts w:hint="eastAsia" w:ascii="仿宋_GB2312" w:eastAsia="仿宋_GB2312" w:cs="DengXian-Regular"/>
          <w:sz w:val="32"/>
          <w:szCs w:val="32"/>
        </w:rPr>
        <w:t>2018 年度财政拨款支出2700.10万元，主要用于以下方面社会保障和就业（类）支出 2696.70万元，占99.99%；医疗卫生与计划生育支出：3.40万元，占0.01%。</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 年度一般公共预算财政拨款基本支出</w:t>
      </w:r>
      <w:r>
        <w:rPr>
          <w:rFonts w:ascii="仿宋_GB2312" w:eastAsia="仿宋_GB2312" w:cs="DengXian-Regular"/>
          <w:sz w:val="32"/>
          <w:szCs w:val="32"/>
        </w:rPr>
        <w:t>1305.76</w:t>
      </w:r>
      <w:r>
        <w:rPr>
          <w:rFonts w:hint="eastAsia" w:ascii="仿宋_GB2312" w:eastAsia="仿宋_GB2312" w:cs="DengXian-Regular"/>
          <w:sz w:val="32"/>
          <w:szCs w:val="32"/>
        </w:rPr>
        <w:t>万元，其中：人员经费</w:t>
      </w:r>
      <w:r>
        <w:rPr>
          <w:rFonts w:ascii="仿宋_GB2312" w:eastAsia="仿宋_GB2312" w:cs="DengXian-Regular"/>
          <w:sz w:val="32"/>
          <w:szCs w:val="32"/>
        </w:rPr>
        <w:t>1135.31</w:t>
      </w:r>
      <w:r>
        <w:rPr>
          <w:rFonts w:hint="eastAsia" w:ascii="仿宋_GB2312" w:eastAsia="仿宋_GB2312" w:cs="DengXian-Regular"/>
          <w:sz w:val="32"/>
          <w:szCs w:val="32"/>
        </w:rPr>
        <w:t>万元，主要包括基本工资、津贴补贴、奖金、绩效工资、机关事业单位基本养老保险缴费、职业年金缴费、职工基本医疗保险缴费、公务员医疗补助缴费、住房公积金、医疗费、其他社会保障缴费</w:t>
      </w:r>
      <w:r>
        <w:rPr>
          <w:rFonts w:ascii="仿宋_GB2312" w:eastAsia="仿宋_GB2312" w:cs="DengXian-Regular"/>
          <w:sz w:val="32"/>
          <w:szCs w:val="32"/>
        </w:rPr>
        <w:t>、</w:t>
      </w:r>
      <w:r>
        <w:rPr>
          <w:rFonts w:hint="eastAsia" w:ascii="仿宋_GB2312" w:eastAsia="仿宋_GB2312" w:cs="DengXian-Regular"/>
          <w:sz w:val="32"/>
          <w:szCs w:val="32"/>
        </w:rPr>
        <w:t>离休费、退休费、抚恤金、生活补助、医疗费补助、奖励金、其他对个人和家庭的补助支出等；公用经费</w:t>
      </w:r>
      <w:r>
        <w:rPr>
          <w:rFonts w:ascii="仿宋_GB2312" w:eastAsia="仿宋_GB2312" w:cs="DengXian-Regular"/>
          <w:sz w:val="32"/>
          <w:szCs w:val="32"/>
        </w:rPr>
        <w:t>170.45</w:t>
      </w:r>
      <w:r>
        <w:rPr>
          <w:rFonts w:hint="eastAsia" w:ascii="仿宋_GB2312" w:eastAsia="仿宋_GB2312" w:cs="DengXian-Regular"/>
          <w:sz w:val="32"/>
          <w:szCs w:val="32"/>
        </w:rPr>
        <w:t>万元，主要包括办公费、印刷费、水费、电费、邮电费、取暖费、差旅费、维修（护）费、培训费、公务用车运行维护费、其他商品和服务支出。</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下属敬老院</w:t>
      </w:r>
      <w:r>
        <w:rPr>
          <w:rFonts w:hint="eastAsia" w:ascii="仿宋_GB2312" w:eastAsia="仿宋_GB2312" w:cs="DengXian-Regular"/>
          <w:sz w:val="32"/>
          <w:szCs w:val="32"/>
        </w:rPr>
        <w:t>2018 年度一般公共预算财政拨款基本支出</w:t>
      </w:r>
      <w:r>
        <w:rPr>
          <w:rFonts w:hint="eastAsia" w:ascii="宋体" w:cs="宋体"/>
          <w:sz w:val="32"/>
          <w:szCs w:val="32"/>
        </w:rPr>
        <w:t>291.3</w:t>
      </w:r>
      <w:r>
        <w:rPr>
          <w:rFonts w:hint="eastAsia" w:ascii="仿宋_GB2312" w:eastAsia="仿宋_GB2312" w:cs="DengXian-Regular"/>
          <w:sz w:val="32"/>
          <w:szCs w:val="32"/>
        </w:rPr>
        <w:t xml:space="preserve">万元，其中：人员经费 </w:t>
      </w:r>
      <w:r>
        <w:rPr>
          <w:rFonts w:hint="eastAsia" w:ascii="宋体" w:cs="宋体"/>
          <w:sz w:val="32"/>
          <w:szCs w:val="32"/>
        </w:rPr>
        <w:t>255.01</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宋体" w:cs="宋体"/>
          <w:sz w:val="32"/>
          <w:szCs w:val="32"/>
        </w:rPr>
        <w:t>36.29</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下属光荣院</w:t>
      </w:r>
      <w:r>
        <w:rPr>
          <w:rFonts w:hint="eastAsia" w:ascii="仿宋_GB2312" w:eastAsia="仿宋_GB2312" w:cs="DengXian-Regular"/>
          <w:sz w:val="32"/>
          <w:szCs w:val="32"/>
        </w:rPr>
        <w:t>2018 年度一般公共预算财政拨款基本支出135</w:t>
      </w:r>
      <w:r>
        <w:rPr>
          <w:rFonts w:hint="eastAsia" w:ascii="宋体" w:cs="宋体"/>
          <w:sz w:val="32"/>
          <w:szCs w:val="32"/>
        </w:rPr>
        <w:t>.53</w:t>
      </w:r>
      <w:r>
        <w:rPr>
          <w:rFonts w:hint="eastAsia" w:ascii="仿宋_GB2312" w:eastAsia="仿宋_GB2312" w:cs="DengXian-Regular"/>
          <w:sz w:val="32"/>
          <w:szCs w:val="32"/>
        </w:rPr>
        <w:t>万元，其中：人员经费 127</w:t>
      </w:r>
      <w:r>
        <w:rPr>
          <w:rFonts w:hint="eastAsia" w:ascii="宋体" w:cs="宋体"/>
          <w:sz w:val="32"/>
          <w:szCs w:val="32"/>
        </w:rPr>
        <w:t>.74</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7</w:t>
      </w:r>
      <w:r>
        <w:rPr>
          <w:rFonts w:hint="eastAsia" w:ascii="宋体" w:cs="宋体"/>
          <w:sz w:val="32"/>
          <w:szCs w:val="32"/>
        </w:rPr>
        <w:t>.80</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下属干休所</w:t>
      </w:r>
      <w:r>
        <w:rPr>
          <w:rFonts w:hint="eastAsia" w:ascii="仿宋_GB2312" w:eastAsia="仿宋_GB2312" w:cs="DengXian-Regular"/>
          <w:sz w:val="32"/>
          <w:szCs w:val="32"/>
        </w:rPr>
        <w:t>2018 年度一般公共预算财政拨款基本支出1601</w:t>
      </w:r>
      <w:r>
        <w:rPr>
          <w:rFonts w:hint="eastAsia" w:ascii="宋体" w:cs="宋体"/>
          <w:sz w:val="32"/>
          <w:szCs w:val="32"/>
        </w:rPr>
        <w:t>.73</w:t>
      </w:r>
      <w:r>
        <w:rPr>
          <w:rFonts w:hint="eastAsia" w:ascii="仿宋_GB2312" w:eastAsia="仿宋_GB2312" w:cs="DengXian-Regular"/>
          <w:sz w:val="32"/>
          <w:szCs w:val="32"/>
        </w:rPr>
        <w:t>万元，其中：人员经费 15</w:t>
      </w:r>
      <w:r>
        <w:rPr>
          <w:rFonts w:hint="eastAsia" w:ascii="宋体" w:cs="宋体"/>
          <w:sz w:val="32"/>
          <w:szCs w:val="32"/>
        </w:rPr>
        <w:t>98.38</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3</w:t>
      </w:r>
      <w:r>
        <w:rPr>
          <w:rFonts w:hint="eastAsia" w:ascii="宋体" w:cs="宋体"/>
          <w:sz w:val="32"/>
          <w:szCs w:val="32"/>
        </w:rPr>
        <w:t>.35</w:t>
      </w:r>
      <w:r>
        <w:rPr>
          <w:rFonts w:hint="eastAsia" w:ascii="仿宋_GB2312" w:eastAsia="仿宋_GB2312" w:cs="DengXian-Regular"/>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hint="eastAsia" w:eastAsia="仿宋_GB2312"/>
          <w:sz w:val="32"/>
          <w:szCs w:val="32"/>
        </w:rPr>
        <w:t>本部门</w:t>
      </w:r>
      <w:r>
        <w:rPr>
          <w:rFonts w:eastAsia="仿宋_GB2312"/>
          <w:sz w:val="32"/>
          <w:szCs w:val="32"/>
        </w:rPr>
        <w:t>201</w:t>
      </w:r>
      <w:r>
        <w:rPr>
          <w:rFonts w:hint="eastAsia" w:eastAsia="仿宋_GB2312"/>
          <w:sz w:val="32"/>
          <w:szCs w:val="32"/>
        </w:rPr>
        <w:t>8</w:t>
      </w:r>
      <w:r>
        <w:rPr>
          <w:rFonts w:eastAsia="仿宋_GB2312"/>
          <w:sz w:val="32"/>
          <w:szCs w:val="32"/>
        </w:rPr>
        <w:t>年度一般公共预算财政拨款“三公”经费支出共计2.41万元，</w:t>
      </w:r>
      <w:r>
        <w:rPr>
          <w:rFonts w:hint="eastAsia" w:eastAsia="仿宋_GB2312"/>
          <w:sz w:val="32"/>
          <w:szCs w:val="32"/>
        </w:rPr>
        <w:t>比</w:t>
      </w:r>
      <w:r>
        <w:rPr>
          <w:rFonts w:eastAsia="仿宋_GB2312"/>
          <w:sz w:val="32"/>
          <w:szCs w:val="32"/>
        </w:rPr>
        <w:t>年初预算增加0.11万元，增长4.8%，主要</w:t>
      </w:r>
      <w:r>
        <w:rPr>
          <w:rFonts w:hint="eastAsia" w:ascii="仿宋_GB2312" w:eastAsia="仿宋_GB2312" w:cs="DengXian-Regular"/>
          <w:sz w:val="32"/>
          <w:szCs w:val="32"/>
        </w:rPr>
        <w:t>原因</w:t>
      </w:r>
      <w:r>
        <w:rPr>
          <w:rFonts w:eastAsia="仿宋_GB2312"/>
          <w:sz w:val="32"/>
          <w:szCs w:val="32"/>
        </w:rPr>
        <w:t>是1.公务用车车辆老化，检修频繁2下乡任务加重；</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年度决算增加0.44万元，增长22.</w:t>
      </w:r>
      <w:r>
        <w:rPr>
          <w:rFonts w:hint="eastAsia" w:eastAsia="仿宋_GB2312"/>
          <w:sz w:val="32"/>
          <w:szCs w:val="32"/>
        </w:rPr>
        <w:t>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是公务用车车辆老化，检修频繁。具体情况如下：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（二）公务用车购置及运行维护费支出2.41万元。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增加0.11万元</w:t>
      </w:r>
      <w:r>
        <w:rPr>
          <w:rFonts w:hint="eastAsia" w:ascii="仿宋_GB2312" w:eastAsia="仿宋_GB2312" w:cs="DengXian-Regular"/>
          <w:sz w:val="32"/>
          <w:szCs w:val="32"/>
        </w:rPr>
        <w:t>，</w:t>
      </w:r>
      <w:r>
        <w:rPr>
          <w:rFonts w:eastAsia="仿宋_GB2312"/>
          <w:sz w:val="32"/>
          <w:szCs w:val="32"/>
        </w:rPr>
        <w:t>增长4.8%</w:t>
      </w:r>
      <w:r>
        <w:rPr>
          <w:rFonts w:hint="eastAsia" w:ascii="仿宋_GB2312" w:eastAsia="仿宋_GB2312" w:cs="DengXian-Regular"/>
          <w:sz w:val="32"/>
          <w:szCs w:val="32"/>
        </w:rPr>
        <w:t>,主要原因是</w:t>
      </w:r>
      <w:r>
        <w:rPr>
          <w:rFonts w:eastAsia="仿宋_GB2312"/>
          <w:sz w:val="32"/>
          <w:szCs w:val="32"/>
        </w:rPr>
        <w:t>1.公务用车车辆老化，检修频繁。2下乡任务加重</w:t>
      </w:r>
      <w:r>
        <w:rPr>
          <w:rFonts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年度决算增加0.44万元，增长22.</w:t>
      </w:r>
      <w:r>
        <w:rPr>
          <w:rFonts w:hint="eastAsia" w:eastAsia="仿宋_GB2312"/>
          <w:sz w:val="32"/>
          <w:szCs w:val="32"/>
        </w:rPr>
        <w:t>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是公务用车车辆老化，检修频繁。</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年度公务用车购置数量0辆。公务用车购置费支出</w:t>
      </w:r>
      <w:r>
        <w:rPr>
          <w:rFonts w:hint="eastAsia" w:eastAsia="仿宋_GB2312"/>
          <w:sz w:val="32"/>
          <w:szCs w:val="32"/>
        </w:rPr>
        <w:t>比</w:t>
      </w:r>
      <w:r>
        <w:rPr>
          <w:rFonts w:eastAsia="仿宋_GB2312"/>
          <w:sz w:val="32"/>
          <w:szCs w:val="32"/>
        </w:rPr>
        <w:t>年初预算无增减变化；</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公务用车运行维护费支出2.41万元。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年末单位公务用车保有量1辆。公车运行维护费支出</w:t>
      </w:r>
      <w:r>
        <w:rPr>
          <w:rFonts w:hint="eastAsia" w:eastAsia="仿宋_GB2312"/>
          <w:sz w:val="32"/>
          <w:szCs w:val="32"/>
        </w:rPr>
        <w:t>比</w:t>
      </w:r>
      <w:r>
        <w:rPr>
          <w:rFonts w:eastAsia="仿宋_GB2312"/>
          <w:sz w:val="32"/>
          <w:szCs w:val="32"/>
        </w:rPr>
        <w:t>年初预算增加0.11万元，增长4.8%，主要</w:t>
      </w:r>
      <w:r>
        <w:rPr>
          <w:rFonts w:hint="eastAsia" w:ascii="仿宋_GB2312" w:eastAsia="仿宋_GB2312" w:cs="DengXian-Regular"/>
          <w:sz w:val="32"/>
          <w:szCs w:val="32"/>
        </w:rPr>
        <w:t>原因</w:t>
      </w:r>
      <w:r>
        <w:rPr>
          <w:rFonts w:eastAsia="仿宋_GB2312"/>
          <w:sz w:val="32"/>
          <w:szCs w:val="32"/>
        </w:rPr>
        <w:t>是1.公务用车车辆老化，检修频繁2下乡任务加重；</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年度决算0.44万元，增长22.</w:t>
      </w:r>
      <w:r>
        <w:rPr>
          <w:rFonts w:hint="eastAsia" w:eastAsia="仿宋_GB2312"/>
          <w:sz w:val="32"/>
          <w:szCs w:val="32"/>
        </w:rPr>
        <w:t>4</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是1.公务用车车辆老化，检修频繁2下乡任务加重。</w:t>
      </w:r>
    </w:p>
    <w:p>
      <w:pPr>
        <w:adjustRightInd w:val="0"/>
        <w:snapToGrid w:val="0"/>
        <w:spacing w:line="584" w:lineRule="exact"/>
        <w:ind w:firstLine="643" w:firstLineChars="200"/>
        <w:rPr>
          <w:rFonts w:eastAsia="仿宋_GB2312"/>
          <w:sz w:val="32"/>
          <w:szCs w:val="32"/>
        </w:rPr>
      </w:pPr>
      <w:r>
        <w:rPr>
          <w:rFonts w:eastAsia="楷体_GB2312"/>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年度公务接待共0批次、0人次。公务接待费支出</w:t>
      </w:r>
      <w:r>
        <w:rPr>
          <w:rFonts w:hint="eastAsia" w:eastAsia="仿宋_GB2312"/>
          <w:sz w:val="32"/>
          <w:szCs w:val="32"/>
        </w:rPr>
        <w:t>比</w:t>
      </w:r>
      <w:r>
        <w:rPr>
          <w:rFonts w:eastAsia="仿宋_GB2312"/>
          <w:sz w:val="32"/>
          <w:szCs w:val="32"/>
        </w:rPr>
        <w:t>年初预算无增减变化；</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adjustRightInd w:val="0"/>
        <w:snapToGrid w:val="0"/>
        <w:spacing w:after="0" w:line="580" w:lineRule="exact"/>
        <w:ind w:firstLine="960" w:firstLineChars="300"/>
        <w:rPr>
          <w:rFonts w:hint="eastAsia" w:ascii="仿宋_GB2312" w:eastAsia="仿宋_GB2312" w:cs="DengXian-Regular"/>
          <w:b/>
          <w:bCs/>
          <w:sz w:val="32"/>
          <w:szCs w:val="32"/>
        </w:rPr>
      </w:pPr>
      <w:r>
        <w:rPr>
          <w:rFonts w:ascii="仿宋_GB2312" w:eastAsia="仿宋_GB2312" w:cs="DengXian-Regular"/>
          <w:sz w:val="32"/>
          <w:szCs w:val="32"/>
        </w:rPr>
        <w:t>（一）</w:t>
      </w:r>
      <w:r>
        <w:rPr>
          <w:rFonts w:hint="eastAsia" w:ascii="仿宋_GB2312" w:eastAsia="仿宋_GB2312" w:cs="DengXian-Regular"/>
          <w:sz w:val="32"/>
          <w:szCs w:val="32"/>
        </w:rPr>
        <w:t>预算绩效管理工作开展情况。</w:t>
      </w:r>
    </w:p>
    <w:p>
      <w:pPr>
        <w:adjustRightInd w:val="0"/>
        <w:snapToGrid w:val="0"/>
        <w:spacing w:after="0" w:line="580" w:lineRule="exact"/>
        <w:ind w:firstLine="960" w:firstLineChars="300"/>
        <w:rPr>
          <w:rFonts w:hint="eastAsia" w:ascii="仿宋_GB2312" w:eastAsia="仿宋_GB2312" w:cs="DengXian-Regular"/>
          <w:sz w:val="32"/>
          <w:szCs w:val="32"/>
        </w:rPr>
      </w:pPr>
      <w:r>
        <w:rPr>
          <w:rFonts w:ascii="仿宋_GB2312" w:eastAsia="仿宋_GB2312" w:cs="DengXian-Regular"/>
          <w:sz w:val="32"/>
          <w:szCs w:val="32"/>
        </w:rPr>
        <w:t>根据廊坊市广阳区财政局预算绩效管理要求，我部门所有预算项目均按照</w:t>
      </w:r>
      <w:r>
        <w:rPr>
          <w:rFonts w:hint="eastAsia" w:ascii="仿宋_GB2312" w:eastAsia="仿宋_GB2312" w:cs="DengXian-Regular"/>
          <w:sz w:val="32"/>
          <w:szCs w:val="32"/>
        </w:rPr>
        <w:t>“部门职责——工作活动目录”相关内容加以分类，清晰描述预算项目开支范围，确定预算项目绩效目标和指标体系，为预算绩效控制、绩效评价打下良好的基础。</w:t>
      </w:r>
    </w:p>
    <w:p>
      <w:pPr>
        <w:adjustRightInd w:val="0"/>
        <w:snapToGrid w:val="0"/>
        <w:spacing w:after="0" w:line="580" w:lineRule="exact"/>
        <w:ind w:firstLine="640" w:firstLineChars="200"/>
        <w:rPr>
          <w:rFonts w:hint="eastAsia" w:ascii="仿宋_GB2312" w:eastAsia="仿宋_GB2312" w:cs="DengXian-Regular"/>
          <w:sz w:val="32"/>
          <w:szCs w:val="32"/>
        </w:rPr>
      </w:pPr>
      <w:r>
        <w:rPr>
          <w:rFonts w:ascii="仿宋_GB2312" w:eastAsia="仿宋_GB2312" w:cs="DengXian-Regular"/>
          <w:sz w:val="32"/>
          <w:szCs w:val="32"/>
        </w:rPr>
        <w:t>（二）</w:t>
      </w:r>
      <w:r>
        <w:rPr>
          <w:rFonts w:hint="eastAsia" w:ascii="仿宋_GB2312" w:eastAsia="仿宋_GB2312" w:cs="DengXian-Regular"/>
          <w:sz w:val="32"/>
          <w:szCs w:val="32"/>
        </w:rPr>
        <w:t>项目绩效自评结果。</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我单位按照相关工作安排配合区财政局对项目资金进行绩效评价，切实提高财政资金使用绩效，保障各项民生资金落实到位。</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（三）重点项目绩效评价结果。</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1双拥优抚安置项目：优抚对象的生活、住房、医疗困难得到有效解决，义务兵家庭优待工作全面落实。从评价结果来看，专项资金达到了既定的目标，此项资金绩效评价结果为良好。2社会救助类项目资金：农村五保供养标准、集中供养能力逐步提高。及时为城乡低保、五保家庭发放最低生活保障。准确核查认定低保家庭经济状况保障困难群众获得大病救助基金，降低困难居民医疗负担。从评价结果来看，专项资金达到了既定的目标，此项资金绩效评价结果为良好。3社会福利类项目资金：实现高龄补贴全覆盖。孤儿基本生活条件保障到位，保障在爱心家园集中供养孤儿的日常生活。从评价结果来看，专项资金达到了既定的目标，此项资金绩效评价结果为良好。4扶贫项目资金：我局配合广阳区财政局对扶贫资金进行了绩效评价，对发现的问题通知相关单位进行纠正，从评价结果看，专项资金的使用基本达到了既定目标，保证了各项民生政策的落实。此项目评价结果为良好。</w:t>
      </w:r>
    </w:p>
    <w:p>
      <w:pPr>
        <w:pStyle w:val="3"/>
        <w:spacing w:before="0" w:after="0" w:line="580" w:lineRule="exact"/>
        <w:ind w:firstLine="800" w:firstLineChars="25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ascii="仿宋_GB2312" w:eastAsia="仿宋_GB2312" w:cs="DengXian-Regular"/>
          <w:sz w:val="32"/>
          <w:szCs w:val="32"/>
        </w:rPr>
        <w:t>局机关</w:t>
      </w:r>
      <w:r>
        <w:rPr>
          <w:rFonts w:hint="eastAsia" w:ascii="仿宋_GB2312" w:eastAsia="仿宋_GB2312" w:cs="DengXian-Regular"/>
          <w:sz w:val="32"/>
          <w:szCs w:val="32"/>
        </w:rPr>
        <w:t>2018年度机关运行经费支出</w:t>
      </w:r>
      <w:r>
        <w:rPr>
          <w:rFonts w:ascii="仿宋_GB2312" w:eastAsia="仿宋_GB2312" w:cs="DengXian-Regular"/>
          <w:sz w:val="32"/>
          <w:szCs w:val="32"/>
        </w:rPr>
        <w:t>123.99</w:t>
      </w:r>
      <w:r>
        <w:rPr>
          <w:rFonts w:hint="eastAsia" w:ascii="仿宋_GB2312" w:eastAsia="仿宋_GB2312" w:cs="DengXian-Regular"/>
          <w:sz w:val="32"/>
          <w:szCs w:val="32"/>
        </w:rPr>
        <w:t>万元，比年初预算数增加</w:t>
      </w:r>
      <w:r>
        <w:rPr>
          <w:rFonts w:ascii="仿宋_GB2312" w:eastAsia="仿宋_GB2312" w:cs="DengXian-Regular"/>
          <w:sz w:val="32"/>
          <w:szCs w:val="32"/>
        </w:rPr>
        <w:t>34.62</w:t>
      </w:r>
      <w:r>
        <w:rPr>
          <w:rFonts w:hint="eastAsia" w:ascii="仿宋_GB2312" w:eastAsia="仿宋_GB2312" w:cs="DengXian-Regular"/>
          <w:sz w:val="32"/>
          <w:szCs w:val="32"/>
        </w:rPr>
        <w:t>万元，增长</w:t>
      </w:r>
      <w:r>
        <w:rPr>
          <w:rFonts w:ascii="仿宋_GB2312" w:eastAsia="仿宋_GB2312" w:cs="DengXian-Regular"/>
          <w:sz w:val="32"/>
          <w:szCs w:val="32"/>
        </w:rPr>
        <w:t>38.</w:t>
      </w:r>
      <w:r>
        <w:rPr>
          <w:rFonts w:hint="eastAsia" w:ascii="仿宋_GB2312" w:eastAsia="仿宋_GB2312" w:cs="DengXian-Regular"/>
          <w:sz w:val="32"/>
          <w:szCs w:val="32"/>
        </w:rPr>
        <w:t>8</w:t>
      </w:r>
      <w:r>
        <w:rPr>
          <w:rFonts w:eastAsia="仿宋_GB2312"/>
          <w:sz w:val="32"/>
          <w:szCs w:val="32"/>
        </w:rPr>
        <w:t>%</w:t>
      </w:r>
      <w:r>
        <w:rPr>
          <w:rFonts w:hint="eastAsia" w:ascii="仿宋_GB2312" w:eastAsia="仿宋_GB2312" w:cs="DengXian-Regular"/>
          <w:sz w:val="32"/>
          <w:szCs w:val="32"/>
        </w:rPr>
        <w:t>。主要原因是</w:t>
      </w:r>
      <w:r>
        <w:rPr>
          <w:rFonts w:ascii="仿宋_GB2312" w:eastAsia="仿宋_GB2312" w:cs="DengXian-Regular"/>
          <w:sz w:val="32"/>
          <w:szCs w:val="32"/>
        </w:rPr>
        <w:t>1.2018年度增加退役军人服务中心，购买办公用品增加2.综合办公楼为我单位负责日常运行，随着办公楼使用时间增长，各项运行费用增加</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年度决算增加18.48万元，增长17.5%，主要</w:t>
      </w:r>
      <w:r>
        <w:rPr>
          <w:rFonts w:hint="eastAsia" w:ascii="仿宋_GB2312" w:eastAsia="仿宋_GB2312" w:cs="DengXian-Regular"/>
          <w:sz w:val="32"/>
          <w:szCs w:val="32"/>
        </w:rPr>
        <w:t>原因</w:t>
      </w:r>
      <w:r>
        <w:rPr>
          <w:rFonts w:eastAsia="仿宋_GB2312"/>
          <w:sz w:val="32"/>
          <w:szCs w:val="32"/>
        </w:rPr>
        <w:t>是</w:t>
      </w:r>
      <w:r>
        <w:rPr>
          <w:rFonts w:ascii="仿宋_GB2312" w:eastAsia="仿宋_GB2312" w:cs="DengXian-Regular"/>
          <w:sz w:val="32"/>
          <w:szCs w:val="32"/>
        </w:rPr>
        <w:t>1.2018年度增加退役军人服务中心，购买办公用品增加2.综合办公楼为我单位负责日常运行，随着办公楼使用时间增长，各项运行费用增加</w:t>
      </w:r>
      <w:r>
        <w:rPr>
          <w:rFonts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ascii="仿宋_GB2312" w:eastAsia="仿宋_GB2312" w:cs="DengXian-Regular"/>
          <w:sz w:val="32"/>
          <w:szCs w:val="32"/>
        </w:rPr>
        <w:t>28.11</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政府采购货物支出28.11万元、政府采购工程支出0万元、政府采购服务支出0万元。</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ascii="仿宋_GB2312" w:eastAsia="仿宋_GB2312" w:cs="DengXian-Regular"/>
          <w:sz w:val="32"/>
          <w:szCs w:val="32"/>
        </w:rPr>
        <w:t>1</w:t>
      </w:r>
      <w:r>
        <w:rPr>
          <w:rFonts w:hint="eastAsia" w:ascii="仿宋_GB2312" w:eastAsia="仿宋_GB2312" w:cs="DengXian-Regular"/>
          <w:sz w:val="32"/>
          <w:szCs w:val="32"/>
        </w:rPr>
        <w:t>辆，比上年</w:t>
      </w:r>
      <w:r>
        <w:rPr>
          <w:rFonts w:ascii="仿宋_GB2312" w:eastAsia="仿宋_GB2312" w:cs="DengXian-Regular"/>
          <w:sz w:val="32"/>
          <w:szCs w:val="32"/>
        </w:rPr>
        <w:t>无增减变化</w:t>
      </w:r>
      <w:r>
        <w:rPr>
          <w:rFonts w:hint="eastAsia" w:ascii="仿宋_GB2312" w:eastAsia="仿宋_GB2312" w:cs="DengXian-Regular"/>
          <w:sz w:val="32"/>
          <w:szCs w:val="32"/>
        </w:rPr>
        <w:t>。其中，副部（省）级及以上领导用车</w:t>
      </w:r>
      <w:r>
        <w:rPr>
          <w:rFonts w:ascii="仿宋_GB2312" w:eastAsia="仿宋_GB2312" w:cs="DengXian-Regular"/>
          <w:sz w:val="32"/>
          <w:szCs w:val="32"/>
        </w:rPr>
        <w:t>0</w:t>
      </w:r>
      <w:r>
        <w:rPr>
          <w:rFonts w:hint="eastAsia" w:ascii="仿宋_GB2312" w:eastAsia="仿宋_GB2312" w:cs="DengXian-Regular"/>
          <w:sz w:val="32"/>
          <w:szCs w:val="32"/>
        </w:rPr>
        <w:t>辆，主要领导干部用车</w:t>
      </w:r>
      <w:r>
        <w:rPr>
          <w:rFonts w:ascii="仿宋_GB2312" w:eastAsia="仿宋_GB2312" w:cs="DengXian-Regular"/>
          <w:sz w:val="32"/>
          <w:szCs w:val="32"/>
        </w:rPr>
        <w:t>0</w:t>
      </w:r>
      <w:r>
        <w:rPr>
          <w:rFonts w:hint="eastAsia" w:ascii="仿宋_GB2312" w:eastAsia="仿宋_GB2312" w:cs="DengXian-Regular"/>
          <w:sz w:val="32"/>
          <w:szCs w:val="32"/>
        </w:rPr>
        <w:t>辆，机要通信用车</w:t>
      </w:r>
      <w:r>
        <w:rPr>
          <w:rFonts w:ascii="仿宋_GB2312" w:eastAsia="仿宋_GB2312" w:cs="DengXian-Regular"/>
          <w:sz w:val="32"/>
          <w:szCs w:val="32"/>
        </w:rPr>
        <w:t>0</w:t>
      </w:r>
      <w:r>
        <w:rPr>
          <w:rFonts w:hint="eastAsia" w:ascii="仿宋_GB2312" w:eastAsia="仿宋_GB2312" w:cs="DengXian-Regular"/>
          <w:sz w:val="32"/>
          <w:szCs w:val="32"/>
        </w:rPr>
        <w:t>辆，应急保障用车</w:t>
      </w:r>
      <w:r>
        <w:rPr>
          <w:rFonts w:ascii="仿宋_GB2312" w:eastAsia="仿宋_GB2312" w:cs="DengXian-Regular"/>
          <w:sz w:val="32"/>
          <w:szCs w:val="32"/>
        </w:rPr>
        <w:t>0</w:t>
      </w:r>
      <w:r>
        <w:rPr>
          <w:rFonts w:hint="eastAsia" w:ascii="仿宋_GB2312" w:eastAsia="仿宋_GB2312" w:cs="DengXian-Regular"/>
          <w:sz w:val="32"/>
          <w:szCs w:val="32"/>
        </w:rPr>
        <w:t>辆，执法执勤用车</w:t>
      </w:r>
      <w:r>
        <w:rPr>
          <w:rFonts w:ascii="仿宋_GB2312" w:eastAsia="仿宋_GB2312" w:cs="DengXian-Regular"/>
          <w:sz w:val="32"/>
          <w:szCs w:val="32"/>
        </w:rPr>
        <w:t>0</w:t>
      </w:r>
      <w:r>
        <w:rPr>
          <w:rFonts w:hint="eastAsia" w:ascii="仿宋_GB2312" w:eastAsia="仿宋_GB2312" w:cs="DengXian-Regular"/>
          <w:sz w:val="32"/>
          <w:szCs w:val="32"/>
        </w:rPr>
        <w:t>辆，特种专业技术用</w:t>
      </w:r>
      <w:r>
        <w:rPr>
          <w:rFonts w:ascii="仿宋_GB2312" w:eastAsia="仿宋_GB2312" w:cs="DengXian-Regular"/>
          <w:sz w:val="32"/>
          <w:szCs w:val="32"/>
        </w:rPr>
        <w:t>车0</w:t>
      </w:r>
      <w:r>
        <w:rPr>
          <w:rFonts w:hint="eastAsia" w:ascii="仿宋_GB2312" w:eastAsia="仿宋_GB2312" w:cs="DengXian-Regular"/>
          <w:sz w:val="32"/>
          <w:szCs w:val="32"/>
        </w:rPr>
        <w:t>辆，离退休干部用车</w:t>
      </w:r>
      <w:r>
        <w:rPr>
          <w:rFonts w:ascii="仿宋_GB2312" w:eastAsia="仿宋_GB2312" w:cs="DengXian-Regular"/>
          <w:sz w:val="32"/>
          <w:szCs w:val="32"/>
        </w:rPr>
        <w:t>0</w:t>
      </w:r>
      <w:r>
        <w:rPr>
          <w:rFonts w:hint="eastAsia" w:ascii="仿宋_GB2312" w:eastAsia="仿宋_GB2312" w:cs="DengXian-Regular"/>
          <w:sz w:val="32"/>
          <w:szCs w:val="32"/>
        </w:rPr>
        <w:t>辆，其他用车</w:t>
      </w:r>
      <w:r>
        <w:rPr>
          <w:rFonts w:ascii="仿宋_GB2312" w:eastAsia="仿宋_GB2312" w:cs="DengXian-Regular"/>
          <w:sz w:val="32"/>
          <w:szCs w:val="32"/>
        </w:rPr>
        <w:t>1</w:t>
      </w:r>
      <w:r>
        <w:rPr>
          <w:rFonts w:hint="eastAsia" w:ascii="仿宋_GB2312" w:eastAsia="仿宋_GB2312" w:cs="DengXian-Regular"/>
          <w:sz w:val="32"/>
          <w:szCs w:val="32"/>
        </w:rPr>
        <w:t>辆，其他用车主要是</w:t>
      </w:r>
      <w:r>
        <w:rPr>
          <w:rFonts w:ascii="仿宋_GB2312" w:eastAsia="仿宋_GB2312" w:cs="DengXian-Regular"/>
          <w:sz w:val="32"/>
          <w:szCs w:val="32"/>
        </w:rPr>
        <w:t>公务用车</w:t>
      </w:r>
      <w:r>
        <w:rPr>
          <w:rFonts w:hint="eastAsia" w:ascii="仿宋_GB2312" w:eastAsia="仿宋_GB2312" w:cs="DengXian-Regular"/>
          <w:sz w:val="32"/>
          <w:szCs w:val="32"/>
        </w:rPr>
        <w:t>；单位价值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ascii="仿宋_GB2312" w:eastAsia="仿宋_GB2312" w:cs="DengXian-Regular"/>
          <w:sz w:val="32"/>
          <w:szCs w:val="32"/>
        </w:rPr>
        <w:t>0</w:t>
      </w:r>
      <w:r>
        <w:rPr>
          <w:rFonts w:hint="eastAsia" w:ascii="仿宋_GB2312" w:eastAsia="仿宋_GB2312" w:cs="DengXian-Regular"/>
          <w:sz w:val="32"/>
          <w:szCs w:val="32"/>
        </w:rPr>
        <w:t>台（套），比上年</w:t>
      </w:r>
      <w:r>
        <w:rPr>
          <w:rFonts w:ascii="仿宋_GB2312" w:eastAsia="仿宋_GB2312" w:cs="DengXian-Regular"/>
          <w:sz w:val="32"/>
          <w:szCs w:val="32"/>
        </w:rPr>
        <w:t>无增减变化</w:t>
      </w:r>
      <w:r>
        <w:rPr>
          <w:rFonts w:hint="eastAsia" w:ascii="仿宋_GB2312" w:eastAsia="仿宋_GB2312" w:cs="DengXian-Regular"/>
          <w:sz w:val="32"/>
          <w:szCs w:val="32"/>
        </w:rPr>
        <w:t>，单位价值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r>
        <w:rPr>
          <w:rFonts w:ascii="仿宋_GB2312" w:eastAsia="仿宋_GB2312" w:cs="DengXian-Regular"/>
          <w:sz w:val="32"/>
          <w:szCs w:val="32"/>
        </w:rPr>
        <w:t>0</w:t>
      </w:r>
      <w:r>
        <w:rPr>
          <w:rFonts w:hint="eastAsia" w:ascii="仿宋_GB2312" w:eastAsia="仿宋_GB2312" w:cs="DengXian-Regular"/>
          <w:sz w:val="32"/>
          <w:szCs w:val="32"/>
        </w:rPr>
        <w:t>台（套）比上年</w:t>
      </w:r>
      <w:r>
        <w:rPr>
          <w:rFonts w:ascii="仿宋_GB2312" w:eastAsia="仿宋_GB2312" w:cs="DengXian-Regular"/>
          <w:sz w:val="32"/>
          <w:szCs w:val="32"/>
        </w:rPr>
        <w:t>无增减变化。</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国有资本经营预算</w:t>
      </w:r>
      <w:r>
        <w:rPr>
          <w:rFonts w:hint="eastAsia" w:ascii="仿宋_GB2312" w:eastAsia="仿宋_GB2312" w:cs="DengXian-Regular"/>
          <w:sz w:val="32"/>
          <w:szCs w:val="32"/>
        </w:rPr>
        <w:t>无收支及结转结余情况，故</w:t>
      </w:r>
      <w:r>
        <w:rPr>
          <w:rFonts w:eastAsia="仿宋_GB2312"/>
          <w:sz w:val="32"/>
          <w:szCs w:val="32"/>
        </w:rPr>
        <w:t>国有资本经营预算表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ind w:firstLine="2400" w:firstLineChars="250"/>
        <w:rPr>
          <w:rFonts w:hint="eastAsia" w:ascii="黑体" w:eastAsia="黑体"/>
          <w:color w:val="000000"/>
          <w:sz w:val="96"/>
          <w:szCs w:val="96"/>
        </w:rPr>
      </w:pPr>
    </w:p>
    <w:p>
      <w:pPr>
        <w:widowControl/>
        <w:spacing w:line="1200" w:lineRule="exact"/>
        <w:jc w:val="center"/>
        <w:rPr>
          <w:rFonts w:hint="eastAsia"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rFonts w:ascii="黑体" w:eastAsia="黑体"/>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2"/>
  </w:compat>
  <w:rsids>
    <w:rsidRoot w:val="00584B58"/>
    <w:rsid w:val="001D78F2"/>
    <w:rsid w:val="003D37F7"/>
    <w:rsid w:val="00584B58"/>
    <w:rsid w:val="006E1365"/>
    <w:rsid w:val="006F2679"/>
    <w:rsid w:val="008A0C7E"/>
    <w:rsid w:val="00981499"/>
    <w:rsid w:val="00B61889"/>
    <w:rsid w:val="00C21086"/>
    <w:rsid w:val="00CE336E"/>
    <w:rsid w:val="3BB451FD"/>
    <w:rsid w:val="5EC5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Calibri" w:hAnsi="Calibri" w:cs="Arial"/>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libri" w:hAnsi="Calibri" w:cs="Arial"/>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rFonts w:ascii="Cambria" w:hAnsi="Cambria" w:eastAsia="黑体"/>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sz w:val="18"/>
      <w:szCs w:val="18"/>
    </w:rPr>
  </w:style>
  <w:style w:type="paragraph" w:styleId="10">
    <w:name w:val="Subtitle"/>
    <w:basedOn w:val="1"/>
    <w:next w:val="1"/>
    <w:uiPriority w:val="0"/>
    <w:pPr>
      <w:widowControl/>
      <w:spacing w:after="200" w:line="276" w:lineRule="auto"/>
      <w:jc w:val="left"/>
    </w:pPr>
    <w:rPr>
      <w:rFonts w:ascii="Calibri" w:hAnsi="Calibri"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cs="Arial"/>
      <w:color w:val="3A2C24"/>
      <w:spacing w:val="5"/>
      <w:kern w:val="28"/>
      <w:sz w:val="52"/>
      <w:szCs w:val="52"/>
    </w:rPr>
  </w:style>
  <w:style w:type="paragraph" w:customStyle="1" w:styleId="14">
    <w:name w:val="无间隔1"/>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列出段落1"/>
    <w:uiPriority w:val="0"/>
    <w:pPr>
      <w:widowControl w:val="0"/>
      <w:spacing w:after="160" w:line="48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1">
    <w:name w:val="p.2"/>
    <w:next w:val="9"/>
    <w:uiPriority w:val="0"/>
    <w:pPr>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22">
    <w:name w:val="p.MsoNormal"/>
    <w:next w:val="10"/>
    <w:uiPriority w:val="0"/>
    <w:pPr>
      <w:autoSpaceDE w:val="0"/>
      <w:autoSpaceDN w:val="0"/>
      <w:adjustRightInd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1404</Words>
  <Characters>8007</Characters>
  <Lines>66</Lines>
  <Paragraphs>18</Paragraphs>
  <TotalTime>1590</TotalTime>
  <ScaleCrop>false</ScaleCrop>
  <LinksUpToDate>false</LinksUpToDate>
  <CharactersWithSpaces>9393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2023-06-02T02:21:31Z</dcterms:modified>
  <dc:subject>石家庄市xxx部门</dc:subject>
  <dc:title>2017年度部门决算</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A5A8F435734047D797AF36AE7F21D3AE</vt:lpwstr>
  </property>
</Properties>
</file>