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pPr>
        <w:widowControl/>
        <w:jc w:val="center"/>
        <w:rPr>
          <w:rFonts w:ascii="黑体" w:eastAsia="黑体"/>
          <w:color w:val="002060"/>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widowControl/>
        <w:jc w:val="center"/>
        <w:rPr>
          <w:rFonts w:ascii="黑体" w:eastAsia="黑体"/>
          <w:b/>
          <w:sz w:val="72"/>
          <w:szCs w:val="72"/>
        </w:rPr>
      </w:pPr>
    </w:p>
    <w:p>
      <w:pPr>
        <w:jc w:val="center"/>
      </w:pPr>
      <w:r>
        <w:rPr>
          <w:rFonts w:hint="eastAsia"/>
          <w:b/>
          <w:sz w:val="44"/>
          <w:szCs w:val="44"/>
        </w:rPr>
        <w:t>廊坊市</w:t>
      </w:r>
      <w:r>
        <w:rPr>
          <w:b/>
          <w:sz w:val="44"/>
          <w:szCs w:val="44"/>
        </w:rPr>
        <w:t>广阳区爱民东道街道办事处</w:t>
      </w:r>
    </w:p>
    <w:p/>
    <w:p/>
    <w:p/>
    <w:p/>
    <w:p/>
    <w:p>
      <w:pPr>
        <w:widowControl/>
        <w:jc w:val="center"/>
        <w:rPr>
          <w:color w:val="000000"/>
          <w:sz w:val="72"/>
          <w:szCs w:val="72"/>
        </w:rPr>
      </w:pPr>
      <w:r>
        <w:rPr>
          <w:rFonts w:hint="eastAsia" w:ascii="黑体" w:eastAsia="黑体"/>
          <w:color w:val="000000"/>
          <w:sz w:val="72"/>
          <w:szCs w:val="72"/>
        </w:rPr>
        <w:t>第一部分  部门概况</w:t>
      </w:r>
    </w:p>
    <w:p/>
    <w:p/>
    <w:p/>
    <w:p/>
    <w:p/>
    <w:p/>
    <w:p/>
    <w:p/>
    <w:p/>
    <w:p/>
    <w:p/>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 xml:space="preserve">（一）贯彻执行党和国家的路线、方针、政策和上级人民政府关于街道工作方面的决定，制定具体的管理办法并组织实施； </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（二）负责辖区内市容市貌和环境卫生的日常管理工作，发动辖区单位和群众保护环境，开展爱国卫生运动；</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 xml:space="preserve">（三）动员和领导居民及各单位、各部门开展社区建设工作；制定并实施社区建设规划和年度计划； </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 xml:space="preserve">（四）指导社区居民委员会的工作；协调解决行政事务、社会管理和公共服务方面的问题； </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 xml:space="preserve"> （五）负责辖区内普法教育工作，维护老人、妇女儿童的合法权益；</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（六）负责辖区内安全生产和消防工作的指导、监督；</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（七）会同有关部门做好本辖区综治、信访、维稳等工作；</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 xml:space="preserve">（八）会同有关部门做好本辖区人口和计划生育工作； </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（九）会同有关部门做好辖区人员就业、社保、退管等社会保障工作；</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 xml:space="preserve">（十）协助武装部门做好国防动员、民兵训练和公民服兵役工作； </w:t>
      </w:r>
    </w:p>
    <w:p>
      <w:pPr>
        <w:pStyle w:val="21"/>
        <w:widowControl/>
        <w:snapToGrid w:val="0"/>
        <w:spacing w:line="300" w:lineRule="auto"/>
        <w:ind w:firstLine="640" w:firstLineChars="200"/>
        <w:jc w:val="both"/>
        <w:rPr>
          <w:rFonts w:ascii="仿宋_GB2312" w:eastAsia="仿宋_GB2312" w:cs="仿宋_GB2312"/>
          <w:kern w:val="2"/>
          <w:sz w:val="32"/>
          <w:szCs w:val="32"/>
        </w:rPr>
      </w:pPr>
      <w:r>
        <w:rPr>
          <w:rFonts w:hint="eastAsia" w:ascii="仿宋_GB2312" w:eastAsia="仿宋_GB2312" w:cs="仿宋_GB2312"/>
          <w:kern w:val="2"/>
          <w:sz w:val="32"/>
          <w:szCs w:val="32"/>
        </w:rPr>
        <w:t xml:space="preserve">（十一）配合有关部门做好防空、防汛、防风、防旱、防震、征地和城市房屋拆迁、抢险救灾、重大动物疫情防控等工作； </w:t>
      </w:r>
    </w:p>
    <w:p>
      <w:pPr>
        <w:pStyle w:val="2"/>
        <w:spacing w:before="0" w:after="0" w:line="600" w:lineRule="exact"/>
        <w:ind w:firstLine="480" w:firstLineChars="150"/>
        <w:jc w:val="left"/>
        <w:rPr>
          <w:rFonts w:hint="eastAsia" w:ascii="仿宋_GB2312" w:eastAsia="仿宋_GB2312" w:cs="仿宋_GB2312"/>
          <w:b w:val="0"/>
          <w:bCs w:val="0"/>
          <w:kern w:val="2"/>
          <w:sz w:val="32"/>
          <w:szCs w:val="32"/>
        </w:rPr>
      </w:pPr>
      <w:r>
        <w:rPr>
          <w:rFonts w:hint="eastAsia" w:ascii="仿宋_GB2312" w:eastAsia="仿宋_GB2312" w:cs="仿宋_GB2312"/>
          <w:b w:val="0"/>
          <w:bCs w:val="0"/>
          <w:kern w:val="2"/>
          <w:sz w:val="32"/>
          <w:szCs w:val="32"/>
        </w:rPr>
        <w:t>（十二）承办区政府交办的其他事项。</w:t>
      </w:r>
    </w:p>
    <w:p>
      <w:pPr>
        <w:pStyle w:val="2"/>
        <w:spacing w:before="0" w:after="0" w:line="60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二、机构设置</w:t>
      </w:r>
    </w:p>
    <w:p>
      <w:pPr>
        <w:spacing w:after="0" w:line="560" w:lineRule="exact"/>
        <w:ind w:firstLine="640" w:firstLineChars="200"/>
        <w:rPr>
          <w:rFonts w:ascii="仿宋_GB2312" w:eastAsia="仿宋_GB2312" w:cs="ArialUnicodeMS"/>
          <w:kern w:val="0"/>
          <w:sz w:val="32"/>
          <w:szCs w:val="32"/>
        </w:rPr>
      </w:pPr>
      <w:r>
        <w:rPr>
          <w:rFonts w:hint="eastAsia" w:ascii="仿宋_GB2312" w:eastAsia="仿宋_GB2312" w:cs="ArialUnicodeMS"/>
          <w:kern w:val="0"/>
          <w:sz w:val="32"/>
          <w:szCs w:val="32"/>
        </w:rPr>
        <w:t>从决算编报单位构成看，纳入2018 年度本部门决算汇编范围的独立核算单位（以下简称“单位”）共1个，具体情况如下：</w:t>
      </w:r>
    </w:p>
    <w:tbl>
      <w:tblPr>
        <w:tblStyle w:val="12"/>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pPr>
              <w:spacing w:after="0"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color w:val="000000"/>
                <w:kern w:val="0"/>
                <w:sz w:val="32"/>
                <w:szCs w:val="32"/>
              </w:rPr>
              <w:t>廊坊市广阳</w:t>
            </w:r>
            <w:r>
              <w:rPr>
                <w:rFonts w:ascii="仿宋_GB2312" w:eastAsia="仿宋_GB2312" w:cs="宋体"/>
                <w:color w:val="000000"/>
                <w:kern w:val="0"/>
                <w:sz w:val="32"/>
                <w:szCs w:val="32"/>
              </w:rPr>
              <w:t>爱民东道街道办事处</w:t>
            </w:r>
          </w:p>
        </w:tc>
        <w:tc>
          <w:tcPr>
            <w:tcW w:w="244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行政</w:t>
            </w:r>
          </w:p>
        </w:tc>
        <w:tc>
          <w:tcPr>
            <w:tcW w:w="266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kern w:val="0"/>
                <w:sz w:val="28"/>
                <w:szCs w:val="28"/>
              </w:rPr>
            </w:pPr>
          </w:p>
        </w:tc>
      </w:tr>
    </w:tbl>
    <w:p>
      <w:pPr>
        <w:widowControl/>
        <w:spacing w:line="560" w:lineRule="exact"/>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p>
    <w:p>
      <w:pPr>
        <w:widowControl/>
        <w:spacing w:line="1200" w:lineRule="exact"/>
        <w:jc w:val="center"/>
        <w:rPr>
          <w:rFonts w:ascii="黑体" w:eastAsia="黑体"/>
          <w:color w:val="000000"/>
          <w:sz w:val="72"/>
          <w:szCs w:val="96"/>
        </w:rPr>
      </w:pPr>
      <w:r>
        <w:rPr>
          <w:rFonts w:hint="eastAsia" w:ascii="黑体" w:eastAsia="黑体"/>
          <w:color w:val="000000"/>
          <w:sz w:val="72"/>
          <w:szCs w:val="96"/>
        </w:rPr>
        <w:t>第二部分</w:t>
      </w:r>
    </w:p>
    <w:p>
      <w:pPr>
        <w:widowControl/>
        <w:spacing w:line="1200" w:lineRule="exact"/>
        <w:jc w:val="center"/>
        <w:rPr>
          <w:color w:val="000000"/>
          <w:sz w:val="72"/>
          <w:szCs w:val="96"/>
        </w:rPr>
      </w:pPr>
      <w:r>
        <w:rPr>
          <w:rFonts w:hint="eastAsia" w:ascii="黑体" w:eastAsia="黑体"/>
          <w:color w:val="000000"/>
          <w:sz w:val="72"/>
          <w:szCs w:val="96"/>
        </w:rPr>
        <w:t>2018年度部门决算报表</w:t>
      </w: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60" w:lineRule="exact"/>
        <w:jc w:val="center"/>
        <w:rPr>
          <w:rFonts w:ascii="黑体" w:eastAsia="黑体" w:cs="MS-UIGothic,Bold"/>
          <w:bCs/>
          <w:kern w:val="0"/>
          <w:sz w:val="52"/>
          <w:szCs w:val="52"/>
        </w:rPr>
      </w:pP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cols w:space="720" w:num="1"/>
          <w:docGrid w:type="lines" w:linePitch="312" w:charSpace="0"/>
        </w:sectPr>
      </w:pPr>
      <w:r>
        <w:rPr>
          <w:rFonts w:hint="eastAsia"/>
        </w:rPr>
        <w:tab/>
      </w: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72"/>
          <w:szCs w:val="72"/>
        </w:rPr>
      </w:pPr>
      <w:r>
        <w:rPr>
          <w:rFonts w:hint="eastAsia" w:ascii="黑体" w:eastAsia="黑体"/>
          <w:color w:val="000000"/>
          <w:sz w:val="72"/>
          <w:szCs w:val="72"/>
        </w:rPr>
        <w:t>第三部分</w:t>
      </w:r>
    </w:p>
    <w:p>
      <w:pPr>
        <w:widowControl/>
        <w:spacing w:line="1200" w:lineRule="exact"/>
        <w:jc w:val="center"/>
        <w:rPr>
          <w:color w:val="000000"/>
          <w:sz w:val="72"/>
          <w:szCs w:val="72"/>
        </w:rPr>
      </w:pPr>
      <w:r>
        <w:rPr>
          <w:rFonts w:hint="eastAsia" w:ascii="黑体" w:eastAsia="黑体"/>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仿宋_GB2312"/>
          <w:sz w:val="32"/>
          <w:szCs w:val="32"/>
        </w:rPr>
        <w:t>本部门2018年度收支总计（含结转和结余）2285.51万元。与2017年度决算相比，收支各增加250.88万元，增长11.0%，主要原因是人员支出。</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本部门2018年度本年收入合计2285.51万元，其中：财政拨款收入2285.51万元，占100%。</w:t>
      </w:r>
      <w:r>
        <w:rPr>
          <w:rFonts w:ascii="仿宋_GB2312" w:eastAsia="仿宋_GB2312" w:cs="仿宋_GB2312"/>
          <w:sz w:val="32"/>
          <w:szCs w:val="32"/>
        </w:rPr>
        <w:t xml:space="preserve"> </w:t>
      </w:r>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本部门2018年度本年支出合计2285.51万元，其中：基本支出2285.51万元，占100%。</w:t>
      </w:r>
      <w:r>
        <w:rPr>
          <w:rFonts w:ascii="仿宋_GB2312" w:eastAsia="仿宋_GB2312" w:cs="仿宋_GB2312"/>
          <w:sz w:val="32"/>
          <w:szCs w:val="32"/>
        </w:rPr>
        <w:t xml:space="preserve"> </w:t>
      </w: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本部门2018年度形成的财政拨款收支均为一般公共预算财政拨款，其中一般公共预算财政拨款本年收入2285</w:t>
      </w:r>
      <w:r>
        <w:rPr>
          <w:rFonts w:hint="eastAsia" w:ascii="宋体" w:cs="宋体"/>
          <w:sz w:val="32"/>
          <w:szCs w:val="32"/>
        </w:rPr>
        <w:t>.51</w:t>
      </w:r>
      <w:r>
        <w:rPr>
          <w:rFonts w:hint="eastAsia" w:ascii="仿宋_GB2312" w:eastAsia="仿宋_GB2312" w:cs="DengXian-Regular"/>
          <w:sz w:val="32"/>
          <w:szCs w:val="32"/>
        </w:rPr>
        <w:t>万元,比2017年度增加250</w:t>
      </w:r>
      <w:r>
        <w:rPr>
          <w:rFonts w:hint="eastAsia" w:ascii="宋体" w:cs="宋体"/>
          <w:sz w:val="32"/>
          <w:szCs w:val="32"/>
        </w:rPr>
        <w:t>.88</w:t>
      </w:r>
      <w:r>
        <w:rPr>
          <w:rFonts w:hint="eastAsia" w:ascii="仿宋_GB2312" w:eastAsia="仿宋_GB2312" w:cs="DengXian-Regular"/>
          <w:sz w:val="32"/>
          <w:szCs w:val="32"/>
        </w:rPr>
        <w:t>万元，增长11%，主要原因是人员支出；本年支出2285</w:t>
      </w:r>
      <w:r>
        <w:rPr>
          <w:rFonts w:hint="eastAsia" w:ascii="宋体" w:cs="宋体"/>
          <w:sz w:val="32"/>
          <w:szCs w:val="32"/>
        </w:rPr>
        <w:t>.51</w:t>
      </w:r>
      <w:r>
        <w:rPr>
          <w:rFonts w:hint="eastAsia" w:ascii="仿宋_GB2312" w:eastAsia="仿宋_GB2312" w:cs="DengXian-Regular"/>
          <w:sz w:val="32"/>
          <w:szCs w:val="32"/>
        </w:rPr>
        <w:t>万元，增加250</w:t>
      </w:r>
      <w:r>
        <w:rPr>
          <w:rFonts w:hint="eastAsia" w:ascii="宋体" w:cs="宋体"/>
          <w:sz w:val="32"/>
          <w:szCs w:val="32"/>
        </w:rPr>
        <w:t>.88</w:t>
      </w:r>
      <w:r>
        <w:rPr>
          <w:rFonts w:hint="eastAsia" w:ascii="仿宋_GB2312" w:eastAsia="仿宋_GB2312" w:cs="DengXian-Regular"/>
          <w:sz w:val="32"/>
          <w:szCs w:val="32"/>
        </w:rPr>
        <w:t>万元，增长11%，主要原因是人员支出。</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w:t>
      </w:r>
      <w:bookmarkStart w:id="0" w:name="_GoBack"/>
      <w:bookmarkEnd w:id="0"/>
      <w:r>
        <w:rPr>
          <w:rFonts w:hint="eastAsia" w:ascii="楷体_GB2312" w:eastAsia="楷体_GB2312" w:cs="DengXian-Bold"/>
          <w:b/>
          <w:bCs/>
          <w:sz w:val="32"/>
          <w:szCs w:val="32"/>
        </w:rPr>
        <w:t>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一般公共预算财政拨款收入2285.51万元，完成年初预算的124%,比年初预算增加454.82万元，决算数大于预算数，主要原因是人员支出；本年支出2285.51万元，完成年初预算的124%,比年初预算增加454.82万元，决算数大于预算数，主要原因是人员支出。</w:t>
      </w:r>
    </w:p>
    <w:p>
      <w:pPr>
        <w:adjustRightInd w:val="0"/>
        <w:snapToGrid w:val="0"/>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（三）财政拨款支出决算结构情况。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年度财政拨款支出2285.51万元，主要用于以下方面：一般公共服务（类）支出2158.33万元，占94%；医疗卫生与计划生育支出47.75万元，占2%；住房保障（类）支出79.42万元，占4%。</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2285.51万元，其中：人员经费1989.92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295.59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ascii="仿宋_GB2312" w:eastAsia="仿宋_GB2312" w:cs="DengXian-Regular"/>
          <w:sz w:val="32"/>
          <w:szCs w:val="32"/>
        </w:rPr>
      </w:pPr>
      <w:r>
        <w:rPr>
          <w:rFonts w:ascii="仿宋_GB2312" w:eastAsia="仿宋_GB2312" w:cs="DengXian-Regular"/>
          <w:sz w:val="32"/>
          <w:szCs w:val="32"/>
        </w:rPr>
        <w:t>本部门201</w:t>
      </w:r>
      <w:r>
        <w:rPr>
          <w:rFonts w:hint="eastAsia" w:ascii="仿宋_GB2312" w:eastAsia="仿宋_GB2312" w:cs="DengXian-Regular"/>
          <w:sz w:val="32"/>
          <w:szCs w:val="32"/>
        </w:rPr>
        <w:t>8</w:t>
      </w:r>
      <w:r>
        <w:rPr>
          <w:rFonts w:ascii="仿宋_GB2312" w:eastAsia="仿宋_GB2312" w:cs="DengXian-Regular"/>
          <w:sz w:val="32"/>
          <w:szCs w:val="32"/>
        </w:rPr>
        <w:t>年度一般公共预算财政拨款“三公”经费支出共计</w:t>
      </w:r>
      <w:r>
        <w:rPr>
          <w:rFonts w:hint="eastAsia" w:ascii="仿宋_GB2312" w:eastAsia="仿宋_GB2312" w:cs="DengXian-Regular"/>
          <w:sz w:val="32"/>
          <w:szCs w:val="32"/>
        </w:rPr>
        <w:t>4.6</w:t>
      </w:r>
      <w:r>
        <w:rPr>
          <w:rFonts w:ascii="仿宋_GB2312" w:eastAsia="仿宋_GB2312" w:cs="DengXian-Regular"/>
          <w:sz w:val="32"/>
          <w:szCs w:val="32"/>
        </w:rPr>
        <w:t>万元，</w:t>
      </w:r>
      <w:r>
        <w:rPr>
          <w:rFonts w:hint="eastAsia" w:ascii="仿宋_GB2312" w:eastAsia="仿宋_GB2312" w:cs="DengXian-Regular"/>
          <w:sz w:val="32"/>
          <w:szCs w:val="32"/>
        </w:rPr>
        <w:t>比</w:t>
      </w:r>
      <w:r>
        <w:rPr>
          <w:rFonts w:ascii="仿宋_GB2312" w:eastAsia="仿宋_GB2312" w:cs="DengXian-Regular"/>
          <w:sz w:val="32"/>
          <w:szCs w:val="32"/>
        </w:rPr>
        <w:t>年初预算增加</w:t>
      </w:r>
      <w:r>
        <w:rPr>
          <w:rFonts w:hint="eastAsia" w:ascii="仿宋_GB2312" w:eastAsia="仿宋_GB2312" w:cs="DengXian-Regular"/>
          <w:sz w:val="32"/>
          <w:szCs w:val="32"/>
        </w:rPr>
        <w:t>0</w:t>
      </w:r>
      <w:r>
        <w:rPr>
          <w:rFonts w:ascii="仿宋_GB2312" w:eastAsia="仿宋_GB2312" w:cs="DengXian-Regular"/>
          <w:sz w:val="32"/>
          <w:szCs w:val="32"/>
        </w:rPr>
        <w:t>万元，增长</w:t>
      </w:r>
      <w:r>
        <w:rPr>
          <w:rFonts w:hint="eastAsia" w:ascii="仿宋_GB2312" w:eastAsia="仿宋_GB2312" w:cs="DengXian-Regular"/>
          <w:sz w:val="32"/>
          <w:szCs w:val="32"/>
        </w:rPr>
        <w:t>0</w:t>
      </w:r>
      <w:r>
        <w:rPr>
          <w:rFonts w:ascii="仿宋_GB2312" w:eastAsia="仿宋_GB2312" w:cs="DengXian-Regular"/>
          <w:sz w:val="32"/>
          <w:szCs w:val="32"/>
        </w:rPr>
        <w:t>%，</w:t>
      </w:r>
      <w:r>
        <w:rPr>
          <w:rFonts w:hint="eastAsia" w:ascii="仿宋_GB2312" w:eastAsia="仿宋_GB2312" w:cs="DengXian-Regular"/>
          <w:sz w:val="32"/>
          <w:szCs w:val="32"/>
        </w:rPr>
        <w:t>比</w:t>
      </w:r>
      <w:r>
        <w:rPr>
          <w:rFonts w:ascii="仿宋_GB2312" w:eastAsia="仿宋_GB2312" w:cs="DengXian-Regular"/>
          <w:sz w:val="32"/>
          <w:szCs w:val="32"/>
        </w:rPr>
        <w:t>201</w:t>
      </w:r>
      <w:r>
        <w:rPr>
          <w:rFonts w:hint="eastAsia" w:ascii="仿宋_GB2312" w:eastAsia="仿宋_GB2312" w:cs="DengXian-Regular"/>
          <w:sz w:val="32"/>
          <w:szCs w:val="32"/>
        </w:rPr>
        <w:t>7</w:t>
      </w:r>
      <w:r>
        <w:rPr>
          <w:rFonts w:ascii="仿宋_GB2312" w:eastAsia="仿宋_GB2312" w:cs="DengXian-Regular"/>
          <w:sz w:val="32"/>
          <w:szCs w:val="32"/>
        </w:rPr>
        <w:t>年度决算增加</w:t>
      </w:r>
      <w:r>
        <w:rPr>
          <w:rFonts w:hint="eastAsia" w:ascii="仿宋_GB2312" w:eastAsia="仿宋_GB2312" w:cs="DengXian-Regular"/>
          <w:sz w:val="32"/>
          <w:szCs w:val="32"/>
        </w:rPr>
        <w:t>0</w:t>
      </w:r>
      <w:r>
        <w:rPr>
          <w:rFonts w:ascii="仿宋_GB2312" w:eastAsia="仿宋_GB2312" w:cs="DengXian-Regular"/>
          <w:sz w:val="32"/>
          <w:szCs w:val="32"/>
        </w:rPr>
        <w:t>万元，增长</w:t>
      </w:r>
      <w:r>
        <w:rPr>
          <w:rFonts w:hint="eastAsia" w:ascii="仿宋_GB2312" w:eastAsia="仿宋_GB2312" w:cs="DengXian-Regular"/>
          <w:sz w:val="32"/>
          <w:szCs w:val="32"/>
        </w:rPr>
        <w:t>0</w:t>
      </w:r>
      <w:r>
        <w:rPr>
          <w:rFonts w:ascii="仿宋_GB2312" w:eastAsia="仿宋_GB2312" w:cs="DengXian-Regular"/>
          <w:sz w:val="32"/>
          <w:szCs w:val="32"/>
        </w:rPr>
        <w:t>%，具体情况如下：</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（一）因公出国（境）费支出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w:t>
      </w:r>
      <w:r>
        <w:rPr>
          <w:rFonts w:hint="eastAsia" w:ascii="仿宋_GB2312" w:eastAsia="仿宋_GB2312" w:cs="DengXian-Regular"/>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较年初预算无增减变化；较201</w:t>
      </w:r>
      <w:r>
        <w:rPr>
          <w:rFonts w:hint="eastAsia" w:eastAsia="仿宋_GB2312"/>
          <w:sz w:val="32"/>
          <w:szCs w:val="32"/>
        </w:rPr>
        <w:t>7</w:t>
      </w:r>
      <w:r>
        <w:rPr>
          <w:rFonts w:eastAsia="仿宋_GB2312"/>
          <w:sz w:val="32"/>
          <w:szCs w:val="32"/>
        </w:rPr>
        <w:t>年度决算无增减变化</w:t>
      </w:r>
      <w:r>
        <w:rPr>
          <w:rFonts w:hint="eastAsia" w:eastAsia="仿宋_GB2312"/>
          <w:sz w:val="32"/>
          <w:szCs w:val="32"/>
        </w:rPr>
        <w:t>。</w:t>
      </w:r>
    </w:p>
    <w:p>
      <w:pPr>
        <w:adjustRightInd w:val="0"/>
        <w:snapToGrid w:val="0"/>
        <w:spacing w:line="584" w:lineRule="exact"/>
        <w:ind w:firstLine="643" w:firstLineChars="200"/>
        <w:rPr>
          <w:rFonts w:eastAsia="仿宋_GB2312"/>
          <w:b/>
          <w:bCs/>
          <w:sz w:val="32"/>
          <w:szCs w:val="32"/>
        </w:rPr>
      </w:pPr>
      <w:r>
        <w:rPr>
          <w:rFonts w:eastAsia="楷体_GB2312"/>
          <w:b/>
          <w:bCs/>
          <w:sz w:val="32"/>
          <w:szCs w:val="32"/>
        </w:rPr>
        <w:t>（二）公务用车购置及运行维护费支出</w:t>
      </w:r>
      <w:r>
        <w:rPr>
          <w:rFonts w:hint="eastAsia" w:eastAsia="楷体_GB2312"/>
          <w:b/>
          <w:bCs/>
          <w:sz w:val="32"/>
          <w:szCs w:val="32"/>
        </w:rPr>
        <w:t>4.6</w:t>
      </w:r>
      <w:r>
        <w:rPr>
          <w:rFonts w:eastAsia="楷体_GB2312"/>
          <w:b/>
          <w:bCs/>
          <w:sz w:val="32"/>
          <w:szCs w:val="32"/>
        </w:rPr>
        <w:t>万元。</w:t>
      </w:r>
      <w:r>
        <w:rPr>
          <w:rFonts w:hint="eastAsia" w:ascii="仿宋_GB2312" w:eastAsia="仿宋_GB2312" w:cs="DengXian-Regular"/>
          <w:sz w:val="32"/>
          <w:szCs w:val="32"/>
        </w:rPr>
        <w:t>本部门2018年度公务用车购置及运行维护费比年初预算</w:t>
      </w:r>
      <w:r>
        <w:rPr>
          <w:rFonts w:eastAsia="仿宋_GB2312"/>
          <w:sz w:val="32"/>
          <w:szCs w:val="32"/>
        </w:rPr>
        <w:t>增加</w:t>
      </w:r>
      <w:r>
        <w:rPr>
          <w:rFonts w:hint="eastAsia" w:eastAsia="仿宋_GB2312"/>
          <w:sz w:val="32"/>
          <w:szCs w:val="32"/>
        </w:rPr>
        <w:t>0</w:t>
      </w:r>
      <w:r>
        <w:rPr>
          <w:rFonts w:eastAsia="仿宋_GB2312"/>
          <w:sz w:val="32"/>
          <w:szCs w:val="32"/>
        </w:rPr>
        <w:t>万元</w:t>
      </w:r>
      <w:r>
        <w:rPr>
          <w:rFonts w:hint="eastAsia" w:ascii="仿宋_GB2312" w:eastAsia="仿宋_GB2312" w:cs="DengXian-Regular"/>
          <w:sz w:val="32"/>
          <w:szCs w:val="32"/>
        </w:rPr>
        <w:t>，</w:t>
      </w:r>
      <w:r>
        <w:rPr>
          <w:rFonts w:eastAsia="仿宋_GB2312"/>
          <w:sz w:val="32"/>
          <w:szCs w:val="32"/>
        </w:rPr>
        <w:t>增长</w:t>
      </w:r>
      <w:r>
        <w:rPr>
          <w:rFonts w:hint="eastAsia" w:eastAsia="仿宋_GB2312"/>
          <w:sz w:val="32"/>
          <w:szCs w:val="32"/>
        </w:rPr>
        <w:t>0</w:t>
      </w:r>
      <w:r>
        <w:rPr>
          <w:rFonts w:eastAsia="仿宋_GB2312"/>
          <w:sz w:val="32"/>
          <w:szCs w:val="32"/>
        </w:rPr>
        <w:t>%</w:t>
      </w:r>
      <w:r>
        <w:rPr>
          <w:rFonts w:hint="eastAsia" w:ascii="仿宋_GB2312" w:eastAsia="仿宋_GB2312" w:cs="DengXian-Regular"/>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ascii="宋体" w:cs="宋体"/>
          <w:sz w:val="32"/>
          <w:szCs w:val="32"/>
        </w:rPr>
        <w:t>0</w:t>
      </w:r>
      <w:r>
        <w:rPr>
          <w:rFonts w:eastAsia="仿宋_GB2312"/>
          <w:sz w:val="32"/>
          <w:szCs w:val="32"/>
        </w:rPr>
        <w:t>万元，增长</w:t>
      </w:r>
      <w:r>
        <w:rPr>
          <w:rFonts w:hint="eastAsia" w:eastAsia="仿宋_GB2312"/>
          <w:sz w:val="32"/>
          <w:szCs w:val="32"/>
        </w:rPr>
        <w:t>0</w:t>
      </w:r>
      <w:r>
        <w:rPr>
          <w:rFonts w:eastAsia="仿宋_GB2312"/>
          <w:sz w:val="32"/>
          <w:szCs w:val="32"/>
        </w:rPr>
        <w:t>%，</w:t>
      </w:r>
      <w:r>
        <w:rPr>
          <w:rFonts w:eastAsia="仿宋_GB2312"/>
          <w:b/>
          <w:bCs/>
          <w:sz w:val="32"/>
          <w:szCs w:val="32"/>
        </w:rPr>
        <w:t>其中：</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公务用车购置费支出</w:t>
      </w:r>
      <w:r>
        <w:rPr>
          <w:rFonts w:hint="eastAsia" w:eastAsia="仿宋_GB2312"/>
          <w:b/>
          <w:sz w:val="32"/>
          <w:szCs w:val="32"/>
        </w:rPr>
        <w:t>0</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年度未发生公务用车购置经费支出。较年初预算无增减变化；较201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line="584" w:lineRule="exact"/>
        <w:ind w:firstLine="643" w:firstLineChars="200"/>
        <w:rPr>
          <w:rFonts w:eastAsia="仿宋_GB2312"/>
          <w:sz w:val="32"/>
          <w:szCs w:val="32"/>
          <w:highlight w:val="yellow"/>
        </w:rPr>
      </w:pPr>
      <w:r>
        <w:rPr>
          <w:rFonts w:eastAsia="仿宋_GB2312"/>
          <w:b/>
          <w:sz w:val="32"/>
          <w:szCs w:val="32"/>
        </w:rPr>
        <w:t>公务用车运行维护费支出</w:t>
      </w:r>
      <w:r>
        <w:rPr>
          <w:rFonts w:hint="eastAsia" w:eastAsia="仿宋_GB2312"/>
          <w:b/>
          <w:sz w:val="32"/>
          <w:szCs w:val="32"/>
        </w:rPr>
        <w:t>4.6</w:t>
      </w:r>
      <w:r>
        <w:rPr>
          <w:rFonts w:eastAsia="仿宋_GB2312"/>
          <w:b/>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年末单位公务用车保有量</w:t>
      </w:r>
      <w:r>
        <w:rPr>
          <w:rFonts w:hint="eastAsia" w:eastAsia="仿宋_GB2312"/>
          <w:sz w:val="32"/>
          <w:szCs w:val="32"/>
        </w:rPr>
        <w:t>0</w:t>
      </w:r>
      <w:r>
        <w:rPr>
          <w:rFonts w:eastAsia="仿宋_GB2312"/>
          <w:sz w:val="32"/>
          <w:szCs w:val="32"/>
        </w:rPr>
        <w:t>辆。公车运行维护费支出</w:t>
      </w:r>
      <w:r>
        <w:rPr>
          <w:rFonts w:hint="eastAsia" w:eastAsia="仿宋_GB2312"/>
          <w:sz w:val="32"/>
          <w:szCs w:val="32"/>
        </w:rPr>
        <w:t>比</w:t>
      </w:r>
      <w:r>
        <w:rPr>
          <w:rFonts w:eastAsia="仿宋_GB2312"/>
          <w:sz w:val="32"/>
          <w:szCs w:val="32"/>
        </w:rPr>
        <w:t>年初预算增加</w:t>
      </w:r>
      <w:r>
        <w:rPr>
          <w:rFonts w:hint="eastAsia" w:eastAsia="仿宋_GB2312"/>
          <w:sz w:val="32"/>
          <w:szCs w:val="32"/>
        </w:rPr>
        <w:t>0</w:t>
      </w:r>
      <w:r>
        <w:rPr>
          <w:rFonts w:eastAsia="仿宋_GB2312"/>
          <w:sz w:val="32"/>
          <w:szCs w:val="32"/>
        </w:rPr>
        <w:t>万元，增长</w:t>
      </w:r>
      <w:r>
        <w:rPr>
          <w:rFonts w:hint="eastAsia" w:eastAsia="仿宋_GB2312"/>
          <w:sz w:val="32"/>
          <w:szCs w:val="32"/>
        </w:rPr>
        <w:t>0</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年度决算增加</w:t>
      </w:r>
      <w:r>
        <w:rPr>
          <w:rFonts w:hint="eastAsia" w:eastAsia="仿宋_GB2312"/>
          <w:sz w:val="32"/>
          <w:szCs w:val="32"/>
        </w:rPr>
        <w:t>0</w:t>
      </w:r>
      <w:r>
        <w:rPr>
          <w:rFonts w:eastAsia="仿宋_GB2312"/>
          <w:sz w:val="32"/>
          <w:szCs w:val="32"/>
        </w:rPr>
        <w:t>万元，增长</w:t>
      </w:r>
      <w:r>
        <w:rPr>
          <w:rFonts w:hint="eastAsia" w:eastAsia="仿宋_GB2312"/>
          <w:sz w:val="32"/>
          <w:szCs w:val="32"/>
        </w:rPr>
        <w:t>0</w:t>
      </w:r>
      <w:r>
        <w:rPr>
          <w:rFonts w:eastAsia="仿宋_GB2312"/>
          <w:sz w:val="32"/>
          <w:szCs w:val="32"/>
        </w:rPr>
        <w:t>%。</w:t>
      </w:r>
    </w:p>
    <w:p>
      <w:pPr>
        <w:adjustRightInd w:val="0"/>
        <w:snapToGrid w:val="0"/>
        <w:spacing w:line="584" w:lineRule="exact"/>
        <w:ind w:firstLine="643" w:firstLineChars="200"/>
        <w:rPr>
          <w:rFonts w:eastAsia="仿宋_GB2312"/>
          <w:sz w:val="32"/>
          <w:szCs w:val="32"/>
          <w:highlight w:val="yellow"/>
        </w:rPr>
      </w:pPr>
      <w:r>
        <w:rPr>
          <w:rFonts w:eastAsia="楷体_GB2312"/>
          <w:b/>
          <w:bCs/>
          <w:sz w:val="32"/>
          <w:szCs w:val="32"/>
        </w:rPr>
        <w:t>（三）公务接待费支出</w:t>
      </w:r>
      <w:r>
        <w:rPr>
          <w:rFonts w:hint="eastAsia" w:eastAsia="楷体_GB2312"/>
          <w:b/>
          <w:bCs/>
          <w:sz w:val="32"/>
          <w:szCs w:val="32"/>
        </w:rPr>
        <w:t>0</w:t>
      </w:r>
      <w:r>
        <w:rPr>
          <w:rFonts w:eastAsia="楷体_GB2312"/>
          <w:b/>
          <w:bCs/>
          <w:sz w:val="32"/>
          <w:szCs w:val="32"/>
        </w:rPr>
        <w:t>万元。</w:t>
      </w:r>
      <w:r>
        <w:rPr>
          <w:rFonts w:eastAsia="仿宋_GB2312"/>
          <w:sz w:val="32"/>
          <w:szCs w:val="32"/>
        </w:rPr>
        <w:t>本部门201</w:t>
      </w:r>
      <w:r>
        <w:rPr>
          <w:rFonts w:hint="eastAsia" w:eastAsia="仿宋_GB2312"/>
          <w:sz w:val="32"/>
          <w:szCs w:val="32"/>
        </w:rPr>
        <w:t>8</w:t>
      </w:r>
      <w:r>
        <w:rPr>
          <w:rFonts w:eastAsia="仿宋_GB2312"/>
          <w:sz w:val="32"/>
          <w:szCs w:val="32"/>
        </w:rPr>
        <w:t>年度未发生公务接待经费支出。公务接待费支出较年初预算无增减变化；较201</w:t>
      </w:r>
      <w:r>
        <w:rPr>
          <w:rFonts w:hint="eastAsia" w:eastAsia="仿宋_GB2312"/>
          <w:sz w:val="32"/>
          <w:szCs w:val="32"/>
        </w:rPr>
        <w:t>7</w:t>
      </w:r>
      <w:r>
        <w:rPr>
          <w:rFonts w:eastAsia="仿宋_GB2312"/>
          <w:sz w:val="32"/>
          <w:szCs w:val="32"/>
        </w:rPr>
        <w:t>年度决算无增减变化。</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widowControl/>
        <w:spacing w:line="580" w:lineRule="exact"/>
        <w:ind w:firstLine="640" w:firstLineChars="200"/>
        <w:rPr>
          <w:rFonts w:eastAsia="仿宋_GB2312"/>
          <w:color w:val="000000"/>
          <w:kern w:val="0"/>
          <w:sz w:val="32"/>
          <w:szCs w:val="32"/>
        </w:rPr>
      </w:pPr>
      <w:r>
        <w:rPr>
          <w:rFonts w:hint="eastAsia" w:ascii="仿宋_GB2312" w:eastAsia="仿宋_GB2312" w:cs="DengXian-Regular"/>
          <w:sz w:val="32"/>
          <w:szCs w:val="32"/>
        </w:rPr>
        <w:t>（一）预算绩效管理工作开展情况。</w:t>
      </w:r>
      <w:r>
        <w:rPr>
          <w:rFonts w:hint="eastAsia" w:eastAsia="仿宋_GB2312"/>
          <w:color w:val="000000"/>
          <w:kern w:val="0"/>
          <w:sz w:val="32"/>
          <w:szCs w:val="32"/>
        </w:rPr>
        <w:t>我单位按照预算绩效管理改革要求，以绩效为导向，严格执行绩效预算管理。</w:t>
      </w:r>
      <w:r>
        <w:rPr>
          <w:rFonts w:eastAsia="仿宋_GB2312"/>
          <w:color w:val="000000"/>
          <w:kern w:val="0"/>
          <w:sz w:val="32"/>
          <w:szCs w:val="32"/>
        </w:rPr>
        <w:t>2018</w:t>
      </w:r>
      <w:r>
        <w:rPr>
          <w:rFonts w:hint="eastAsia" w:eastAsia="仿宋_GB2312"/>
          <w:color w:val="000000"/>
          <w:kern w:val="0"/>
          <w:sz w:val="32"/>
          <w:szCs w:val="32"/>
        </w:rPr>
        <w:t>年按照省、市文件要求，我单位重新修订了部门职责、工作活动及绩效评价指标，对预算项目执行及工作活动进行了绩效评价，并将绩效评价结果应用到实际工作中云，进一步提升了部门预算绩效管理工作水平。</w:t>
      </w:r>
    </w:p>
    <w:p>
      <w:pPr>
        <w:adjustRightInd w:val="0"/>
        <w:snapToGrid w:val="0"/>
        <w:spacing w:after="0" w:line="580" w:lineRule="exact"/>
        <w:ind w:firstLine="640" w:firstLineChars="200"/>
        <w:rPr>
          <w:rFonts w:eastAsia="仿宋_GB2312"/>
          <w:color w:val="000000"/>
          <w:kern w:val="0"/>
          <w:sz w:val="32"/>
          <w:szCs w:val="32"/>
        </w:rPr>
      </w:pPr>
      <w:r>
        <w:rPr>
          <w:rFonts w:hint="eastAsia" w:ascii="仿宋_GB2312" w:eastAsia="仿宋_GB2312" w:cs="DengXian-Regular"/>
          <w:sz w:val="32"/>
          <w:szCs w:val="32"/>
        </w:rPr>
        <w:t>（二）项目绩效自评结果。</w:t>
      </w:r>
      <w:r>
        <w:rPr>
          <w:rFonts w:eastAsia="仿宋_GB2312"/>
          <w:color w:val="000000"/>
          <w:kern w:val="0"/>
          <w:sz w:val="32"/>
          <w:szCs w:val="32"/>
        </w:rPr>
        <w:t>2018</w:t>
      </w:r>
      <w:r>
        <w:rPr>
          <w:rFonts w:hint="eastAsia" w:eastAsia="仿宋_GB2312"/>
          <w:color w:val="000000"/>
          <w:kern w:val="0"/>
          <w:sz w:val="32"/>
          <w:szCs w:val="32"/>
        </w:rPr>
        <w:t>年爱民东道街道办事处一般公共预算财政拨款本年收入2285.51万元，一般公共预算财政拨款本年支出2285.51万元，其中：人员经费</w:t>
      </w:r>
      <w:r>
        <w:rPr>
          <w:rFonts w:eastAsia="仿宋_GB2312"/>
          <w:color w:val="000000"/>
          <w:kern w:val="0"/>
          <w:sz w:val="32"/>
          <w:szCs w:val="32"/>
        </w:rPr>
        <w:t xml:space="preserve"> </w:t>
      </w:r>
      <w:r>
        <w:rPr>
          <w:rFonts w:hint="eastAsia" w:eastAsia="仿宋_GB2312"/>
          <w:color w:val="000000"/>
          <w:kern w:val="0"/>
          <w:sz w:val="32"/>
          <w:szCs w:val="32"/>
        </w:rPr>
        <w:t>1989.92万元，占总支出的</w:t>
      </w:r>
      <w:r>
        <w:rPr>
          <w:rFonts w:eastAsia="仿宋_GB2312"/>
          <w:color w:val="000000"/>
          <w:kern w:val="0"/>
          <w:sz w:val="32"/>
          <w:szCs w:val="32"/>
        </w:rPr>
        <w:t>85%</w:t>
      </w:r>
      <w:r>
        <w:rPr>
          <w:rFonts w:hint="eastAsia" w:eastAsia="仿宋_GB2312"/>
          <w:color w:val="000000"/>
          <w:kern w:val="0"/>
          <w:sz w:val="32"/>
          <w:szCs w:val="32"/>
        </w:rPr>
        <w:t>，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295.59万元，占总支出的</w:t>
      </w:r>
      <w:r>
        <w:rPr>
          <w:rFonts w:eastAsia="仿宋_GB2312"/>
          <w:color w:val="000000"/>
          <w:kern w:val="0"/>
          <w:sz w:val="32"/>
          <w:szCs w:val="32"/>
        </w:rPr>
        <w:t>15%</w:t>
      </w:r>
      <w:r>
        <w:rPr>
          <w:rFonts w:hint="eastAsia" w:eastAsia="仿宋_GB2312"/>
          <w:color w:val="000000"/>
          <w:kern w:val="0"/>
          <w:sz w:val="32"/>
          <w:szCs w:val="32"/>
        </w:rPr>
        <w:t>，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项目完成率为</w:t>
      </w:r>
      <w:r>
        <w:rPr>
          <w:rFonts w:eastAsia="仿宋_GB2312"/>
          <w:color w:val="000000"/>
          <w:kern w:val="0"/>
          <w:sz w:val="32"/>
          <w:szCs w:val="32"/>
        </w:rPr>
        <w:t>100%</w:t>
      </w:r>
      <w:r>
        <w:rPr>
          <w:rFonts w:hint="eastAsia" w:eastAsia="仿宋_GB2312"/>
          <w:color w:val="000000"/>
          <w:kern w:val="0"/>
          <w:sz w:val="32"/>
          <w:szCs w:val="32"/>
        </w:rPr>
        <w:t>。</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（三）重点项目绩效评价结果。</w:t>
      </w:r>
      <w:r>
        <w:rPr>
          <w:rFonts w:hint="eastAsia" w:ascii="宋体" w:cs="宋体"/>
          <w:sz w:val="32"/>
          <w:szCs w:val="32"/>
        </w:rPr>
        <w:t>爱民东道</w:t>
      </w:r>
      <w:r>
        <w:rPr>
          <w:rFonts w:hint="eastAsia" w:ascii="仿宋_GB2312" w:eastAsia="仿宋_GB2312" w:cs="DengXian-Regular"/>
          <w:sz w:val="32"/>
          <w:szCs w:val="32"/>
        </w:rPr>
        <w:t>街道办事处在</w:t>
      </w:r>
      <w:r>
        <w:rPr>
          <w:rFonts w:ascii="仿宋_GB2312" w:eastAsia="仿宋_GB2312" w:cs="DengXian-Regular"/>
          <w:sz w:val="32"/>
          <w:szCs w:val="32"/>
        </w:rPr>
        <w:t>2018</w:t>
      </w:r>
      <w:r>
        <w:rPr>
          <w:rFonts w:hint="eastAsia" w:ascii="仿宋_GB2312" w:eastAsia="仿宋_GB2312" w:cs="DengXian-Regular"/>
          <w:sz w:val="32"/>
          <w:szCs w:val="32"/>
        </w:rPr>
        <w:t>年的整个绩效目标执行过程中，能严格按照绩效管理有关规定和实现目标要求定期分析实施进程和实现进度，查找问题，加强管理，确保绩效目标的实现。</w:t>
      </w: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hint="eastAsia" w:ascii="宋体" w:cs="宋体"/>
          <w:sz w:val="32"/>
          <w:szCs w:val="32"/>
        </w:rPr>
        <w:t>2285.51</w:t>
      </w:r>
      <w:r>
        <w:rPr>
          <w:rFonts w:hint="eastAsia" w:ascii="仿宋_GB2312" w:eastAsia="仿宋_GB2312" w:cs="DengXian-Regular"/>
          <w:sz w:val="32"/>
          <w:szCs w:val="32"/>
        </w:rPr>
        <w:t>万元，比年初预算数增加</w:t>
      </w:r>
      <w:r>
        <w:rPr>
          <w:rFonts w:hint="eastAsia" w:ascii="宋体" w:cs="宋体"/>
          <w:sz w:val="32"/>
          <w:szCs w:val="32"/>
        </w:rPr>
        <w:t>454.82</w:t>
      </w:r>
      <w:r>
        <w:rPr>
          <w:rFonts w:hint="eastAsia" w:ascii="仿宋_GB2312" w:eastAsia="仿宋_GB2312" w:cs="DengXian-Regular"/>
          <w:sz w:val="32"/>
          <w:szCs w:val="32"/>
        </w:rPr>
        <w:t>万元，增长12</w:t>
      </w:r>
      <w:r>
        <w:rPr>
          <w:rFonts w:hint="eastAsia" w:ascii="宋体" w:cs="宋体"/>
          <w:sz w:val="32"/>
          <w:szCs w:val="32"/>
        </w:rPr>
        <w:t>4</w:t>
      </w:r>
      <w:r>
        <w:rPr>
          <w:rFonts w:hint="eastAsia" w:ascii="仿宋_GB2312" w:eastAsia="仿宋_GB2312" w:cs="DengXian-Regular"/>
          <w:sz w:val="32"/>
          <w:szCs w:val="32"/>
        </w:rPr>
        <w:t xml:space="preserve"> </w:t>
      </w:r>
      <w:r>
        <w:rPr>
          <w:rFonts w:eastAsia="仿宋_GB2312"/>
          <w:sz w:val="32"/>
          <w:szCs w:val="32"/>
        </w:rPr>
        <w:t>%</w:t>
      </w:r>
      <w:r>
        <w:rPr>
          <w:rFonts w:hint="eastAsia" w:ascii="仿宋_GB2312" w:eastAsia="仿宋_GB2312" w:cs="DengXian-Regular"/>
          <w:sz w:val="32"/>
          <w:szCs w:val="32"/>
        </w:rPr>
        <w:t>。</w:t>
      </w:r>
      <w:r>
        <w:rPr>
          <w:rFonts w:eastAsia="仿宋_GB2312"/>
          <w:sz w:val="32"/>
          <w:szCs w:val="32"/>
        </w:rPr>
        <w:t>较201</w:t>
      </w:r>
      <w:r>
        <w:rPr>
          <w:rFonts w:hint="eastAsia" w:eastAsia="仿宋_GB2312"/>
          <w:sz w:val="32"/>
          <w:szCs w:val="32"/>
        </w:rPr>
        <w:t>7</w:t>
      </w:r>
      <w:r>
        <w:rPr>
          <w:rFonts w:eastAsia="仿宋_GB2312"/>
          <w:sz w:val="32"/>
          <w:szCs w:val="32"/>
        </w:rPr>
        <w:t>年度决算增加</w:t>
      </w:r>
      <w:r>
        <w:rPr>
          <w:rFonts w:hint="eastAsia" w:eastAsia="仿宋_GB2312"/>
          <w:sz w:val="32"/>
          <w:szCs w:val="32"/>
        </w:rPr>
        <w:t>870.57</w:t>
      </w:r>
      <w:r>
        <w:rPr>
          <w:rFonts w:eastAsia="仿宋_GB2312"/>
          <w:sz w:val="32"/>
          <w:szCs w:val="32"/>
        </w:rPr>
        <w:t>万元，增长</w:t>
      </w:r>
      <w:r>
        <w:rPr>
          <w:rFonts w:hint="eastAsia" w:eastAsia="仿宋_GB2312"/>
          <w:sz w:val="32"/>
          <w:szCs w:val="32"/>
        </w:rPr>
        <w:t>38</w:t>
      </w:r>
      <w:r>
        <w:rPr>
          <w:rFonts w:eastAsia="仿宋_GB2312"/>
          <w:sz w:val="32"/>
          <w:szCs w:val="32"/>
        </w:rPr>
        <w:t>%，主要</w:t>
      </w:r>
      <w:r>
        <w:rPr>
          <w:rFonts w:hint="eastAsia" w:ascii="仿宋_GB2312" w:eastAsia="仿宋_GB2312" w:cs="DengXian-Regular"/>
          <w:sz w:val="32"/>
          <w:szCs w:val="32"/>
        </w:rPr>
        <w:t>原因</w:t>
      </w:r>
      <w:r>
        <w:rPr>
          <w:rFonts w:eastAsia="仿宋_GB2312"/>
          <w:sz w:val="32"/>
          <w:szCs w:val="32"/>
        </w:rPr>
        <w:t>是</w:t>
      </w:r>
      <w:r>
        <w:rPr>
          <w:rFonts w:hint="eastAsia" w:eastAsia="仿宋_GB2312"/>
          <w:sz w:val="32"/>
          <w:szCs w:val="32"/>
        </w:rPr>
        <w:t>增加</w:t>
      </w:r>
      <w:r>
        <w:rPr>
          <w:rFonts w:eastAsia="仿宋_GB2312"/>
          <w:sz w:val="32"/>
          <w:szCs w:val="32"/>
        </w:rPr>
        <w:t>预算。</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本部门2018年度政府采购支出总额118</w:t>
      </w:r>
      <w:r>
        <w:rPr>
          <w:rFonts w:hint="eastAsia" w:ascii="宋体" w:cs="宋体"/>
          <w:sz w:val="32"/>
          <w:szCs w:val="32"/>
        </w:rPr>
        <w:t>.47</w:t>
      </w:r>
      <w:r>
        <w:rPr>
          <w:rFonts w:hint="eastAsia" w:ascii="仿宋_GB2312" w:eastAsia="仿宋_GB2312" w:cs="DengXian-Regular"/>
          <w:sz w:val="32"/>
          <w:szCs w:val="32"/>
        </w:rPr>
        <w:t>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118</w:t>
      </w:r>
      <w:r>
        <w:rPr>
          <w:rFonts w:hint="eastAsia" w:ascii="宋体" w:cs="宋体"/>
          <w:color w:val="000000"/>
          <w:kern w:val="0"/>
          <w:sz w:val="32"/>
          <w:szCs w:val="32"/>
        </w:rPr>
        <w:t>.47</w:t>
      </w:r>
      <w:r>
        <w:rPr>
          <w:rFonts w:ascii="仿宋_GB2312" w:eastAsia="仿宋_GB2312" w:cs="仿宋_GB2312"/>
          <w:color w:val="000000"/>
          <w:kern w:val="0"/>
          <w:sz w:val="32"/>
          <w:szCs w:val="32"/>
        </w:rPr>
        <w:t xml:space="preserve"> 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万元、政府采购服务支出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万元。授予中小企业合同金</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118</w:t>
      </w:r>
      <w:r>
        <w:rPr>
          <w:rFonts w:hint="eastAsia" w:ascii="宋体" w:cs="宋体"/>
          <w:color w:val="000000"/>
          <w:kern w:val="0"/>
          <w:sz w:val="32"/>
          <w:szCs w:val="32"/>
        </w:rPr>
        <w:t>.47</w:t>
      </w:r>
      <w:r>
        <w:rPr>
          <w:rFonts w:ascii="仿宋_GB2312" w:eastAsia="仿宋_GB2312" w:cs="仿宋_GB2312"/>
          <w:color w:val="000000"/>
          <w:kern w:val="0"/>
          <w:sz w:val="32"/>
          <w:szCs w:val="32"/>
        </w:rPr>
        <w:t xml:space="preserve">万元，占政府采购支出总额的 </w:t>
      </w:r>
      <w:r>
        <w:rPr>
          <w:rFonts w:hint="eastAsia" w:ascii="仿宋_GB2312" w:eastAsia="仿宋_GB2312" w:cs="仿宋_GB2312"/>
          <w:color w:val="000000"/>
          <w:kern w:val="0"/>
          <w:sz w:val="32"/>
          <w:szCs w:val="32"/>
        </w:rPr>
        <w:t>100</w:t>
      </w:r>
      <w:r>
        <w:rPr>
          <w:rFonts w:asci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0辆，比上年增加0辆。其中，副部（省）级及以上领导用车0辆，主要领导干部用车0辆，机要通信用车0辆，应急保障用车2辆，执法执勤用车0辆，特种专业技术用车0辆，离退休干部用0辆，其他用车0辆，其他用车主要是0；单位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万元以上通用设备0台（套），比上年增加0套，单位价值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万元以上专用设备0台（套）比上年增加0套。</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ascii="仿宋_GB2312" w:eastAsia="仿宋_GB2312" w:cs="DengXian-Regular"/>
          <w:sz w:val="32"/>
          <w:szCs w:val="32"/>
        </w:rPr>
        <w:t>政府性基金预算、国有资本经营预算</w:t>
      </w:r>
      <w:r>
        <w:rPr>
          <w:rFonts w:hint="eastAsia" w:ascii="仿宋_GB2312" w:eastAsia="仿宋_GB2312" w:cs="DengXian-Regular"/>
          <w:sz w:val="32"/>
          <w:szCs w:val="32"/>
        </w:rPr>
        <w:t>无收支及结转结余情况，故</w:t>
      </w:r>
      <w:r>
        <w:rPr>
          <w:rFonts w:eastAsia="仿宋_GB2312"/>
          <w:sz w:val="32"/>
          <w:szCs w:val="32"/>
        </w:rPr>
        <w:t>政府性基金预算财政拨款收入支出决算表、国有资本经营预算</w:t>
      </w:r>
      <w:r>
        <w:rPr>
          <w:rFonts w:hint="eastAsia" w:eastAsia="仿宋_GB2312"/>
          <w:sz w:val="32"/>
          <w:szCs w:val="32"/>
        </w:rPr>
        <w:t>财政拨款</w:t>
      </w:r>
      <w:r>
        <w:rPr>
          <w:rFonts w:eastAsia="仿宋_GB2312"/>
          <w:sz w:val="32"/>
          <w:szCs w:val="32"/>
        </w:rPr>
        <w:t>支出决算表</w:t>
      </w:r>
      <w:r>
        <w:rPr>
          <w:rFonts w:hint="eastAsia" w:ascii="仿宋_GB2312" w:eastAsia="仿宋_GB2312" w:cs="DengXian-Regular"/>
          <w:sz w:val="32"/>
          <w:szCs w:val="32"/>
        </w:rPr>
        <w:t>以空表列示。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ascii="宋体" w:eastAsia="宋体" w:cs="MS-UIGothic,Bold"/>
          <w:b/>
          <w:bCs/>
          <w:kern w:val="0"/>
          <w:sz w:val="44"/>
          <w:szCs w:val="44"/>
        </w:rPr>
        <w:sectPr>
          <w:pgSz w:w="11906" w:h="16838"/>
          <w:pgMar w:top="2098" w:right="1474" w:bottom="1984" w:left="1588" w:header="851" w:footer="992" w:gutter="0"/>
          <w:cols w:space="720" w:num="1"/>
          <w:docGrid w:type="lines" w:linePitch="312" w:charSpace="0"/>
        </w:sect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p>
    <w:p>
      <w:pPr>
        <w:widowControl/>
        <w:spacing w:line="1200" w:lineRule="exact"/>
        <w:jc w:val="center"/>
        <w:rPr>
          <w:rFonts w:ascii="黑体" w:eastAsia="黑体"/>
          <w:color w:val="000000"/>
          <w:sz w:val="96"/>
          <w:szCs w:val="96"/>
        </w:rPr>
      </w:pPr>
      <w:r>
        <w:rPr>
          <w:rFonts w:hint="eastAsia" w:ascii="黑体" w:eastAsia="黑体"/>
          <w:color w:val="000000"/>
          <w:sz w:val="96"/>
          <w:szCs w:val="96"/>
        </w:rPr>
        <w:t>第四部分</w:t>
      </w:r>
    </w:p>
    <w:p>
      <w:pPr>
        <w:widowControl/>
        <w:spacing w:line="1200" w:lineRule="exact"/>
        <w:jc w:val="center"/>
        <w:rPr>
          <w:color w:val="000000"/>
          <w:sz w:val="96"/>
          <w:szCs w:val="96"/>
        </w:rPr>
      </w:pPr>
      <w:r>
        <w:rPr>
          <w:rFonts w:hint="eastAsia" w:ascii="黑体" w:eastAsia="黑体"/>
          <w:color w:val="000000"/>
          <w:sz w:val="96"/>
          <w:szCs w:val="96"/>
        </w:rPr>
        <w:t>名词解释</w:t>
      </w:r>
    </w:p>
    <w:p>
      <w:pPr>
        <w:rPr>
          <w:rFonts w:ascii="宋体" w:cs="ArialUnicodeMS"/>
          <w:color w:val="000000"/>
          <w:kern w:val="0"/>
        </w:rPr>
        <w:sectPr>
          <w:pgSz w:w="11906" w:h="16838"/>
          <w:pgMar w:top="2098" w:right="1474" w:bottom="1984" w:left="1588" w:header="851" w:footer="992" w:gutter="0"/>
          <w:cols w:space="720" w:num="1"/>
          <w:docGrid w:type="lines" w:linePitch="312" w:charSpace="0"/>
        </w:sectPr>
      </w:pP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（一）财政拨款收入：</w:t>
      </w:r>
      <w:r>
        <w:rPr>
          <w:rFonts w:hint="eastAsia" w:ascii="仿宋_GB2312"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（二）事业收入：</w:t>
      </w:r>
      <w:r>
        <w:rPr>
          <w:rFonts w:hint="eastAsia" w:ascii="仿宋_GB2312"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（三）其他收入：</w:t>
      </w:r>
      <w:r>
        <w:rPr>
          <w:rFonts w:hint="eastAsia" w:ascii="仿宋_GB2312"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（四）用事业基金弥补收支差额：</w:t>
      </w:r>
      <w:r>
        <w:rPr>
          <w:rFonts w:hint="eastAsia" w:ascii="仿宋_GB2312"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（五）年初结转和结余：</w:t>
      </w:r>
      <w:r>
        <w:rPr>
          <w:rFonts w:hint="eastAsia" w:ascii="仿宋_GB2312"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（六）结余分配：</w:t>
      </w:r>
      <w:r>
        <w:rPr>
          <w:rFonts w:hint="eastAsia" w:ascii="仿宋_GB2312"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（七）年末结转和结余：</w:t>
      </w:r>
      <w:r>
        <w:rPr>
          <w:rFonts w:hint="eastAsia" w:ascii="仿宋_GB2312"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（八）基本支出：</w:t>
      </w:r>
      <w:r>
        <w:rPr>
          <w:rFonts w:hint="eastAsia" w:ascii="仿宋_GB2312"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（九）项目支出：</w:t>
      </w:r>
      <w:r>
        <w:rPr>
          <w:rFonts w:hint="eastAsia" w:ascii="仿宋_GB2312"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（十）资本性支出（基本建设）：</w:t>
      </w:r>
      <w:r>
        <w:rPr>
          <w:rFonts w:hint="eastAsia" w:ascii="仿宋_GB2312" w:eastAsia="仿宋_GB2312"/>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（十一）资本性支出：</w:t>
      </w:r>
      <w:r>
        <w:rPr>
          <w:rFonts w:hint="eastAsia" w:ascii="仿宋_GB2312" w:eastAsia="仿宋_GB2312"/>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（十二）“三公”经费：</w:t>
      </w:r>
      <w:r>
        <w:rPr>
          <w:rFonts w:hint="eastAsia" w:ascii="仿宋_GB2312"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（十三）其他交通费用：</w:t>
      </w:r>
      <w:r>
        <w:rPr>
          <w:rFonts w:hint="eastAsia" w:ascii="仿宋_GB2312" w:eastAsia="仿宋_GB2312"/>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（十四）公务用车购置：</w:t>
      </w:r>
      <w:r>
        <w:rPr>
          <w:rFonts w:hint="eastAsia" w:ascii="仿宋_GB2312" w:eastAsia="仿宋_GB2312"/>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（十五）其他交通工具购置：</w:t>
      </w:r>
      <w:r>
        <w:rPr>
          <w:rFonts w:hint="eastAsia" w:ascii="仿宋_GB2312" w:eastAsia="仿宋_GB2312"/>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color w:val="000000"/>
          <w:kern w:val="0"/>
          <w:sz w:val="32"/>
          <w:szCs w:val="32"/>
        </w:rPr>
      </w:pPr>
      <w:r>
        <w:rPr>
          <w:rFonts w:hint="eastAsia" w:ascii="仿宋_GB2312" w:eastAsia="仿宋_GB2312"/>
          <w:b/>
          <w:bCs/>
          <w:color w:val="000000"/>
          <w:kern w:val="0"/>
          <w:sz w:val="32"/>
          <w:szCs w:val="32"/>
        </w:rPr>
        <w:t>（十六）机关运行经费：</w:t>
      </w:r>
      <w:r>
        <w:rPr>
          <w:rFonts w:hint="eastAsia" w:ascii="仿宋_GB2312"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kern w:val="0"/>
          <w:sz w:val="32"/>
          <w:szCs w:val="32"/>
        </w:rPr>
      </w:pPr>
      <w:r>
        <w:rPr>
          <w:rFonts w:hint="eastAsia" w:ascii="仿宋_GB2312" w:eastAsia="仿宋_GB2312"/>
          <w:b/>
          <w:bCs/>
          <w:color w:val="000000"/>
          <w:kern w:val="0"/>
          <w:sz w:val="32"/>
          <w:szCs w:val="32"/>
        </w:rPr>
        <w:t>（十七）经费形式:</w:t>
      </w:r>
      <w:r>
        <w:rPr>
          <w:rFonts w:hint="eastAsia" w:ascii="仿宋_GB2312" w:eastAsia="仿宋_GB2312"/>
          <w:color w:val="000000"/>
          <w:kern w:val="0"/>
          <w:sz w:val="32"/>
          <w:szCs w:val="32"/>
        </w:rPr>
        <w:t>按照经费来源，</w:t>
      </w:r>
      <w:r>
        <w:rPr>
          <w:rFonts w:hint="eastAsia" w:ascii="仿宋_GB2312" w:eastAsia="仿宋_GB2312" w:cs="ArialUnicodeMS"/>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ind w:firstLine="640" w:firstLineChars="20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MS-UIGothic,Bold">
    <w:altName w:val="Malgun Gothic"/>
    <w:panose1 w:val="00000000000000000000"/>
    <w:charset w:val="81"/>
    <w:family w:val="auto"/>
    <w:pitch w:val="default"/>
    <w:sig w:usb0="00000000" w:usb1="00000000" w:usb2="00000010" w:usb3="00000000" w:csb0="00080000" w:csb1="00000000"/>
  </w:font>
  <w:font w:name="DengXian-Regular">
    <w:altName w:val="宋体"/>
    <w:panose1 w:val="00000000000000000000"/>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0" w:lineRule="auto"/>
      </w:pPr>
      <w:r>
        <w:separator/>
      </w:r>
    </w:p>
  </w:footnote>
  <w:footnote w:type="continuationSeparator" w:id="1">
    <w:p>
      <w:pPr>
        <w:spacing w:before="0" w:after="0" w:line="48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compatSetting w:name="compatibilityMode" w:uri="http://schemas.microsoft.com/office/word" w:val="14"/>
  </w:compat>
  <w:rsids>
    <w:rsidRoot w:val="00000000"/>
    <w:rsid w:val="0FD45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libri" w:hAnsi="Calibri" w:eastAsia="宋体" w:cs="Arial"/>
      <w:b/>
      <w:bCs/>
      <w:sz w:val="32"/>
      <w:szCs w:val="32"/>
    </w:rPr>
  </w:style>
  <w:style w:type="paragraph" w:styleId="4">
    <w:name w:val="heading 3"/>
    <w:basedOn w:val="1"/>
    <w:next w:val="1"/>
    <w:uiPriority w:val="0"/>
    <w:pPr>
      <w:keepNext/>
      <w:keepLines/>
      <w:widowControl w:val="0"/>
      <w:spacing w:before="260" w:after="260" w:line="415" w:lineRule="auto"/>
      <w:outlineLvl w:val="2"/>
    </w:pPr>
    <w:rPr>
      <w:b/>
      <w:bCs/>
      <w:sz w:val="32"/>
      <w:szCs w:val="32"/>
    </w:rPr>
  </w:style>
  <w:style w:type="paragraph" w:styleId="5">
    <w:name w:val="heading 4"/>
    <w:basedOn w:val="1"/>
    <w:next w:val="1"/>
    <w:uiPriority w:val="0"/>
    <w:pPr>
      <w:keepNext/>
      <w:keepLines/>
      <w:widowControl w:val="0"/>
      <w:spacing w:before="280" w:after="290" w:line="377" w:lineRule="auto"/>
      <w:outlineLvl w:val="3"/>
    </w:pPr>
    <w:rPr>
      <w:rFonts w:ascii="Calibri" w:hAnsi="Calibri" w:eastAsia="宋体" w:cs="Arial"/>
      <w:b/>
      <w:bCs/>
      <w:sz w:val="28"/>
      <w:szCs w:val="28"/>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6">
    <w:name w:val="Date"/>
    <w:basedOn w:val="1"/>
    <w:next w:val="1"/>
    <w:uiPriority w:val="0"/>
    <w:pPr>
      <w:ind w:left="2500" w:leftChars="2500"/>
    </w:pPr>
  </w:style>
  <w:style w:type="paragraph" w:styleId="7">
    <w:name w:val="Balloon Text"/>
    <w:basedOn w:val="1"/>
    <w:uiPriority w:val="0"/>
    <w:rPr>
      <w:sz w:val="18"/>
      <w:szCs w:val="18"/>
    </w:rPr>
  </w:style>
  <w:style w:type="paragraph" w:styleId="8">
    <w:name w:val="footer"/>
    <w:basedOn w:val="1"/>
    <w:uiPriority w:val="0"/>
    <w:pPr>
      <w:tabs>
        <w:tab w:val="center" w:pos="4153"/>
        <w:tab w:val="right" w:pos="8306"/>
      </w:tabs>
      <w:snapToGrid w:val="0"/>
      <w:jc w:val="left"/>
    </w:pPr>
    <w:rPr>
      <w:rFonts w:ascii="Cambria" w:hAnsi="Cambria" w:eastAsia="黑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mbria" w:hAnsi="Cambria" w:eastAsia="黑体" w:cs="Times New Roman"/>
      <w:sz w:val="18"/>
      <w:szCs w:val="18"/>
    </w:rPr>
  </w:style>
  <w:style w:type="paragraph" w:styleId="10">
    <w:name w:val="Subtitle"/>
    <w:basedOn w:val="1"/>
    <w:next w:val="1"/>
    <w:uiPriority w:val="0"/>
    <w:pPr>
      <w:widowControl/>
      <w:spacing w:after="200" w:line="276" w:lineRule="auto"/>
      <w:jc w:val="left"/>
    </w:pPr>
    <w:rPr>
      <w:rFonts w:ascii="Calibri" w:hAnsi="Calibri" w:eastAsia="宋体" w:cs="Arial"/>
      <w:i/>
      <w:iCs/>
      <w:color w:val="F0A22E"/>
      <w:spacing w:val="15"/>
      <w:kern w:val="0"/>
      <w:sz w:val="24"/>
    </w:rPr>
  </w:style>
  <w:style w:type="paragraph" w:styleId="11">
    <w:name w:val="Title"/>
    <w:basedOn w:val="1"/>
    <w:next w:val="1"/>
    <w:uiPriority w:val="0"/>
    <w:pPr>
      <w:widowControl/>
      <w:pBdr>
        <w:bottom w:val="single" w:color="F0A22E" w:sz="8" w:space="4"/>
      </w:pBdr>
      <w:spacing w:after="300"/>
      <w:contextualSpacing/>
      <w:jc w:val="left"/>
    </w:pPr>
    <w:rPr>
      <w:rFonts w:ascii="Calibri" w:hAnsi="Calibri" w:eastAsia="宋体" w:cs="Arial"/>
      <w:color w:val="3A2C24"/>
      <w:spacing w:val="5"/>
      <w:kern w:val="28"/>
      <w:sz w:val="52"/>
      <w:szCs w:val="52"/>
    </w:rPr>
  </w:style>
  <w:style w:type="paragraph" w:customStyle="1" w:styleId="14">
    <w:name w:val="No Spacing"/>
    <w:uiPriority w:val="0"/>
    <w:pPr>
      <w:spacing w:after="160" w:line="480" w:lineRule="auto"/>
    </w:pPr>
    <w:rPr>
      <w:rFonts w:ascii="Cambria" w:hAnsi="Cambria" w:eastAsia="黑体" w:cs="Times New Roman"/>
      <w:sz w:val="22"/>
      <w:szCs w:val="22"/>
      <w:lang w:val="en-US" w:eastAsia="zh-CN" w:bidi="ar-SA"/>
    </w:rPr>
  </w:style>
  <w:style w:type="character" w:customStyle="1" w:styleId="15">
    <w:name w:val="Style1"/>
    <w:basedOn w:val="13"/>
    <w:uiPriority w:val="0"/>
    <w:rPr>
      <w:rFonts w:ascii="Cambria" w:hAnsi="Cambria" w:eastAsia="黑体" w:cs="Times New Roman"/>
      <w:sz w:val="22"/>
      <w:szCs w:val="22"/>
      <w:lang w:eastAsia="zh-CN"/>
    </w:rPr>
  </w:style>
  <w:style w:type="character" w:customStyle="1" w:styleId="16">
    <w:name w:val="Style2"/>
    <w:basedOn w:val="13"/>
    <w:uiPriority w:val="0"/>
    <w:rPr>
      <w:rFonts w:ascii="Cambria" w:hAnsi="Cambria" w:eastAsia="黑体" w:cs="Times New Roman"/>
      <w:sz w:val="22"/>
      <w:szCs w:val="22"/>
      <w:lang w:eastAsia="zh-CN"/>
    </w:rPr>
  </w:style>
  <w:style w:type="character" w:customStyle="1" w:styleId="17">
    <w:name w:val="Style3"/>
    <w:basedOn w:val="13"/>
    <w:uiPriority w:val="0"/>
    <w:rPr>
      <w:rFonts w:ascii="Cambria" w:hAnsi="Cambria" w:eastAsia="黑体" w:cs="Times New Roman"/>
      <w:szCs w:val="22"/>
      <w:lang w:eastAsia="zh-CN"/>
    </w:rPr>
  </w:style>
  <w:style w:type="character" w:customStyle="1" w:styleId="18">
    <w:name w:val="Style4"/>
    <w:basedOn w:val="13"/>
    <w:uiPriority w:val="0"/>
    <w:rPr>
      <w:rFonts w:ascii="Cambria" w:hAnsi="Cambria" w:eastAsia="黑体" w:cs="Times New Roman"/>
      <w:szCs w:val="22"/>
      <w:lang w:eastAsia="zh-CN"/>
    </w:rPr>
  </w:style>
  <w:style w:type="character" w:customStyle="1" w:styleId="19">
    <w:name w:val="Style5"/>
    <w:basedOn w:val="13"/>
    <w:uiPriority w:val="0"/>
    <w:rPr>
      <w:rFonts w:ascii="Cambria" w:hAnsi="Cambria" w:eastAsia="黑体" w:cs="Times New Roman"/>
      <w:sz w:val="22"/>
      <w:szCs w:val="22"/>
      <w:lang w:eastAsia="zh-CN"/>
    </w:rPr>
  </w:style>
  <w:style w:type="paragraph" w:customStyle="1" w:styleId="20">
    <w:name w:val="List Paragraph"/>
    <w:basedOn w:val="1"/>
    <w:uiPriority w:val="0"/>
    <w:pPr>
      <w:ind w:firstLine="200" w:firstLineChars="200"/>
    </w:pPr>
  </w:style>
  <w:style w:type="paragraph" w:customStyle="1" w:styleId="21">
    <w:name w:val="普通(网站)1"/>
    <w:next w:val="8"/>
    <w:uiPriority w:val="0"/>
    <w:pPr>
      <w:widowControl w:val="0"/>
    </w:pPr>
    <w:rPr>
      <w:rFonts w:ascii="Calibri" w:hAnsi="Calibri" w:eastAsia="宋体" w:cs="黑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17</Pages>
  <Words>4421</Words>
  <Characters>4751</Characters>
  <Lines>274</Lines>
  <Paragraphs>96</Paragraphs>
  <TotalTime>341</TotalTime>
  <ScaleCrop>false</ScaleCrop>
  <LinksUpToDate>false</LinksUpToDate>
  <CharactersWithSpaces>4771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lenovo</cp:lastModifiedBy>
  <cp:lastPrinted>2019-09-27T00:42:00Z</cp:lastPrinted>
  <dcterms:modified xsi:type="dcterms:W3CDTF">2023-06-02T02:02:24Z</dcterms:modified>
  <dc:subject>石家庄市xxx部门</dc:subject>
  <dc:title>2017年度部门决算</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048797A7B9284AB096AD0AFFEDF20EE2</vt:lpwstr>
  </property>
</Properties>
</file>