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廊坊市广阳区残疾人联合会2017年部门预算信息公开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廊坊市广阳区残疾人联合会</w:t>
      </w:r>
      <w:r>
        <w:rPr>
          <w:rFonts w:hint="eastAsia" w:ascii="仿宋_GB2312" w:eastAsia="仿宋_GB2312"/>
          <w:sz w:val="32"/>
          <w:szCs w:val="32"/>
        </w:rPr>
        <w:t xml:space="preserve"> 2017年部门预算公开如下：</w:t>
      </w:r>
    </w:p>
    <w:p>
      <w:pPr>
        <w:widowControl/>
        <w:jc w:val="left"/>
        <w:rPr>
          <w:rFonts w:ascii="仿宋_GB2312" w:eastAsia="仿宋_GB2312" w:cs="宋体"/>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1、听取残疾人意见，反映残疾人需求，维护残疾人合法权益，为残疾人服务。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2、团结、教育残疾人遵守法律，履行应尽的业务，发挥乐观进取精神，自尊、自信、自强、自立、为社会主义建设贡献力量。</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3、弘扬人道主义，宣传残疾人事业，沟通政府、社会与残疾人之间的联系，动员社会理解、尊重、关心、帮助残疾人。</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4、开展残疾人康复、教育、劳动就业、扶贫、文化、体育、社会服务和残疾人预防工作，协调落实对残疾人各种优惠政策，创造良好的环境和条件，帮助残疾人平等参与社会生活。</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5、协助区政府研究、制定和实施残疾人事业的地方性法规政策、规划和计划，对有关领域进行指导和管理。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6、承担区政府残疾人工作协调委员会的日常工作，做好综合、组织、协调和服务。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7、协助乡镇、街办处残联理事长的工作，并在业务上给予指导。</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8、负责对各类残疾人社会团体组织进行监督管理。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9、开展残疾人事业的国际交流与合作。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10、承担区委、区政府交办的其他工作。</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部门机构设置情况</w:t>
      </w:r>
    </w:p>
    <w:tbl>
      <w:tblPr>
        <w:tblStyle w:val="4"/>
        <w:tblW w:w="954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30"/>
        <w:gridCol w:w="1125"/>
        <w:gridCol w:w="1257"/>
        <w:gridCol w:w="28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jc w:val="center"/>
        </w:trPr>
        <w:tc>
          <w:tcPr>
            <w:tcW w:w="436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3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5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6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b/>
                <w:bCs/>
                <w:kern w:val="0"/>
                <w:sz w:val="32"/>
                <w:szCs w:val="32"/>
              </w:rPr>
              <w:t>廊坊市广阳区残疾人联合会</w:t>
            </w:r>
          </w:p>
        </w:tc>
        <w:tc>
          <w:tcPr>
            <w:tcW w:w="113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26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5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numPr>
          <w:ilvl w:val="0"/>
          <w:numId w:val="1"/>
        </w:numPr>
        <w:ind w:left="320" w:leftChars="0" w:firstLine="0" w:firstLineChars="0"/>
        <w:jc w:val="left"/>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2017年预算收入134.86万元，其中：一般公共预算收入134.86万元，政府性基金收入0万元。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2017年支出预算134.86万元，其中基本支出111.96万元，包括人员经费和日常公用经费；项目支出22.9万元，主要为中央残疾人事业发展补助资金。</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2017年预算收支安排134.86万元，较2016年预算减少51.69万元，其中：基本支出增加18.84万元，主要为增加人员经费支出；项目支出减少70.53万元，主要为财力紧张，预算未安排。</w:t>
      </w:r>
    </w:p>
    <w:p>
      <w:pPr>
        <w:widowControl/>
        <w:numPr>
          <w:numId w:val="0"/>
        </w:numPr>
        <w:ind w:left="320" w:leftChars="0" w:firstLine="643" w:firstLineChars="200"/>
        <w:jc w:val="left"/>
        <w:rPr>
          <w:rFonts w:ascii="仿宋_GB2312" w:eastAsia="仿宋_GB2312" w:cs="宋体"/>
          <w:kern w:val="0"/>
          <w:sz w:val="32"/>
          <w:szCs w:val="32"/>
        </w:rPr>
      </w:pPr>
      <w:bookmarkStart w:id="0" w:name="_GoBack"/>
      <w:bookmarkEnd w:id="0"/>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2017年预算安排我部门机关运行经费0.39万元，其中办公经费0.39万元。</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黑体" w:eastAsia="黑体" w:cs="宋体"/>
          <w:color w:val="000000"/>
          <w:kern w:val="0"/>
          <w:sz w:val="32"/>
          <w:szCs w:val="32"/>
          <w:lang w:val="en-US" w:eastAsia="zh-CN"/>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一是实施开展助行、助听、助视工程。为使更多残疾人得到合理康复，区残联开展了“助行、助听、助视”工程。我们为1名残疾人安装假肢，为1名残疾人适配矫形器，为1名残疾儿童进行肢体矫治手术，累计花费3万余元；联合城南骨科医院为40例股骨头坏死、患儿肢体先天畸形、膝关节严重变形、脊柱畸形所造成的严重功能障碍的残疾人进行矫治手术，补贴手术费用20万元；为杨云强等4名听力残疾人发放助听器；为90余名盲人及低视力残疾人提供盲杖、助视器等辅具124件，为30名盲人提供定向行走训练。</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二是实施脑瘫康复救助工程。对贫困脑瘫儿童实施康复救助，我们与燕郊中美医院、廊坊市广安医院、廊坊市城南医院协作，为16名脑瘫儿童提供免费脑瘫训练；另外为6名贫困脑瘫儿童发放康复救助金39600元。</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三是做好残疾人辅助器供应服务工作。以残疾人需求为导向，以方便残疾人为原则，认真负责做好残疾人康复辅助器具免费供应和指导服务工作。今年以来，我们为全区72名残疾人发放各类辅助器具100余台件，另有部分辅具正在逐一发放，此项工作共投入资金15万元。</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是大力推进社区残疾人康复机构建设及康复人才培养。社区康复是目前开展残疾人康复服务工作的主要形式，是以基层街道（乡镇）、社区（村）为平台，建立残疾人康复室、康复站，培训基层康复人员，达到就近、以便为残疾人提供康复服务。今年，我们又新建了六景社区康复站，累计培训社区康复协调员116人次。这一举措，使得我区社区康复站建设覆盖面更广，受益残疾人更多，向“人人享有康复”这一步目标又迈进一大步。</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部门职责分类绩效目标情况说明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今年，我们将围绕全区残疾人中心工作，以发展残疾人事业为主体，解放思想，与时俱进，真抓实干，主要做好以下几方面工作：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一、认真宣传贯彻《中华人民共和国</w:t>
      </w:r>
      <w:r>
        <w:rPr>
          <w:rFonts w:hint="eastAsia" w:ascii="仿宋_GB2312" w:eastAsia="仿宋_GB2312" w:cs="宋体"/>
          <w:color w:val="000000"/>
          <w:kern w:val="0"/>
          <w:sz w:val="32"/>
          <w:szCs w:val="32"/>
          <w:lang w:eastAsia="zh-CN"/>
        </w:rPr>
        <w:t>残疾人</w:t>
      </w:r>
      <w:r>
        <w:rPr>
          <w:rFonts w:hint="eastAsia" w:ascii="仿宋_GB2312" w:eastAsia="仿宋_GB2312" w:cs="宋体"/>
          <w:color w:val="000000"/>
          <w:kern w:val="0"/>
          <w:sz w:val="32"/>
          <w:szCs w:val="32"/>
        </w:rPr>
        <w:t>保障法》，落实好残疾人各项扶助政策；</w:t>
      </w:r>
      <w:r>
        <w:rPr>
          <w:rFonts w:hint="eastAsia" w:ascii="仿宋_GB2312" w:eastAsia="仿宋_GB2312" w:cs="宋体"/>
          <w:color w:val="000000"/>
          <w:kern w:val="0"/>
          <w:sz w:val="32"/>
          <w:szCs w:val="32"/>
          <w:highlight w:val="yellow"/>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二、认真做好残疾人扶贫解困，康复就业，信访等工作，调动社会力量，广泛参与残疾人工作。争取各级组织和社会的关爱、奉献、形成“尊重、关心、帮助残疾人”的良好舆论环境和就业环境，营造“送温暖、献爱心”的浓厚社会气氛。</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三、加大残疾人农村实用技术培训，努力为残疾人服务。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四、认真做好基层残联建设工作，协调、督促好乡镇、街道残联工作。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五、认真抓好法定助残日的宣传工作，调动社会力量，广泛参与残疾人活动。</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六、建立健全残疾人信息、基础档案。</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七、积极主动完成区委、区政府及上级残联交办的各项工作任务。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56"/>
        <w:gridCol w:w="1068"/>
        <w:gridCol w:w="1729"/>
        <w:gridCol w:w="1921"/>
        <w:gridCol w:w="1038"/>
        <w:gridCol w:w="732"/>
        <w:gridCol w:w="732"/>
        <w:gridCol w:w="637"/>
        <w:gridCol w:w="6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558廊坊市广阳区残疾人联合会</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残疾人法律维权</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健全残疾人法律服务体系，切实保障残疾人合法权益；全面推进城乡无障碍环境建设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保障残疾人的诉求能够得到及时解决，保障残疾人出行权利。</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残疾人法律维权</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接待残疾人来信来访，处理残疾人维权案件，为有需求的残疾人提供法律援助和临时救助，制定残疾人法律法规</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维护残疾人合法权益，对特困残疾人进行救助，促进社会稳定。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通过调查，上访的残疾人对信访服务的满意程度。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维护残疾人合法权益，对特困残疾人进行救助，促进社会稳定。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通过调查、了解，接受法律援助的残疾人对援助服务的满意程度。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残疾人无障碍环境建设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加强对无障碍设施的管理，保障残疾人出行便利，对残疾人家庭进行无障碍改造</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保障残疾人出行便利，融入社会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通过调查、了解，残疾人对出行的满意程度。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残疾人服务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22.90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开展康复、扶贫、教育培训等活动，直接为残疾人服务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逐步实现残疾人“人人享有康复服务”，保障贫困和重度残疾人基本生活，提高残疾儿童义务教育入学率和残疾人就业率，丰富残疾人文体生活</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残疾人康复</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加强残疾人康复设施、机构建设，实施康复重点项目,为贫困残疾人、重度残疾人、残疾儿童、农村残疾人提供基本的康复服务</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逐步实现残疾人“人人享有基本康复服务”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通过创建康复示范机构或社区康复示范点，促进康复机构规范化标准化建设</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逐步实现残疾人“人人享有基本康复服务”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接受培训的基层康复人才通过服务能力测评并在本岗位切实为残疾人开展康复服务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逐步实现残疾人“人人享有基本康复服务”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接受救助的残疾人年度末次和年度初次康复效果评估相比效果明显</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残疾人扶贫和社会保障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加强农村残疾人扶贫开发，实施精准扶贫；逐步建立并实施重度贫困残疾人生活补贴和重度残疾人护理津贴制度；逐步建立残疾人托养补贴制度</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促进残疾人增收；保障贫困重度残疾人基本生活；为就业年龄段智力、精神、重度残疾人提供护理补贴。</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享受康复扶贫贷款贴息扶持增收的残疾人数占年度扶持残疾人总数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促进残疾人增收；保障贫困重度残疾人基本生活；为就业年龄段智力、精神、重度残疾人提供护理补贴。</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符合条件的重度残疾人纳入生活补贴范围</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促进残疾人增收；保障贫困重度残疾人基本生活；为就业年龄段智力、精神、重度残疾人提供护理补贴。</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就业年龄段智力、精神、重度肢体残疾人护理照料覆盖率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残疾人教育培训就业</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22.90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大力发展特殊教育，对各类残疾人实施职业技能培训，扶持残疾人职业技能培训基地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对当年考入高等学校残疾大学生及残疾人家庭子女实施资助；提高残疾人就业率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符合资助条件残疾人纳入资助范围</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对当年考入高等学校残疾大学生及残疾人家庭子女实施资助；提高残疾人就业率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通过培训已实现就业人数占已接受培训人数的比例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残疾人宣传文体和志愿者助残</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组织开展群众性文体活动，发展残疾人竞技体育；建立残疾人志愿者服务体系</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媒体宣传广泛深入，残疾人文体生活丰富，残疾人文化体育比赛成绩优良，助残志愿者与残疾人对接良好</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在残疾人文艺汇演中取得好成绩</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媒体宣传广泛深入，残疾人文体生活丰富，残疾人文化体育比赛成绩优良，助残志愿者与残疾人对接良好</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hint="eastAsia" w:ascii="仿宋_GB2312" w:eastAsia="仿宋_GB2312" w:cs="宋体"/>
                <w:color w:val="000000"/>
                <w:kern w:val="0"/>
                <w:sz w:val="32"/>
                <w:szCs w:val="32"/>
                <w:lang w:eastAsia="zh-CN"/>
              </w:rPr>
            </w:pPr>
            <w:r>
              <w:rPr>
                <w:rFonts w:hint="eastAsia" w:ascii="仿宋_GB2312" w:eastAsia="仿宋_GB2312" w:cs="宋体"/>
                <w:color w:val="000000"/>
                <w:kern w:val="0"/>
                <w:sz w:val="32"/>
                <w:szCs w:val="32"/>
              </w:rPr>
              <w:t>助残志愿者与残疾人无缝对接人员占助残志愿者人数</w:t>
            </w:r>
            <w:r>
              <w:rPr>
                <w:rFonts w:hint="eastAsia" w:ascii="仿宋_GB2312" w:eastAsia="仿宋_GB2312" w:cs="宋体"/>
                <w:color w:val="000000"/>
                <w:kern w:val="0"/>
                <w:sz w:val="32"/>
                <w:szCs w:val="32"/>
                <w:lang w:eastAsia="zh-CN"/>
              </w:rPr>
              <w:t>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媒体宣传广泛深入，残疾人文体生活丰富，残疾人文化体育比赛成绩优良，助残志愿者与残疾人对接良好</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通过举办群众性残疾人文体活动，满足残疾人融入社会的需求</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媒体宣传广泛深入，残疾人文体生活丰富，残疾人文化体育比赛成绩优良，助残志愿者与残疾人对接良好</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在残疾人体育赛事上取得好成绩</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媒体宣传广泛深入，残疾人文体生活丰富，残疾人文化体育比赛成绩优良，助残志愿者与残疾人对接良好</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市级主要媒体刊播助残公益广告的数量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残疾人综合业务管理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对持证残疾人需求情况进行调查，对残疾人状况进行动态监测，加强和规范残疾人基层组织建设，加大残疾人就业保障金的征收力度，加强残疾人工作信息化建设和基础研究</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摸清残疾人底数，增强基层服务残疾人的能力，确保残疾人就业保障金的稳定增收；构建残疾人公共服务网络化平台。</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残疾人就业保障金征收</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对残疾人就业保障金征收工作进行督导，应收尽收</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促进残疾人就业保障金稳定增收，促进残疾人稳定就业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多措并举，征收残疾人就业保障金，确保稳定增收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综合业务管理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设施设备运转保障、残疾人组织建设、工作信息化建设等项工作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发挥专门协会桥梁纽带作用，联系广大残疾人；提高残疾人证办证率；增强基层服务残疾人的能力；保障正常运转，促进残疾人事业发展。</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对残疾人情况调查的基本信息准确的人数占被抽查核实人数的比例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发挥专门协会桥梁纽带作用，联系广大残疾人；提高残疾人证办证率；增强基层服务残疾人的能力；保障正常运转，促进残疾人事业发展。</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按照中国残联的要求开展活动，已开展的活动占计划活动的比例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w:t>
            </w:r>
          </w:p>
        </w:tc>
      </w:tr>
    </w:tbl>
    <w:p>
      <w:pPr>
        <w:widowControl/>
        <w:spacing w:line="360" w:lineRule="atLeast"/>
        <w:jc w:val="left"/>
        <w:rPr>
          <w:rFonts w:ascii="宋体" w:hAnsi="宋体" w:eastAsia="黑体" w:cs="宋体"/>
          <w:color w:val="000000"/>
          <w:kern w:val="0"/>
          <w:sz w:val="32"/>
          <w:szCs w:val="32"/>
        </w:rPr>
      </w:pPr>
      <w:r>
        <w:rPr>
          <w:rFonts w:hint="eastAsia" w:ascii="宋体" w:hAnsi="宋体" w:eastAsia="黑体" w:cs="宋体"/>
          <w:color w:val="000000"/>
          <w:kern w:val="0"/>
          <w:sz w:val="32"/>
          <w:szCs w:val="32"/>
        </w:rPr>
        <w:t> </w:t>
      </w: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廊坊市广阳区残疾人联合会</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我部门（含所属单位）上年末固定资产金额为48.16万元，本年度无拟购置固定资产</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详见下表。</w:t>
      </w:r>
    </w:p>
    <w:tbl>
      <w:tblPr>
        <w:tblStyle w:val="4"/>
        <w:tblW w:w="10290" w:type="dxa"/>
        <w:jc w:val="center"/>
        <w:tblCellSpacing w:w="0" w:type="dxa"/>
        <w:tblLayout w:type="autofit"/>
        <w:tblCellMar>
          <w:top w:w="0" w:type="dxa"/>
          <w:left w:w="0" w:type="dxa"/>
          <w:bottom w:w="0" w:type="dxa"/>
          <w:right w:w="0" w:type="dxa"/>
        </w:tblCellMar>
      </w:tblPr>
      <w:tblGrid>
        <w:gridCol w:w="4040"/>
        <w:gridCol w:w="2465"/>
        <w:gridCol w:w="3905"/>
      </w:tblGrid>
      <w:tr>
        <w:tblPrEx>
          <w:tblCellMar>
            <w:top w:w="0" w:type="dxa"/>
            <w:left w:w="0" w:type="dxa"/>
            <w:bottom w:w="0" w:type="dxa"/>
            <w:right w:w="0" w:type="dxa"/>
          </w:tblCellMar>
        </w:tblPrEx>
        <w:trPr>
          <w:trHeight w:val="705" w:hRule="atLeast"/>
          <w:tblCellSpacing w:w="0" w:type="dxa"/>
          <w:jc w:val="center"/>
        </w:trPr>
        <w:tc>
          <w:tcPr>
            <w:tcW w:w="10320"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450"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廊坊市广阳区残疾人联合会</w:t>
            </w:r>
          </w:p>
        </w:tc>
        <w:tc>
          <w:tcPr>
            <w:tcW w:w="3885"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4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99"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4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48.16</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4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4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4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34.71</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4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4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13.45</w:t>
            </w:r>
          </w:p>
        </w:tc>
      </w:tr>
    </w:tbl>
    <w:p>
      <w:pPr>
        <w:pStyle w:val="7"/>
        <w:rPr>
          <w:rFonts w:ascii="仿宋_GB2312" w:eastAsia="仿宋_GB2312"/>
          <w:b/>
          <w:bCs/>
          <w:sz w:val="32"/>
          <w:szCs w:val="32"/>
        </w:rPr>
      </w:pPr>
      <w:r>
        <w:rPr>
          <w:rFonts w:hint="eastAsia" w:ascii="宋体" w:hAnsi="宋体" w:eastAsia="黑体" w:cs="宋体"/>
          <w:sz w:val="32"/>
          <w:szCs w:val="32"/>
        </w:rPr>
        <w:t> </w:t>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B02A5"/>
    <w:multiLevelType w:val="singleLevel"/>
    <w:tmpl w:val="A97B02A5"/>
    <w:lvl w:ilvl="0" w:tentative="0">
      <w:start w:val="2"/>
      <w:numFmt w:val="chineseCounting"/>
      <w:suff w:val="nothing"/>
      <w:lvlText w:val="%1、"/>
      <w:lvlJc w:val="left"/>
      <w:pPr>
        <w:ind w:left="3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BB"/>
    <w:rsid w:val="003F5BC3"/>
    <w:rsid w:val="008A49BB"/>
    <w:rsid w:val="00DC2CC4"/>
    <w:rsid w:val="0C8534CA"/>
    <w:rsid w:val="24CD79B0"/>
    <w:rsid w:val="256C6A48"/>
    <w:rsid w:val="5BA73AB1"/>
    <w:rsid w:val="68355C38"/>
    <w:rsid w:val="7DE9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858</Words>
  <Characters>4891</Characters>
  <Lines>40</Lines>
  <Paragraphs>11</Paragraphs>
  <TotalTime>16</TotalTime>
  <ScaleCrop>false</ScaleCrop>
  <LinksUpToDate>false</LinksUpToDate>
  <CharactersWithSpaces>5738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2017-10-27T09:46:00Z</dcterms:created>
  <dc:creator>lenovo</dc:creator>
  <cp:lastModifiedBy>111</cp:lastModifiedBy>
  <dcterms:modified xsi:type="dcterms:W3CDTF">2024-07-22T02:16:27Z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B59928F6010641728890481D3F6E9EB6</vt:lpwstr>
  </property>
</Properties>
</file>