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1" w:name="_GoBack"/>
      <w:bookmarkEnd w:id="1"/>
      <w:r>
        <w:rPr>
          <w:rFonts w:hint="eastAsia" w:ascii="方正小标宋简体" w:eastAsia="方正小标宋简体" w:cs="宋体"/>
          <w:b/>
          <w:bCs/>
          <w:color w:val="000000"/>
          <w:kern w:val="0"/>
          <w:sz w:val="44"/>
          <w:szCs w:val="44"/>
        </w:rPr>
        <w:t>廊坊市广阳区残疾人联合会</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按照《预算法》、《地方预决算公开操作规程》和《河北省省级预算公开办法》规定，现将</w:t>
      </w:r>
      <w:r>
        <w:rPr>
          <w:rFonts w:hint="eastAsia" w:ascii="仿宋_GB2312" w:eastAsia="仿宋_GB2312" w:cs="宋体"/>
          <w:color w:val="000000"/>
          <w:kern w:val="0"/>
          <w:sz w:val="32"/>
          <w:szCs w:val="32"/>
        </w:rPr>
        <w:t>廊坊市广阳区残疾人联合会</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hint="eastAsia" w:ascii="仿宋_GB2312" w:eastAsia="仿宋_GB2312" w:cs="宋体"/>
          <w:bCs/>
          <w:color w:val="000000"/>
          <w:kern w:val="0"/>
          <w:sz w:val="32"/>
          <w:szCs w:val="32"/>
        </w:rPr>
        <w:t>、听取残疾人意见，反映残疾人需求，维护残疾人合法权益，为残疾人服务。</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hint="eastAsia" w:ascii="仿宋_GB2312" w:eastAsia="仿宋_GB2312" w:cs="宋体"/>
          <w:bCs/>
          <w:color w:val="000000"/>
          <w:kern w:val="0"/>
          <w:sz w:val="32"/>
          <w:szCs w:val="32"/>
        </w:rPr>
        <w:t>、团结、教育残疾人遵守法律，履行应尽的业务，发挥乐观进取精神，自尊、自信、自强、自立、为社会主义建设贡献力量。</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hint="eastAsia" w:ascii="仿宋_GB2312" w:eastAsia="仿宋_GB2312" w:cs="宋体"/>
          <w:bCs/>
          <w:color w:val="000000"/>
          <w:kern w:val="0"/>
          <w:sz w:val="32"/>
          <w:szCs w:val="32"/>
        </w:rPr>
        <w:t>、弘扬人道主义，宣传残疾人事业，沟通政府、社会与残疾人之间的联系，动员社会理解、尊重、关心、帮助残疾人。</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hint="eastAsia" w:ascii="仿宋_GB2312" w:eastAsia="仿宋_GB2312" w:cs="宋体"/>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hint="eastAsia" w:ascii="仿宋_GB2312" w:eastAsia="仿宋_GB2312" w:cs="宋体"/>
          <w:bCs/>
          <w:color w:val="000000"/>
          <w:kern w:val="0"/>
          <w:sz w:val="32"/>
          <w:szCs w:val="32"/>
        </w:rPr>
        <w:t>、协助区政府研究、制定和实施残疾人事业的地方性法规政策、规划和计划，对有关领域进行指导和管理。</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6</w:t>
      </w:r>
      <w:r>
        <w:rPr>
          <w:rFonts w:hint="eastAsia" w:ascii="仿宋_GB2312" w:eastAsia="仿宋_GB2312" w:cs="宋体"/>
          <w:bCs/>
          <w:color w:val="000000"/>
          <w:kern w:val="0"/>
          <w:sz w:val="32"/>
          <w:szCs w:val="32"/>
        </w:rPr>
        <w:t>、</w:t>
      </w:r>
      <w:r>
        <w:rPr>
          <w:rFonts w:hint="eastAsia" w:ascii="仿宋_GB2312" w:eastAsia="仿宋_GB2312"/>
          <w:sz w:val="32"/>
          <w:szCs w:val="32"/>
        </w:rPr>
        <w:t>承担区政府残疾人工作协调委员会的日常工作，做好综合、组织、协调和服务。</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7</w:t>
      </w:r>
      <w:r>
        <w:rPr>
          <w:rFonts w:hint="eastAsia" w:ascii="仿宋_GB2312" w:eastAsia="仿宋_GB2312" w:cs="宋体"/>
          <w:bCs/>
          <w:color w:val="000000"/>
          <w:kern w:val="0"/>
          <w:sz w:val="32"/>
          <w:szCs w:val="32"/>
        </w:rPr>
        <w:t>、</w:t>
      </w:r>
      <w:r>
        <w:rPr>
          <w:rFonts w:hint="eastAsia" w:ascii="仿宋_GB2312" w:eastAsia="仿宋_GB2312"/>
          <w:sz w:val="32"/>
          <w:szCs w:val="32"/>
        </w:rPr>
        <w:t>协助乡镇、街办处残联理事长的工作，并在业务上给予指导。</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8</w:t>
      </w:r>
      <w:r>
        <w:rPr>
          <w:rFonts w:hint="eastAsia" w:ascii="仿宋_GB2312" w:eastAsia="仿宋_GB2312" w:cs="宋体"/>
          <w:bCs/>
          <w:color w:val="000000"/>
          <w:kern w:val="0"/>
          <w:sz w:val="32"/>
          <w:szCs w:val="32"/>
        </w:rPr>
        <w:t>、</w:t>
      </w:r>
      <w:r>
        <w:rPr>
          <w:rFonts w:hint="eastAsia" w:ascii="仿宋_GB2312" w:eastAsia="仿宋_GB2312"/>
          <w:sz w:val="32"/>
          <w:szCs w:val="32"/>
        </w:rPr>
        <w:t>负责对各类残疾人社会团体组织进行监督管理。</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、开展残疾人事业的国际交流与合作。</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sz w:val="32"/>
          <w:szCs w:val="32"/>
        </w:rPr>
        <w:t>10</w:t>
      </w:r>
      <w:r>
        <w:rPr>
          <w:rFonts w:hint="eastAsia" w:ascii="仿宋_GB2312" w:eastAsia="仿宋_GB2312"/>
          <w:sz w:val="32"/>
          <w:szCs w:val="32"/>
        </w:rPr>
        <w:t>、承担区委、区政府交办的其他工作。</w:t>
      </w:r>
      <w:r>
        <w:rPr>
          <w:rFonts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6"/>
        <w:gridCol w:w="2073"/>
        <w:gridCol w:w="1786"/>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6"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6"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廊坊市广阳区残疾人联合会</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行政</w:t>
            </w:r>
          </w:p>
        </w:tc>
        <w:tc>
          <w:tcPr>
            <w:tcW w:w="1786"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正科级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 w:eastAsia="仿宋" w:cs="宋体"/>
                <w:kern w:val="0"/>
                <w:sz w:val="32"/>
                <w:szCs w:val="32"/>
              </w:rPr>
              <w:t>财政拨款</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color w:val="000000"/>
          <w:kern w:val="0"/>
          <w:sz w:val="32"/>
          <w:szCs w:val="32"/>
        </w:rPr>
        <w:t>广阳区</w:t>
      </w:r>
      <w:r>
        <w:rPr>
          <w:rFonts w:hint="eastAsia" w:ascii="仿宋_GB2312" w:eastAsia="仿宋_GB2312" w:cs="宋体"/>
          <w:color w:val="000000"/>
          <w:kern w:val="0"/>
          <w:sz w:val="32"/>
          <w:szCs w:val="32"/>
          <w:lang w:eastAsia="zh-CN"/>
        </w:rPr>
        <w:t>残疾人联合会</w:t>
      </w:r>
      <w:r>
        <w:rPr>
          <w:rFonts w:hint="eastAsia" w:ascii="仿宋_GB2312" w:hAnsi="Times New Roman" w:eastAsia="仿宋_GB2312" w:cs="Times New Roman"/>
          <w:sz w:val="32"/>
          <w:szCs w:val="32"/>
        </w:rPr>
        <w:t>机关及所属事业单位的收支包含在部门预算中</w:t>
      </w:r>
      <w:r>
        <w:rPr>
          <w:rFonts w:hint="eastAsia" w:ascii="仿宋_GB2312" w:hAnsi="Times New Roman" w:eastAsia="仿宋_GB2312" w:cs="Times New Roman"/>
          <w:sz w:val="32"/>
          <w:szCs w:val="32"/>
          <w:lang w:eastAsia="zh-CN"/>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hint="eastAsia" w:ascii="仿宋_GB2312" w:eastAsia="仿宋_GB2312" w:cs="宋体"/>
          <w:bCs/>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192.54</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174.84</w:t>
      </w:r>
      <w:r>
        <w:rPr>
          <w:rFonts w:hint="eastAsia" w:ascii="仿宋_GB2312" w:eastAsia="仿宋_GB2312" w:cs="宋体"/>
          <w:color w:val="000000"/>
          <w:kern w:val="0"/>
          <w:sz w:val="32"/>
          <w:szCs w:val="32"/>
        </w:rPr>
        <w:t>万元，政府性基金收入</w:t>
      </w:r>
      <w:r>
        <w:rPr>
          <w:rFonts w:ascii="仿宋_GB2312" w:eastAsia="仿宋_GB2312" w:cs="宋体"/>
          <w:color w:val="000000"/>
          <w:kern w:val="0"/>
          <w:sz w:val="32"/>
          <w:szCs w:val="32"/>
        </w:rPr>
        <w:t>17.7</w:t>
      </w:r>
      <w:r>
        <w:rPr>
          <w:rFonts w:hint="eastAsia" w:ascii="仿宋_GB2312" w:eastAsia="仿宋_GB2312" w:cs="宋体"/>
          <w:color w:val="000000"/>
          <w:kern w:val="0"/>
          <w:sz w:val="32"/>
          <w:szCs w:val="32"/>
        </w:rPr>
        <w:t>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，其他收入</w:t>
      </w:r>
      <w:r>
        <w:rPr>
          <w:rFonts w:hint="eastAsia" w:ascii="仿宋_GB2312" w:eastAsia="仿宋_GB2312" w:cs="宋体"/>
          <w:color w:val="000000"/>
          <w:kern w:val="0"/>
          <w:sz w:val="32"/>
          <w:szCs w:val="32"/>
          <w:lang w:val="en-US" w:eastAsia="zh-CN"/>
        </w:rPr>
        <w:t>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2</w:t>
      </w:r>
      <w:r>
        <w:rPr>
          <w:rFonts w:hint="eastAsia" w:ascii="楷体_GB2312" w:eastAsia="楷体_GB2312" w:cs="宋体"/>
          <w:b/>
          <w:bCs/>
          <w:color w:val="000000"/>
          <w:kern w:val="0"/>
          <w:sz w:val="32"/>
          <w:szCs w:val="32"/>
        </w:rPr>
        <w:t>、支出说明</w:t>
      </w:r>
    </w:p>
    <w:p>
      <w:pPr>
        <w:spacing w:line="570" w:lineRule="exact"/>
        <w:ind w:firstLine="640"/>
        <w:rPr>
          <w:rFonts w:ascii="仿宋_GB2312" w:eastAsia="仿宋_GB2312" w:cs="宋体"/>
          <w:color w:val="000000"/>
          <w:kern w:val="0"/>
          <w:sz w:val="32"/>
          <w:szCs w:val="32"/>
        </w:rPr>
      </w:pPr>
      <w:r>
        <w:rPr>
          <w:rFonts w:hint="eastAsia" w:ascii="仿宋_GB2312" w:eastAsia="仿宋_GB2312" w:cs="宋体"/>
          <w:color w:val="000000"/>
          <w:kern w:val="0"/>
          <w:sz w:val="32"/>
          <w:szCs w:val="32"/>
        </w:rPr>
        <w:t>收支预算总表支出栏、基本支出表、项目支出表按经济分类和支出功能分类科目编制，反映本单位年度部门预算中支出预算的总体情况。</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年预算总支出</w:t>
      </w:r>
      <w:r>
        <w:rPr>
          <w:rFonts w:ascii="仿宋_GB2312" w:eastAsia="仿宋_GB2312" w:cs="宋体"/>
          <w:color w:val="000000"/>
          <w:kern w:val="0"/>
          <w:sz w:val="32"/>
          <w:szCs w:val="32"/>
        </w:rPr>
        <w:t>192.54</w:t>
      </w:r>
      <w:r>
        <w:rPr>
          <w:rFonts w:hint="eastAsia" w:ascii="仿宋_GB2312" w:eastAsia="仿宋_GB2312" w:cs="宋体"/>
          <w:color w:val="000000"/>
          <w:kern w:val="0"/>
          <w:sz w:val="32"/>
          <w:szCs w:val="32"/>
        </w:rPr>
        <w:t>万元，基本支出</w:t>
      </w:r>
      <w:r>
        <w:rPr>
          <w:rFonts w:ascii="仿宋_GB2312" w:eastAsia="仿宋_GB2312" w:cs="宋体"/>
          <w:color w:val="000000"/>
          <w:kern w:val="0"/>
          <w:sz w:val="32"/>
          <w:szCs w:val="32"/>
        </w:rPr>
        <w:t>140.3</w:t>
      </w:r>
      <w:r>
        <w:rPr>
          <w:rFonts w:hint="eastAsia" w:ascii="仿宋_GB2312" w:eastAsia="仿宋_GB2312" w:cs="宋体"/>
          <w:color w:val="000000"/>
          <w:kern w:val="0"/>
          <w:sz w:val="32"/>
          <w:szCs w:val="32"/>
        </w:rPr>
        <w:t>万元，其中人员经费</w:t>
      </w:r>
      <w:r>
        <w:rPr>
          <w:rFonts w:ascii="仿宋_GB2312" w:eastAsia="仿宋_GB2312" w:cs="宋体"/>
          <w:color w:val="000000"/>
          <w:kern w:val="0"/>
          <w:sz w:val="32"/>
          <w:szCs w:val="32"/>
        </w:rPr>
        <w:t>126.64</w:t>
      </w:r>
      <w:r>
        <w:rPr>
          <w:rFonts w:hint="eastAsia" w:ascii="仿宋_GB2312" w:eastAsia="仿宋_GB2312" w:cs="宋体"/>
          <w:color w:val="000000"/>
          <w:kern w:val="0"/>
          <w:sz w:val="32"/>
          <w:szCs w:val="32"/>
        </w:rPr>
        <w:t>万元、日常公用经费</w:t>
      </w:r>
      <w:r>
        <w:rPr>
          <w:rFonts w:ascii="仿宋_GB2312" w:eastAsia="仿宋_GB2312" w:cs="宋体"/>
          <w:color w:val="000000"/>
          <w:kern w:val="0"/>
          <w:sz w:val="32"/>
          <w:szCs w:val="32"/>
        </w:rPr>
        <w:t>13.66</w:t>
      </w:r>
      <w:r>
        <w:rPr>
          <w:rFonts w:hint="eastAsia" w:ascii="仿宋_GB2312" w:eastAsia="仿宋_GB2312" w:cs="宋体"/>
          <w:color w:val="000000"/>
          <w:kern w:val="0"/>
          <w:sz w:val="32"/>
          <w:szCs w:val="32"/>
        </w:rPr>
        <w:t>万元；项目支出</w:t>
      </w:r>
      <w:r>
        <w:rPr>
          <w:rFonts w:ascii="仿宋_GB2312" w:eastAsia="仿宋_GB2312" w:cs="宋体"/>
          <w:color w:val="000000"/>
          <w:kern w:val="0"/>
          <w:sz w:val="32"/>
          <w:szCs w:val="32"/>
        </w:rPr>
        <w:t>52.24</w:t>
      </w:r>
      <w:r>
        <w:rPr>
          <w:rFonts w:hint="eastAsia" w:ascii="仿宋_GB2312" w:eastAsia="仿宋_GB2312" w:cs="宋体"/>
          <w:color w:val="000000"/>
          <w:kern w:val="0"/>
          <w:sz w:val="32"/>
          <w:szCs w:val="32"/>
        </w:rPr>
        <w:t>万元。</w:t>
      </w:r>
    </w:p>
    <w:p>
      <w:pPr>
        <w:widowControl/>
        <w:spacing w:line="570" w:lineRule="exac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3</w:t>
      </w:r>
      <w:r>
        <w:rPr>
          <w:rFonts w:hint="eastAsia" w:ascii="楷体_GB2312" w:eastAsia="楷体_GB2312" w:cs="宋体"/>
          <w:b/>
          <w:bCs/>
          <w:color w:val="000000"/>
          <w:kern w:val="0"/>
          <w:sz w:val="32"/>
          <w:szCs w:val="32"/>
        </w:rPr>
        <w:t>、比上年增减情况</w:t>
      </w:r>
    </w:p>
    <w:p>
      <w:pPr>
        <w:widowControl/>
        <w:spacing w:line="570" w:lineRule="exac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年预算支出安排</w:t>
      </w:r>
      <w:r>
        <w:rPr>
          <w:rFonts w:ascii="仿宋_GB2312" w:eastAsia="仿宋_GB2312" w:cs="宋体"/>
          <w:color w:val="000000"/>
          <w:kern w:val="0"/>
          <w:sz w:val="32"/>
          <w:szCs w:val="32"/>
        </w:rPr>
        <w:t>192.54</w:t>
      </w:r>
      <w:r>
        <w:rPr>
          <w:rFonts w:hint="eastAsia" w:ascii="仿宋_GB2312" w:eastAsia="仿宋_GB2312" w:cs="宋体"/>
          <w:color w:val="000000"/>
          <w:kern w:val="0"/>
          <w:sz w:val="32"/>
          <w:szCs w:val="32"/>
        </w:rPr>
        <w:t>万元，较</w:t>
      </w:r>
      <w:r>
        <w:rPr>
          <w:rFonts w:ascii="仿宋_GB2312" w:eastAsia="仿宋_GB2312" w:cs="宋体"/>
          <w:color w:val="000000"/>
          <w:kern w:val="0"/>
          <w:sz w:val="32"/>
          <w:szCs w:val="32"/>
        </w:rPr>
        <w:t>2017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57.68</w:t>
      </w:r>
      <w:r>
        <w:rPr>
          <w:rFonts w:hint="eastAsia" w:ascii="仿宋_GB2312" w:eastAsia="仿宋_GB2312" w:cs="宋体"/>
          <w:color w:val="000000"/>
          <w:kern w:val="0"/>
          <w:sz w:val="32"/>
          <w:szCs w:val="32"/>
        </w:rPr>
        <w:t>万元，基本支出增加</w:t>
      </w:r>
      <w:r>
        <w:rPr>
          <w:rFonts w:ascii="仿宋_GB2312" w:eastAsia="仿宋_GB2312" w:cs="宋体"/>
          <w:color w:val="000000"/>
          <w:kern w:val="0"/>
          <w:sz w:val="32"/>
          <w:szCs w:val="32"/>
        </w:rPr>
        <w:t>28.34</w:t>
      </w:r>
      <w:r>
        <w:rPr>
          <w:rFonts w:hint="eastAsia" w:ascii="仿宋_GB2312" w:eastAsia="仿宋_GB2312" w:cs="宋体"/>
          <w:color w:val="000000"/>
          <w:kern w:val="0"/>
          <w:sz w:val="32"/>
          <w:szCs w:val="32"/>
        </w:rPr>
        <w:t>万元，其中人员经费支出增加</w:t>
      </w:r>
      <w:r>
        <w:rPr>
          <w:rFonts w:ascii="仿宋_GB2312" w:eastAsia="仿宋_GB2312" w:cs="宋体"/>
          <w:color w:val="000000"/>
          <w:kern w:val="0"/>
          <w:sz w:val="32"/>
          <w:szCs w:val="32"/>
        </w:rPr>
        <w:t>23.67</w:t>
      </w:r>
      <w:r>
        <w:rPr>
          <w:rFonts w:hint="eastAsia" w:ascii="仿宋_GB2312" w:eastAsia="仿宋_GB2312" w:cs="宋体"/>
          <w:color w:val="000000"/>
          <w:kern w:val="0"/>
          <w:sz w:val="32"/>
          <w:szCs w:val="32"/>
        </w:rPr>
        <w:t>万元、日常公用经费支出增加</w:t>
      </w:r>
      <w:r>
        <w:rPr>
          <w:rFonts w:ascii="仿宋_GB2312" w:eastAsia="仿宋_GB2312" w:cs="宋体"/>
          <w:color w:val="000000"/>
          <w:kern w:val="0"/>
          <w:sz w:val="32"/>
          <w:szCs w:val="32"/>
        </w:rPr>
        <w:t>4.67</w:t>
      </w:r>
      <w:r>
        <w:rPr>
          <w:rFonts w:hint="eastAsia" w:ascii="仿宋_GB2312" w:eastAsia="仿宋_GB2312" w:cs="宋体"/>
          <w:color w:val="000000"/>
          <w:kern w:val="0"/>
          <w:sz w:val="32"/>
          <w:szCs w:val="32"/>
        </w:rPr>
        <w:t>万元，项目支出</w:t>
      </w:r>
      <w:r>
        <w:rPr>
          <w:rFonts w:hint="eastAsia" w:ascii="仿宋_GB2312" w:eastAsia="仿宋_GB2312" w:cs="宋体"/>
          <w:color w:val="000000"/>
          <w:kern w:val="0"/>
          <w:sz w:val="32"/>
          <w:szCs w:val="32"/>
          <w:lang w:eastAsia="zh-CN"/>
        </w:rPr>
        <w:t>增加</w:t>
      </w:r>
      <w:r>
        <w:rPr>
          <w:rFonts w:hint="eastAsia" w:ascii="仿宋_GB2312" w:eastAsia="仿宋_GB2312" w:cs="宋体"/>
          <w:color w:val="000000"/>
          <w:kern w:val="0"/>
          <w:sz w:val="32"/>
          <w:szCs w:val="32"/>
          <w:lang w:val="en-US" w:eastAsia="zh-CN"/>
        </w:rPr>
        <w:t>29.34万元</w:t>
      </w:r>
      <w:r>
        <w:rPr>
          <w:rFonts w:ascii="仿宋_GB2312" w:eastAsia="仿宋_GB2312" w:cs="宋体"/>
          <w:color w:val="000000"/>
          <w:kern w:val="0"/>
          <w:sz w:val="32"/>
          <w:szCs w:val="32"/>
        </w:rPr>
        <w:t>主要增加农村残疾人精准扶贫、贫困残疾人家庭无障碍改造等</w:t>
      </w:r>
      <w:r>
        <w:rPr>
          <w:rFonts w:hint="eastAsia" w:ascii="仿宋_GB2312" w:eastAsia="仿宋_GB2312" w:cs="宋体"/>
          <w:color w:val="000000"/>
          <w:kern w:val="0"/>
          <w:sz w:val="32"/>
          <w:szCs w:val="32"/>
        </w:rPr>
        <w:t>。</w:t>
      </w:r>
    </w:p>
    <w:p>
      <w:pPr>
        <w:widowControl/>
        <w:spacing w:line="570" w:lineRule="exact"/>
        <w:ind w:left="0"/>
        <w:jc w:val="left"/>
        <w:rPr>
          <w:rFonts w:ascii="黑体" w:eastAsia="黑体" w:cs="宋体"/>
          <w:b/>
          <w:bCs/>
          <w:color w:val="000000"/>
          <w:kern w:val="0"/>
          <w:sz w:val="32"/>
          <w:szCs w:val="32"/>
        </w:rPr>
      </w:pP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w:t>
      </w:r>
      <w:r>
        <w:rPr>
          <w:rFonts w:ascii="仿宋_GB2312" w:eastAsia="仿宋_GB2312" w:cs="宋体"/>
          <w:color w:val="000000"/>
          <w:kern w:val="0"/>
          <w:sz w:val="32"/>
          <w:szCs w:val="32"/>
        </w:rPr>
        <w:t>0.44</w:t>
      </w:r>
      <w:r>
        <w:rPr>
          <w:rFonts w:hint="eastAsia" w:ascii="仿宋_GB2312" w:eastAsia="仿宋_GB2312" w:cs="宋体"/>
          <w:color w:val="000000"/>
          <w:kern w:val="0"/>
          <w:sz w:val="32"/>
          <w:szCs w:val="32"/>
        </w:rPr>
        <w:t>万元，其中办公经费</w:t>
      </w:r>
      <w:r>
        <w:rPr>
          <w:rFonts w:ascii="仿宋_GB2312" w:eastAsia="仿宋_GB2312" w:cs="宋体"/>
          <w:color w:val="000000"/>
          <w:kern w:val="0"/>
          <w:sz w:val="32"/>
          <w:szCs w:val="32"/>
        </w:rPr>
        <w:t>0.44</w:t>
      </w:r>
      <w:r>
        <w:rPr>
          <w:rFonts w:hint="eastAsia" w:ascii="仿宋_GB2312" w:eastAsia="仿宋_GB2312" w:cs="宋体"/>
          <w:color w:val="000000"/>
          <w:kern w:val="0"/>
          <w:sz w:val="32"/>
          <w:szCs w:val="32"/>
        </w:rPr>
        <w:t>万元，其他业务费无。主要用于机关办公区的日常维修、办公用房水电费、办公用房取暖费、办公用房物业管理费等日常运行支出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w:t>
      </w:r>
      <w:r>
        <w:rPr>
          <w:rFonts w:ascii="仿宋_GB2312" w:eastAsia="仿宋_GB2312" w:cs="宋体"/>
          <w:color w:val="000000"/>
          <w:kern w:val="0"/>
          <w:sz w:val="32"/>
          <w:szCs w:val="32"/>
        </w:rPr>
        <w:t>2.3</w:t>
      </w:r>
      <w:r>
        <w:rPr>
          <w:rFonts w:hint="eastAsia" w:ascii="仿宋_GB2312" w:eastAsia="仿宋_GB2312" w:cs="宋体"/>
          <w:color w:val="000000"/>
          <w:kern w:val="0"/>
          <w:sz w:val="32"/>
          <w:szCs w:val="32"/>
        </w:rPr>
        <w:t>万元，主要原因是2017年无此项预算。</w:t>
      </w:r>
      <w:r>
        <w:rPr>
          <w:rFonts w:ascii="仿宋_GB2312" w:eastAsia="仿宋_GB2312" w:cs="宋体"/>
          <w:color w:val="000000"/>
          <w:kern w:val="0"/>
          <w:sz w:val="32"/>
          <w:szCs w:val="32"/>
        </w:rPr>
        <w:br w:type="textWrapping"/>
      </w: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部门职责分类绩效目标情况说明</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今年，我们将围绕全区残疾人中心工作，以发展残疾人事业为主体，解放思想，与时俱进，真抓实干，主要做好以下几方面工作：</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一、认真宣传贯彻《中华人民共和国残疾人保障法》，落实好残疾人各项扶助政策；</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认真做好残疾人扶贫解困，康复就业，信访等工作，调动社会力量，广泛参与残疾人工作。争取各级组织和社会的关爱、奉献、形成“尊重、关心、帮助残疾人”的良好舆论环境和就业环境，营造“送温暖、献爱心”的浓厚社会气氛。</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三、加大残疾人农村实用技术培训，努力为残疾人服务。</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四、认真做好基层残联建设工作，协调、督促好乡镇、街道残联工作。</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五、认真抓好法定助残日的宣传工作，调动社会力量，广泛参与残疾人活动。</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六、建立健全残疾人信息、基础档案。</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七、积极主动完成区委、区政府及上级残联交办的各项工作任务。</w:t>
      </w:r>
    </w:p>
    <w:p>
      <w:pPr>
        <w:spacing w:line="570" w:lineRule="exact"/>
        <w:ind w:firstLine="560"/>
        <w:rPr>
          <w:rFonts w:hint="eastAsia" w:ascii="仿宋_GB2312" w:eastAsia="仿宋_GB2312" w:cs="宋体"/>
          <w:color w:val="000000"/>
          <w:kern w:val="0"/>
          <w:sz w:val="32"/>
          <w:szCs w:val="32"/>
        </w:rPr>
      </w:pP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实现本年度发展规划目标的保障措施</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区残联始终坚持普惠制度和特惠制度相结合，不断推进残疾人社会保障逐步深入。</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一、扎实做好残疾人社会保障工作</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为健全残疾人两个保障体系，贯彻落实党和政府有关残疾人各项优惠政策，保障残疾人的基本生活，改善他们的生活状况。一是做好春节慰问。在春节前后，我们对全区200户特困残疾人进行走访慰问，为他们送去米面油等生活必需品累计价值10万元。二是做好残疾人保险审核工作。为确保残疾人各项保障制度落实到位，年初我们配合劳动部门，对辖区内持证农业户口重度残疾人进行信息审核，并最终确定455名残疾人符合条件，实现了持证农业户口重度残疾人城乡医疗保险应保尽保。三是做好两项补贴审核工作。我们对100余名新增重度和困难残疾人申报材料进行审核，保障了残疾人基本利益。五是为全区559名下肢残疾人申报了每人每年260元残疾人机动燃油轮椅车燃油补贴。四是做好残疾人托养工作。我们共花费30万元，为200名重度残疾人、精神或智力残疾人购买服务，使他们享受到托养服务。五是做好应急救助发放工作。为符合应急救助条件的19名残疾人发放救助款10.36万元。</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二、不断提升残疾人就业培训工作</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我们根据双基调查及企业需求登记数据，建立起广阳区残疾人岗位需求信息库，搭建残疾人与企业之间的桥梁，为企业用工，残疾人就业提供平台。我们帮助6名就业困难的残疾人实现再就业，推荐3名残疾人成功就业，帮助2名残疾人与企业达成就业意向。与此同时，我们在巩固促进按比例分散就业、自主创业、农村种养殖业、盲人按摩业等传统就业渠道的基础上，利用京津冀一体化的契机，积极探索提升网络就业创业、庇护性就业、推动辅助性就业等新型就业途径。今年，我们确定廊坊市万东环保科技有限公司为辅助性就业机构。该企业</w:t>
      </w:r>
      <w:r>
        <w:rPr>
          <w:rFonts w:hint="eastAsia" w:ascii="仿宋_GB2312" w:eastAsia="仿宋_GB2312" w:cs="宋体"/>
          <w:color w:val="000000"/>
          <w:kern w:val="0"/>
          <w:sz w:val="32"/>
          <w:szCs w:val="32"/>
          <w:lang w:eastAsia="zh-CN"/>
        </w:rPr>
        <w:t>截至目前</w:t>
      </w:r>
      <w:r>
        <w:rPr>
          <w:rFonts w:hint="eastAsia" w:ascii="仿宋_GB2312" w:eastAsia="仿宋_GB2312" w:cs="宋体"/>
          <w:color w:val="000000"/>
          <w:kern w:val="0"/>
          <w:sz w:val="32"/>
          <w:szCs w:val="32"/>
        </w:rPr>
        <w:t>已经安置精神、智力和重度肢体残疾人16人，主要安置在自行车棚、公共卫生间和洗车车间等工作岗位，就业的残疾人收入达到1500-2000元。该企业还与北京市神州飞思信息科技有限公司达成劳务输出合同，帮助安排区内40名精神、智力和重度肢体残疾人就业。</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三、信访维权工作平稳有序推进</w:t>
      </w:r>
    </w:p>
    <w:p>
      <w:pPr>
        <w:spacing w:line="570" w:lineRule="exact"/>
        <w:ind w:firstLine="560"/>
        <w:rPr>
          <w:rFonts w:hint="eastAsia" w:ascii="仿宋_GB2312" w:eastAsia="仿宋_GB2312" w:cs="宋体"/>
          <w:color w:val="000000"/>
          <w:kern w:val="0"/>
          <w:sz w:val="32"/>
          <w:szCs w:val="32"/>
        </w:rPr>
      </w:pPr>
      <w:r>
        <w:rPr>
          <w:rFonts w:hint="eastAsia" w:ascii="仿宋_GB2312" w:eastAsia="仿宋_GB2312" w:cs="宋体"/>
          <w:color w:val="000000"/>
          <w:kern w:val="0"/>
          <w:sz w:val="32"/>
          <w:szCs w:val="32"/>
        </w:rPr>
        <w:t>我们以信访为窗口，以维权为突破口，以法律援助站为平台，听取残疾人的意见、需求，及时为残疾人提供优质、优先、优惠的服务，维护残疾人的合法权益。在全国、省、市、区“两会”期间区残联积极排查和化解矛盾纠纷，未发生一起非正常上访事件。</w:t>
      </w:r>
    </w:p>
    <w:p>
      <w:pPr>
        <w:spacing w:line="570" w:lineRule="exact"/>
        <w:ind w:firstLine="560"/>
        <w:rPr>
          <w:rFonts w:ascii="方正仿宋_GBK" w:eastAsia="方正仿宋_GBK"/>
          <w:sz w:val="28"/>
        </w:rPr>
      </w:pPr>
    </w:p>
    <w:p>
      <w:pPr>
        <w:spacing w:line="570" w:lineRule="exact"/>
        <w:jc w:val="left"/>
        <w:sectPr>
          <w:pgSz w:w="16839" w:h="11907" w:orient="landscape"/>
          <w:pgMar w:top="1134" w:right="1474" w:bottom="1134" w:left="1531" w:header="851" w:footer="992" w:gutter="0"/>
          <w:cols w:space="720" w:num="1"/>
          <w:docGrid w:type="lines" w:linePitch="312" w:charSpace="0"/>
        </w:sectPr>
      </w:pPr>
    </w:p>
    <w:p>
      <w:pPr>
        <w:spacing w:line="570" w:lineRule="exact"/>
        <w:jc w:val="center"/>
        <w:outlineLvl w:val="0"/>
        <w:rPr>
          <w:rFonts w:ascii="方正小标宋_GBK" w:eastAsia="方正小标宋_GBK"/>
          <w:sz w:val="32"/>
        </w:rPr>
      </w:pPr>
      <w:bookmarkStart w:id="0" w:name="_Toc505078464"/>
      <w:r>
        <w:rPr>
          <w:rFonts w:hint="eastAsia" w:ascii="方正小标宋_GBK" w:eastAsia="方正小标宋_GBK"/>
          <w:sz w:val="32"/>
        </w:rPr>
        <w:t>部门职责</w:t>
      </w:r>
      <w:r>
        <w:rPr>
          <w:rFonts w:ascii="方正小标宋_GBK" w:eastAsia="方正小标宋_GBK"/>
          <w:sz w:val="32"/>
        </w:rPr>
        <w:t>-</w:t>
      </w:r>
      <w:r>
        <w:rPr>
          <w:rFonts w:hint="eastAsia" w:ascii="方正小标宋_GBK" w:eastAsia="方正小标宋_GBK"/>
          <w:sz w:val="32"/>
        </w:rPr>
        <w:t>工作活动绩效目标</w:t>
      </w:r>
      <w:bookmarkEnd w:id="0"/>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570" w:lineRule="exact"/>
              <w:jc w:val="left"/>
              <w:rPr>
                <w:rFonts w:ascii="方正小标宋_GBK" w:eastAsia="方正小标宋_GBK"/>
                <w:sz w:val="24"/>
              </w:rPr>
            </w:pPr>
            <w:r>
              <w:rPr>
                <w:rFonts w:ascii="方正小标宋_GBK" w:eastAsia="方正小标宋_GBK"/>
                <w:sz w:val="24"/>
              </w:rPr>
              <w:t>558</w:t>
            </w:r>
            <w:r>
              <w:rPr>
                <w:rFonts w:hint="eastAsia" w:ascii="方正小标宋_GBK" w:eastAsia="方正小标宋_GBK"/>
                <w:sz w:val="24"/>
              </w:rPr>
              <w:t>廊坊市广阳区残疾人联合会</w:t>
            </w:r>
          </w:p>
        </w:tc>
        <w:tc>
          <w:tcPr>
            <w:tcW w:w="2948" w:type="dxa"/>
            <w:gridSpan w:val="4"/>
            <w:tcBorders>
              <w:top w:val="single" w:color="FFFFFF" w:sz="6" w:space="0"/>
              <w:left w:val="single" w:color="FFFFFF" w:sz="6" w:space="0"/>
              <w:right w:val="single" w:color="FFFFFF" w:sz="6" w:space="0"/>
            </w:tcBorders>
            <w:vAlign w:val="center"/>
          </w:tcPr>
          <w:p>
            <w:pPr>
              <w:spacing w:line="57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vAlign w:val="center"/>
          </w:tcPr>
          <w:p>
            <w:pPr>
              <w:spacing w:line="57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57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57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57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Merge w:val="continue"/>
            <w:vAlign w:val="center"/>
          </w:tcP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57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一、残疾人法律维权</w:t>
            </w:r>
          </w:p>
        </w:tc>
        <w:tc>
          <w:tcPr>
            <w:tcW w:w="1276" w:type="dxa"/>
            <w:vAlign w:val="center"/>
          </w:tcPr>
          <w:p>
            <w:pPr>
              <w:spacing w:line="570" w:lineRule="exact"/>
              <w:jc w:val="left"/>
              <w:rPr>
                <w:rFonts w:ascii="方正书宋_GBK" w:eastAsia="方正书宋_GBK"/>
              </w:rPr>
            </w:pPr>
          </w:p>
        </w:tc>
        <w:tc>
          <w:tcPr>
            <w:tcW w:w="2976" w:type="dxa"/>
            <w:vAlign w:val="center"/>
          </w:tcPr>
          <w:p>
            <w:pPr>
              <w:spacing w:line="570" w:lineRule="exact"/>
              <w:jc w:val="left"/>
              <w:rPr>
                <w:rFonts w:ascii="方正书宋_GBK" w:eastAsia="方正书宋_GBK"/>
              </w:rPr>
            </w:pPr>
            <w:r>
              <w:rPr>
                <w:rFonts w:hint="eastAsia" w:ascii="方正书宋_GBK" w:eastAsia="方正书宋_GBK"/>
              </w:rPr>
              <w:t>健全残疾人法律服务体系，切实保障残疾人合法权益；全面推进城乡无障碍环境建设</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保障残疾人的诉求能够得到及时解决，保障残疾人出行权利。</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、残疾人法律维权</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接待残疾人来信来访，处理残疾人维权案件，为有需求的残疾人提供法律援助和临时救助，制定残疾人法律法规</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维护残疾人合法权益，对特困残疾人进行救助，促进社会稳定。</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残疾人上访满意率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残疾人对维权知识的了解程度</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残疾人法律援助服务满意度</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、残疾人无障碍环境建设</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加强对无障碍设施的管理，保障残疾人出行便利，对残疾人家庭进行无障碍改造</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保障残疾人出行便利，融入社会</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残疾人出行无障碍满意率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残疾人对无障碍改造具体情况的满意率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其他类残疾人对改造物品使用情况的满意率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二、残疾人服务</w:t>
            </w:r>
          </w:p>
        </w:tc>
        <w:tc>
          <w:tcPr>
            <w:tcW w:w="1276" w:type="dxa"/>
            <w:vAlign w:val="center"/>
          </w:tcPr>
          <w:p>
            <w:pPr>
              <w:spacing w:line="570" w:lineRule="exact"/>
              <w:jc w:val="left"/>
              <w:rPr>
                <w:rFonts w:ascii="方正书宋_GBK" w:eastAsia="方正书宋_GBK"/>
              </w:rPr>
            </w:pPr>
            <w:r>
              <w:rPr>
                <w:rFonts w:ascii="方正书宋_GBK" w:eastAsia="方正书宋_GBK"/>
              </w:rPr>
              <w:t>51.64</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开展康复、扶贫、教育培训等活动，直接为残疾人服务</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逐步实现残疾人“人人享有康复服务”，保障贫困和重度残疾人基本生活，提高残疾儿童义务教育入学率和残疾人就业率，丰富残疾人文体生活</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、残疾人康复</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加强残疾人康复设施、机构建设，实施康复重点项目</w:t>
            </w:r>
            <w:r>
              <w:rPr>
                <w:rFonts w:ascii="方正书宋_GBK" w:eastAsia="方正书宋_GBK"/>
              </w:rPr>
              <w:t>,</w:t>
            </w:r>
            <w:r>
              <w:rPr>
                <w:rFonts w:hint="eastAsia" w:ascii="方正书宋_GBK" w:eastAsia="方正书宋_GBK"/>
              </w:rPr>
              <w:t>为贫困残疾人、重度残疾人、残疾儿童、农村残疾人提供基本的康复服务</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逐步实现残疾人“人人享有基本康复服务”</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为残疾人提供的基本康复服务显效率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接受培训的康复人员在本岗位能够切实为残疾人开展康复服务的比率和服务能力测评通过率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实施精准康复的残疾人覆盖率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扶持的康复机构规范化标准化率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、残疾人扶贫和社会保障</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31.54</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加强农村残疾人扶贫开发，实施精准扶贫；逐步建立并实施重度贫困残疾人生活补贴和重度残疾人护理津贴制度；逐步建立残疾人托养补贴制度</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促进残疾人增收；保障贫困重度残疾人基本生活；对残疾人就业创业实施补贴制度</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对残疾人就业创业扶持的满意度</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对农村残疾人实施精准扶贫的覆盖率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享受康复扶贫贷款贴息企业或贫困残疾人家庭增收率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3</w:t>
            </w:r>
            <w:r>
              <w:rPr>
                <w:rFonts w:hint="eastAsia" w:ascii="方正书宋_GBK" w:eastAsia="方正书宋_GBK"/>
                <w:b/>
              </w:rPr>
              <w:t>、残疾人教育培训就业</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20.10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大力发展特殊教育，对各类残疾人实施职业技能培训，扶持残疾人职业技能培训基地</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对当年考入高等学校残疾大学生及残疾人家庭子女实施资助；提高残疾人就业率</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通过培训的残疾人就业率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对当年考入高等学校残疾大学生及残疾人家庭子女资助率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对残疾人培训基地的满意度</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4</w:t>
            </w:r>
            <w:r>
              <w:rPr>
                <w:rFonts w:hint="eastAsia" w:ascii="方正书宋_GBK" w:eastAsia="方正书宋_GBK"/>
                <w:b/>
              </w:rPr>
              <w:t>、残疾人宣传文体和志愿者助残</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组织开展群众性文体活动，发展残疾人竞技体育；建立残疾人志愿者服务体系</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媒体宣传广泛深入，残疾人文体生活丰富，残疾人文化体育比赛成绩优良，助残志愿者与残疾人对接良好</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国内、国际赛事在全国排名</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助残公益广告的制作和播放情况</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满足残疾人参与社会文化活动的需求</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全国残疾人文艺汇演取得名次</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200.00%</w:t>
            </w:r>
          </w:p>
        </w:tc>
        <w:tc>
          <w:tcPr>
            <w:tcW w:w="737" w:type="dxa"/>
            <w:vAlign w:val="center"/>
          </w:tcPr>
          <w:p>
            <w:pPr>
              <w:spacing w:line="570" w:lineRule="exact"/>
              <w:jc w:val="center"/>
              <w:rPr>
                <w:rFonts w:ascii="方正书宋_GBK" w:eastAsia="方正书宋_GBK"/>
              </w:rPr>
            </w:pPr>
            <w:r>
              <w:rPr>
                <w:rFonts w:ascii="方正书宋_GBK" w:eastAsia="方正书宋_GBK"/>
              </w:rPr>
              <w:t>300.00%</w:t>
            </w:r>
          </w:p>
        </w:tc>
        <w:tc>
          <w:tcPr>
            <w:tcW w:w="737" w:type="dxa"/>
            <w:vAlign w:val="center"/>
          </w:tcPr>
          <w:p>
            <w:pPr>
              <w:spacing w:line="570" w:lineRule="exact"/>
              <w:jc w:val="center"/>
              <w:rPr>
                <w:rFonts w:ascii="方正书宋_GBK" w:eastAsia="方正书宋_GBK"/>
              </w:rPr>
            </w:pPr>
            <w:r>
              <w:rPr>
                <w:rFonts w:ascii="方正书宋_GBK" w:eastAsia="方正书宋_GBK"/>
              </w:rPr>
              <w:t>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已注册助残志愿者的服务对接率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5</w:t>
            </w:r>
            <w:r>
              <w:rPr>
                <w:rFonts w:hint="eastAsia" w:ascii="方正书宋_GBK" w:eastAsia="方正书宋_GBK"/>
                <w:b/>
              </w:rPr>
              <w:t>、残疾人专职委员</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加强基层残疾人专职委员队伍建设，保障待遇落实</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制定残疾人专职委员工作制度，规定补贴标准，完善专职委员聘用制度</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残疾人专职委员工作制度完善率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专职委员待遇落实完成率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残疾人专职委员工作满意度</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570" w:lineRule="exact"/>
              <w:jc w:val="left"/>
              <w:rPr>
                <w:rFonts w:ascii="方正书宋_GBK" w:eastAsia="方正书宋_GBK"/>
                <w:b/>
              </w:rPr>
            </w:pPr>
            <w:r>
              <w:rPr>
                <w:rFonts w:hint="eastAsia" w:ascii="方正书宋_GBK" w:eastAsia="方正书宋_GBK"/>
                <w:b/>
              </w:rPr>
              <w:t>三、残疾人综合业务管理</w:t>
            </w:r>
          </w:p>
        </w:tc>
        <w:tc>
          <w:tcPr>
            <w:tcW w:w="1276" w:type="dxa"/>
            <w:vAlign w:val="center"/>
          </w:tcPr>
          <w:p>
            <w:pPr>
              <w:spacing w:line="570" w:lineRule="exact"/>
              <w:jc w:val="left"/>
              <w:rPr>
                <w:rFonts w:ascii="方正书宋_GBK" w:eastAsia="方正书宋_GBK"/>
              </w:rPr>
            </w:pPr>
            <w:r>
              <w:rPr>
                <w:rFonts w:ascii="方正书宋_GBK" w:eastAsia="方正书宋_GBK"/>
              </w:rPr>
              <w:t>0.60</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对持证残疾人需求情况进行调查，对残疾人状况进行动态监测，加强和规范残疾人基层组织建设，加大残疾人就业保障金的征收力度，加强残疾人工作信息化建设和基础研究</w:t>
            </w:r>
          </w:p>
        </w:tc>
        <w:tc>
          <w:tcPr>
            <w:tcW w:w="2976" w:type="dxa"/>
            <w:vAlign w:val="center"/>
          </w:tcPr>
          <w:p>
            <w:pPr>
              <w:spacing w:line="570" w:lineRule="exact"/>
              <w:jc w:val="left"/>
              <w:rPr>
                <w:rFonts w:ascii="方正书宋_GBK" w:eastAsia="方正书宋_GBK"/>
              </w:rPr>
            </w:pPr>
            <w:r>
              <w:rPr>
                <w:rFonts w:hint="eastAsia" w:ascii="方正书宋_GBK" w:eastAsia="方正书宋_GBK"/>
              </w:rPr>
              <w:t>摸清残疾人底数，增强基层服务残疾人的能力，确保残疾人就业保障金的稳定增收；构建残疾人公共服务网络化平台。</w:t>
            </w:r>
          </w:p>
        </w:tc>
        <w:tc>
          <w:tcPr>
            <w:tcW w:w="1417" w:type="dxa"/>
            <w:vAlign w:val="center"/>
          </w:tcPr>
          <w:p>
            <w:pPr>
              <w:spacing w:line="570" w:lineRule="exact"/>
              <w:jc w:val="left"/>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c>
          <w:tcPr>
            <w:tcW w:w="737" w:type="dxa"/>
            <w:vAlign w:val="center"/>
          </w:tcPr>
          <w:p>
            <w:pPr>
              <w:spacing w:line="57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1</w:t>
            </w:r>
            <w:r>
              <w:rPr>
                <w:rFonts w:hint="eastAsia" w:ascii="方正书宋_GBK" w:eastAsia="方正书宋_GBK"/>
                <w:b/>
              </w:rPr>
              <w:t>、残疾人就业保障金征收</w:t>
            </w:r>
          </w:p>
        </w:tc>
        <w:tc>
          <w:tcPr>
            <w:tcW w:w="1276" w:type="dxa"/>
            <w:vMerge w:val="restart"/>
            <w:vAlign w:val="center"/>
          </w:tcPr>
          <w:p>
            <w:pPr>
              <w:spacing w:line="570" w:lineRule="exact"/>
              <w:jc w:val="left"/>
              <w:rPr>
                <w:rFonts w:ascii="方正书宋_GBK" w:eastAsia="方正书宋_GBK"/>
              </w:rPr>
            </w:pP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对残疾人就业保障金征收工作进行督导，应收尽收</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促进残疾人就业保障金稳定增收，促进残疾人稳定就业</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残疾人就业保障金收入比上年增加</w:t>
            </w:r>
          </w:p>
        </w:tc>
        <w:tc>
          <w:tcPr>
            <w:tcW w:w="737" w:type="dxa"/>
            <w:vAlign w:val="center"/>
          </w:tcPr>
          <w:p>
            <w:pPr>
              <w:spacing w:line="570" w:lineRule="exact"/>
              <w:jc w:val="center"/>
              <w:rPr>
                <w:rFonts w:ascii="方正书宋_GBK" w:eastAsia="方正书宋_GBK"/>
              </w:rPr>
            </w:pPr>
            <w:r>
              <w:rPr>
                <w:rFonts w:ascii="方正书宋_GBK" w:eastAsia="方正书宋_GBK"/>
              </w:rPr>
              <w:t>15.00%</w:t>
            </w:r>
          </w:p>
        </w:tc>
        <w:tc>
          <w:tcPr>
            <w:tcW w:w="737" w:type="dxa"/>
            <w:vAlign w:val="center"/>
          </w:tcPr>
          <w:p>
            <w:pPr>
              <w:spacing w:line="570" w:lineRule="exact"/>
              <w:jc w:val="center"/>
              <w:rPr>
                <w:rFonts w:ascii="方正书宋_GBK" w:eastAsia="方正书宋_GBK"/>
              </w:rPr>
            </w:pPr>
            <w:r>
              <w:rPr>
                <w:rFonts w:ascii="方正书宋_GBK" w:eastAsia="方正书宋_GBK"/>
              </w:rPr>
              <w:t>10.00%</w:t>
            </w:r>
          </w:p>
        </w:tc>
        <w:tc>
          <w:tcPr>
            <w:tcW w:w="737" w:type="dxa"/>
            <w:vAlign w:val="center"/>
          </w:tcPr>
          <w:p>
            <w:pPr>
              <w:spacing w:line="570" w:lineRule="exact"/>
              <w:jc w:val="center"/>
              <w:rPr>
                <w:rFonts w:ascii="方正书宋_GBK" w:eastAsia="方正书宋_GBK"/>
              </w:rPr>
            </w:pPr>
            <w:r>
              <w:rPr>
                <w:rFonts w:ascii="方正书宋_GBK" w:eastAsia="方正书宋_GBK"/>
              </w:rPr>
              <w:t>8.00%</w:t>
            </w:r>
          </w:p>
        </w:tc>
        <w:tc>
          <w:tcPr>
            <w:tcW w:w="737" w:type="dxa"/>
            <w:vAlign w:val="center"/>
          </w:tcPr>
          <w:p>
            <w:pPr>
              <w:spacing w:line="570" w:lineRule="exact"/>
              <w:jc w:val="center"/>
              <w:rPr>
                <w:rFonts w:ascii="方正书宋_GBK" w:eastAsia="方正书宋_GBK"/>
              </w:rPr>
            </w:pPr>
            <w:r>
              <w:rPr>
                <w:rFonts w:ascii="方正书宋_GBK" w:eastAsia="方正书宋_GBK"/>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残保金被征收单位的完成率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残保金征收单位的服务满意率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vAlign w:val="center"/>
          </w:tcPr>
          <w:p>
            <w:pPr>
              <w:spacing w:line="570" w:lineRule="exact"/>
              <w:jc w:val="left"/>
              <w:rPr>
                <w:rFonts w:ascii="方正书宋_GBK" w:eastAsia="方正书宋_GBK"/>
                <w:b/>
              </w:rPr>
            </w:pPr>
            <w:r>
              <w:rPr>
                <w:rFonts w:hint="eastAsia" w:ascii="方正书宋_GBK" w:eastAsia="方正书宋_GBK"/>
                <w:b/>
              </w:rPr>
              <w:t>　　</w:t>
            </w:r>
            <w:r>
              <w:rPr>
                <w:rFonts w:ascii="方正书宋_GBK" w:eastAsia="方正书宋_GBK"/>
                <w:b/>
              </w:rPr>
              <w:t>2</w:t>
            </w:r>
            <w:r>
              <w:rPr>
                <w:rFonts w:hint="eastAsia" w:ascii="方正书宋_GBK" w:eastAsia="方正书宋_GBK"/>
                <w:b/>
              </w:rPr>
              <w:t>、综合业务管理</w:t>
            </w:r>
          </w:p>
        </w:tc>
        <w:tc>
          <w:tcPr>
            <w:tcW w:w="1276" w:type="dxa"/>
            <w:vMerge w:val="restart"/>
            <w:vAlign w:val="center"/>
          </w:tcPr>
          <w:p>
            <w:pPr>
              <w:spacing w:line="570" w:lineRule="exact"/>
              <w:jc w:val="left"/>
              <w:rPr>
                <w:rFonts w:ascii="方正书宋_GBK" w:eastAsia="方正书宋_GBK"/>
              </w:rPr>
            </w:pPr>
            <w:r>
              <w:rPr>
                <w:rFonts w:ascii="方正书宋_GBK" w:eastAsia="方正书宋_GBK"/>
              </w:rPr>
              <w:t>0.60</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设施设备运转保障、残疾人组织建设、工作信息化建设等项工作</w:t>
            </w:r>
          </w:p>
        </w:tc>
        <w:tc>
          <w:tcPr>
            <w:tcW w:w="2976" w:type="dxa"/>
            <w:vMerge w:val="restart"/>
            <w:vAlign w:val="center"/>
          </w:tcPr>
          <w:p>
            <w:pPr>
              <w:spacing w:line="570" w:lineRule="exact"/>
              <w:jc w:val="left"/>
              <w:rPr>
                <w:rFonts w:ascii="方正书宋_GBK" w:eastAsia="方正书宋_GBK"/>
              </w:rPr>
            </w:pPr>
            <w:r>
              <w:rPr>
                <w:rFonts w:hint="eastAsia" w:ascii="方正书宋_GBK" w:eastAsia="方正书宋_GBK"/>
              </w:rPr>
              <w:t>发挥专门协会桥梁纽带作用，联系广大残疾人；提高残疾人证办证率；增强基层服务残疾人的能力；保障正常运转，及时了解残疾人有关政策，促进残疾人事业发展</w:t>
            </w:r>
          </w:p>
        </w:tc>
        <w:tc>
          <w:tcPr>
            <w:tcW w:w="1417" w:type="dxa"/>
            <w:vAlign w:val="center"/>
          </w:tcPr>
          <w:p>
            <w:pPr>
              <w:spacing w:line="570" w:lineRule="exact"/>
              <w:jc w:val="left"/>
              <w:rPr>
                <w:rFonts w:ascii="方正书宋_GBK" w:eastAsia="方正书宋_GBK"/>
              </w:rPr>
            </w:pPr>
            <w:r>
              <w:rPr>
                <w:rFonts w:hint="eastAsia" w:ascii="方正书宋_GBK" w:eastAsia="方正书宋_GBK"/>
              </w:rPr>
              <w:t>五个专门协会活动完成率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省残联系统协同办公平台建设完成率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vAlign w:val="center"/>
          </w:tcPr>
          <w:p/>
        </w:tc>
        <w:tc>
          <w:tcPr>
            <w:tcW w:w="1276" w:type="dxa"/>
            <w:vMerge w:val="continue"/>
            <w:vAlign w:val="center"/>
          </w:tcPr>
          <w:p/>
        </w:tc>
        <w:tc>
          <w:tcPr>
            <w:tcW w:w="2976" w:type="dxa"/>
            <w:vMerge w:val="continue"/>
            <w:vAlign w:val="center"/>
          </w:tcPr>
          <w:p/>
        </w:tc>
        <w:tc>
          <w:tcPr>
            <w:tcW w:w="2976" w:type="dxa"/>
            <w:vMerge w:val="continue"/>
            <w:vAlign w:val="center"/>
          </w:tcPr>
          <w:p/>
        </w:tc>
        <w:tc>
          <w:tcPr>
            <w:tcW w:w="1417" w:type="dxa"/>
            <w:vAlign w:val="center"/>
          </w:tcPr>
          <w:p>
            <w:pPr>
              <w:spacing w:line="570" w:lineRule="exact"/>
              <w:jc w:val="left"/>
              <w:rPr>
                <w:rFonts w:ascii="方正书宋_GBK" w:eastAsia="方正书宋_GBK"/>
              </w:rPr>
            </w:pPr>
            <w:r>
              <w:rPr>
                <w:rFonts w:hint="eastAsia" w:ascii="方正书宋_GBK" w:eastAsia="方正书宋_GBK"/>
              </w:rPr>
              <w:t>残疾人情况抽查核实准确率</w:t>
            </w:r>
          </w:p>
        </w:tc>
        <w:tc>
          <w:tcPr>
            <w:tcW w:w="737" w:type="dxa"/>
            <w:vAlign w:val="center"/>
          </w:tcPr>
          <w:p>
            <w:pPr>
              <w:spacing w:line="570" w:lineRule="exact"/>
              <w:jc w:val="center"/>
              <w:rPr>
                <w:rFonts w:ascii="方正书宋_GBK" w:eastAsia="方正书宋_GBK"/>
              </w:rPr>
            </w:pPr>
            <w:r>
              <w:rPr>
                <w:rFonts w:ascii="方正书宋_GBK" w:eastAsia="方正书宋_GBK"/>
              </w:rPr>
              <w:t>100.00%</w:t>
            </w:r>
          </w:p>
        </w:tc>
        <w:tc>
          <w:tcPr>
            <w:tcW w:w="737" w:type="dxa"/>
            <w:vAlign w:val="center"/>
          </w:tcPr>
          <w:p>
            <w:pPr>
              <w:spacing w:line="570" w:lineRule="exact"/>
              <w:jc w:val="center"/>
              <w:rPr>
                <w:rFonts w:ascii="方正书宋_GBK" w:eastAsia="方正书宋_GBK"/>
              </w:rPr>
            </w:pPr>
            <w:r>
              <w:rPr>
                <w:rFonts w:ascii="方正书宋_GBK" w:eastAsia="方正书宋_GBK"/>
              </w:rPr>
              <w:t>90.00%</w:t>
            </w:r>
          </w:p>
        </w:tc>
        <w:tc>
          <w:tcPr>
            <w:tcW w:w="737" w:type="dxa"/>
            <w:vAlign w:val="center"/>
          </w:tcPr>
          <w:p>
            <w:pPr>
              <w:spacing w:line="570" w:lineRule="exact"/>
              <w:jc w:val="center"/>
              <w:rPr>
                <w:rFonts w:ascii="方正书宋_GBK" w:eastAsia="方正书宋_GBK"/>
              </w:rPr>
            </w:pPr>
            <w:r>
              <w:rPr>
                <w:rFonts w:ascii="方正书宋_GBK" w:eastAsia="方正书宋_GBK"/>
              </w:rPr>
              <w:t>80.00%</w:t>
            </w:r>
          </w:p>
        </w:tc>
        <w:tc>
          <w:tcPr>
            <w:tcW w:w="737" w:type="dxa"/>
            <w:vAlign w:val="center"/>
          </w:tcPr>
          <w:p>
            <w:pPr>
              <w:spacing w:line="570" w:lineRule="exact"/>
              <w:jc w:val="center"/>
              <w:rPr>
                <w:rFonts w:ascii="方正书宋_GBK" w:eastAsia="方正书宋_GBK"/>
              </w:rPr>
            </w:pPr>
            <w:r>
              <w:rPr>
                <w:rFonts w:ascii="方正书宋_GBK" w:eastAsia="方正书宋_GBK"/>
              </w:rPr>
              <w:t>50.00%</w:t>
            </w:r>
          </w:p>
        </w:tc>
      </w:tr>
    </w:tbl>
    <w:p>
      <w:pPr>
        <w:widowControl/>
        <w:spacing w:line="570" w:lineRule="exact"/>
        <w:jc w:val="left"/>
        <w:rPr>
          <w:rFonts w:ascii="宋体" w:hAnsi="宋体" w:eastAsia="仿宋_GB2312" w:cs="宋体"/>
          <w:color w:val="000000"/>
          <w:kern w:val="0"/>
          <w:sz w:val="32"/>
          <w:szCs w:val="32"/>
        </w:rPr>
      </w:pPr>
    </w:p>
    <w:p>
      <w:pPr>
        <w:widowControl/>
        <w:spacing w:line="570" w:lineRule="exact"/>
        <w:jc w:val="left"/>
        <w:rPr>
          <w:rFonts w:ascii="仿宋_GB2312" w:eastAsia="仿宋_GB2312" w:cs="宋体"/>
          <w:color w:val="000000"/>
          <w:kern w:val="0"/>
          <w:sz w:val="32"/>
          <w:szCs w:val="32"/>
        </w:rPr>
      </w:pPr>
      <w:r>
        <w:rPr>
          <w:rFonts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年，我单位无安排政府采购预算。</w:t>
      </w:r>
    </w:p>
    <w:tbl>
      <w:tblPr>
        <w:tblStyle w:val="4"/>
        <w:tblW w:w="137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1"/>
        <w:gridCol w:w="1013"/>
        <w:gridCol w:w="834"/>
        <w:gridCol w:w="1327"/>
        <w:gridCol w:w="834"/>
        <w:gridCol w:w="834"/>
        <w:gridCol w:w="856"/>
        <w:gridCol w:w="853"/>
        <w:gridCol w:w="853"/>
        <w:gridCol w:w="853"/>
        <w:gridCol w:w="776"/>
        <w:gridCol w:w="837"/>
        <w:gridCol w:w="837"/>
        <w:gridCol w:w="7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9"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left"/>
              <w:rPr>
                <w:rFonts w:hint="eastAsia" w:ascii="仿宋_GB2312" w:eastAsia="仿宋_GB2312" w:cs="Times New Roman"/>
                <w:sz w:val="28"/>
                <w:szCs w:val="28"/>
              </w:rPr>
            </w:pPr>
            <w:r>
              <w:rPr>
                <w:rFonts w:hint="eastAsia" w:ascii="方正小标宋_GBK" w:eastAsia="方正小标宋_GBK"/>
                <w:sz w:val="24"/>
                <w:lang w:val="en-US" w:eastAsia="zh-CN"/>
              </w:rPr>
              <w:t>558</w:t>
            </w:r>
            <w:r>
              <w:rPr>
                <w:rFonts w:hint="eastAsia" w:ascii="方正小标宋_GBK" w:eastAsia="方正小标宋_GBK"/>
                <w:sz w:val="24"/>
              </w:rPr>
              <w:t>廊坊市广阳区</w:t>
            </w:r>
            <w:r>
              <w:rPr>
                <w:rFonts w:ascii="方正小标宋_GBK" w:eastAsia="方正小标宋_GBK"/>
                <w:sz w:val="24"/>
              </w:rPr>
              <w:t>残疾人联合会</w:t>
            </w:r>
          </w:p>
        </w:tc>
        <w:tc>
          <w:tcPr>
            <w:tcW w:w="5796" w:type="dxa"/>
            <w:gridSpan w:val="7"/>
            <w:tcBorders>
              <w:top w:val="single" w:color="FFFFFF" w:sz="6" w:space="0"/>
              <w:left w:val="single" w:color="FFFFFF" w:sz="6" w:space="0"/>
              <w:right w:val="single" w:color="FFFFFF" w:sz="6" w:space="0"/>
            </w:tcBorders>
            <w:shd w:val="clear" w:color="auto" w:fill="auto"/>
            <w:vAlign w:val="center"/>
          </w:tcPr>
          <w:p>
            <w:pPr>
              <w:spacing w:line="570" w:lineRule="exact"/>
              <w:jc w:val="right"/>
              <w:rPr>
                <w:rFonts w:hint="eastAsia"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4" w:type="dxa"/>
            <w:gridSpan w:val="2"/>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  单位</w:t>
            </w:r>
          </w:p>
        </w:tc>
        <w:tc>
          <w:tcPr>
            <w:tcW w:w="834"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单价</w:t>
            </w:r>
          </w:p>
        </w:tc>
        <w:tc>
          <w:tcPr>
            <w:tcW w:w="5796" w:type="dxa"/>
            <w:gridSpan w:val="7"/>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7" w:type="dxa"/>
            <w:vMerge w:val="restart"/>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1" w:type="dxa"/>
            <w:vMerge w:val="continue"/>
            <w:shd w:val="clear" w:color="auto" w:fill="auto"/>
            <w:vAlign w:val="center"/>
          </w:tcPr>
          <w:p/>
        </w:tc>
        <w:tc>
          <w:tcPr>
            <w:tcW w:w="1013" w:type="dxa"/>
            <w:vMerge w:val="continue"/>
            <w:shd w:val="clear" w:color="auto" w:fill="auto"/>
            <w:vAlign w:val="center"/>
          </w:tcPr>
          <w:p/>
        </w:tc>
        <w:tc>
          <w:tcPr>
            <w:tcW w:w="834" w:type="dxa"/>
            <w:vMerge w:val="continue"/>
            <w:shd w:val="clear" w:color="auto" w:fill="auto"/>
            <w:vAlign w:val="center"/>
          </w:tcPr>
          <w:p/>
        </w:tc>
        <w:tc>
          <w:tcPr>
            <w:tcW w:w="1327" w:type="dxa"/>
            <w:vMerge w:val="continue"/>
            <w:shd w:val="clear" w:color="auto" w:fill="auto"/>
            <w:vAlign w:val="center"/>
          </w:tcPr>
          <w:p/>
        </w:tc>
        <w:tc>
          <w:tcPr>
            <w:tcW w:w="834" w:type="dxa"/>
            <w:vMerge w:val="continue"/>
            <w:shd w:val="clear" w:color="auto" w:fill="auto"/>
            <w:vAlign w:val="center"/>
          </w:tcPr>
          <w:p/>
        </w:tc>
        <w:tc>
          <w:tcPr>
            <w:tcW w:w="834" w:type="dxa"/>
            <w:vMerge w:val="continue"/>
            <w:shd w:val="clear" w:color="auto" w:fill="auto"/>
            <w:vAlign w:val="center"/>
          </w:tcPr>
          <w:p/>
        </w:tc>
        <w:tc>
          <w:tcPr>
            <w:tcW w:w="856" w:type="dxa"/>
            <w:vMerge w:val="continue"/>
            <w:shd w:val="clear" w:color="auto" w:fill="auto"/>
            <w:vAlign w:val="center"/>
          </w:tcPr>
          <w:p/>
        </w:tc>
        <w:tc>
          <w:tcPr>
            <w:tcW w:w="853" w:type="dxa"/>
            <w:vMerge w:val="continue"/>
            <w:shd w:val="clear" w:color="auto" w:fill="auto"/>
            <w:vAlign w:val="center"/>
          </w:tc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合计</w:t>
            </w: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基金预算拨款</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其他来源收入</w:t>
            </w:r>
          </w:p>
        </w:tc>
        <w:tc>
          <w:tcPr>
            <w:tcW w:w="7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r>
              <w:rPr>
                <w:rFonts w:hint="eastAsia" w:ascii="仿宋_GB2312" w:eastAsia="仿宋_GB2312" w:cs="Times New Roman"/>
                <w:b/>
                <w:sz w:val="28"/>
                <w:szCs w:val="28"/>
              </w:rPr>
              <w:t>合　计</w:t>
            </w: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b/>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34" w:type="dxa"/>
            <w:shd w:val="clear" w:color="auto" w:fill="auto"/>
            <w:vAlign w:val="center"/>
          </w:tcPr>
          <w:p>
            <w:pPr>
              <w:spacing w:line="570" w:lineRule="exact"/>
              <w:jc w:val="center"/>
              <w:rPr>
                <w:rFonts w:hint="eastAsia" w:ascii="仿宋_GB2312" w:eastAsia="仿宋_GB2312" w:cs="Times New Roman"/>
                <w:b/>
                <w:sz w:val="28"/>
                <w:szCs w:val="28"/>
              </w:rPr>
            </w:pPr>
          </w:p>
        </w:tc>
        <w:tc>
          <w:tcPr>
            <w:tcW w:w="856"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853" w:type="dxa"/>
            <w:shd w:val="clear" w:color="auto" w:fill="auto"/>
            <w:vAlign w:val="center"/>
          </w:tcPr>
          <w:p>
            <w:pPr>
              <w:spacing w:line="570" w:lineRule="exact"/>
              <w:jc w:val="center"/>
              <w:rPr>
                <w:rFonts w:hint="eastAsia" w:ascii="仿宋_GB2312" w:eastAsia="仿宋_GB2312" w:cs="Times New Roman"/>
                <w:b/>
                <w:sz w:val="28"/>
                <w:szCs w:val="28"/>
              </w:rPr>
            </w:pPr>
          </w:p>
        </w:tc>
        <w:tc>
          <w:tcPr>
            <w:tcW w:w="776"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837" w:type="dxa"/>
            <w:shd w:val="clear" w:color="auto" w:fill="auto"/>
            <w:vAlign w:val="center"/>
          </w:tcPr>
          <w:p>
            <w:pPr>
              <w:spacing w:line="570" w:lineRule="exact"/>
              <w:jc w:val="center"/>
              <w:rPr>
                <w:rFonts w:hint="eastAsia" w:ascii="仿宋_GB2312" w:eastAsia="仿宋_GB2312" w:cs="Times New Roman"/>
                <w:b/>
                <w:sz w:val="28"/>
                <w:szCs w:val="28"/>
              </w:rPr>
            </w:pPr>
          </w:p>
        </w:tc>
        <w:tc>
          <w:tcPr>
            <w:tcW w:w="787" w:type="dxa"/>
            <w:shd w:val="clear" w:color="auto" w:fill="auto"/>
            <w:vAlign w:val="center"/>
          </w:tcPr>
          <w:p>
            <w:pPr>
              <w:spacing w:line="570" w:lineRule="exact"/>
              <w:jc w:val="center"/>
              <w:rPr>
                <w:rFonts w:hint="eastAsia"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1" w:type="dxa"/>
            <w:shd w:val="clear" w:color="auto" w:fill="auto"/>
            <w:vAlign w:val="center"/>
          </w:tcPr>
          <w:p>
            <w:pPr>
              <w:spacing w:line="570" w:lineRule="exact"/>
              <w:jc w:val="center"/>
              <w:rPr>
                <w:rFonts w:hint="eastAsia" w:ascii="仿宋_GB2312" w:eastAsia="仿宋_GB2312" w:cs="Times New Roman"/>
                <w:sz w:val="28"/>
                <w:szCs w:val="28"/>
              </w:rPr>
            </w:pPr>
          </w:p>
        </w:tc>
        <w:tc>
          <w:tcPr>
            <w:tcW w:w="1013"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1327"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34" w:type="dxa"/>
            <w:shd w:val="clear" w:color="auto" w:fill="auto"/>
            <w:vAlign w:val="center"/>
          </w:tcPr>
          <w:p>
            <w:pPr>
              <w:spacing w:line="570" w:lineRule="exact"/>
              <w:jc w:val="center"/>
              <w:rPr>
                <w:rFonts w:hint="eastAsia" w:ascii="仿宋_GB2312" w:eastAsia="仿宋_GB2312" w:cs="Times New Roman"/>
                <w:sz w:val="28"/>
                <w:szCs w:val="28"/>
              </w:rPr>
            </w:pPr>
          </w:p>
        </w:tc>
        <w:tc>
          <w:tcPr>
            <w:tcW w:w="856"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853" w:type="dxa"/>
            <w:shd w:val="clear" w:color="auto" w:fill="auto"/>
            <w:vAlign w:val="center"/>
          </w:tcPr>
          <w:p>
            <w:pPr>
              <w:spacing w:line="570" w:lineRule="exact"/>
              <w:jc w:val="center"/>
              <w:rPr>
                <w:rFonts w:hint="eastAsia" w:ascii="仿宋_GB2312" w:eastAsia="仿宋_GB2312" w:cs="Times New Roman"/>
                <w:sz w:val="28"/>
                <w:szCs w:val="28"/>
              </w:rPr>
            </w:pPr>
          </w:p>
        </w:tc>
        <w:tc>
          <w:tcPr>
            <w:tcW w:w="776"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837" w:type="dxa"/>
            <w:shd w:val="clear" w:color="auto" w:fill="auto"/>
            <w:vAlign w:val="center"/>
          </w:tcPr>
          <w:p>
            <w:pPr>
              <w:spacing w:line="570" w:lineRule="exact"/>
              <w:jc w:val="center"/>
              <w:rPr>
                <w:rFonts w:hint="eastAsia" w:ascii="仿宋_GB2312" w:eastAsia="仿宋_GB2312" w:cs="Times New Roman"/>
                <w:sz w:val="28"/>
                <w:szCs w:val="28"/>
              </w:rPr>
            </w:pPr>
          </w:p>
        </w:tc>
        <w:tc>
          <w:tcPr>
            <w:tcW w:w="787" w:type="dxa"/>
            <w:shd w:val="clear" w:color="auto" w:fill="auto"/>
            <w:vAlign w:val="center"/>
          </w:tcPr>
          <w:p>
            <w:pPr>
              <w:spacing w:line="570" w:lineRule="exact"/>
              <w:jc w:val="center"/>
              <w:rPr>
                <w:rFonts w:hint="eastAsia" w:ascii="仿宋_GB2312" w:eastAsia="仿宋_GB2312" w:cs="Times New Roman"/>
                <w:sz w:val="28"/>
                <w:szCs w:val="28"/>
              </w:rPr>
            </w:pPr>
          </w:p>
        </w:tc>
      </w:tr>
    </w:tbl>
    <w:p>
      <w:pPr>
        <w:widowControl/>
        <w:spacing w:line="570" w:lineRule="exact"/>
        <w:jc w:val="left"/>
        <w:rPr>
          <w:rFonts w:ascii="仿宋_GB2312" w:eastAsia="仿宋_GB2312" w:cs="宋体"/>
          <w:b/>
          <w:bCs/>
          <w:color w:val="000000"/>
          <w:kern w:val="0"/>
          <w:sz w:val="32"/>
          <w:szCs w:val="32"/>
        </w:rPr>
      </w:pPr>
    </w:p>
    <w:p>
      <w:pPr>
        <w:widowControl/>
        <w:spacing w:line="570" w:lineRule="exact"/>
        <w:ind w:left="160" w:hanging="161" w:hangingChars="5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广阳区残疾人联合会</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50.75</w:t>
      </w:r>
      <w:r>
        <w:rPr>
          <w:rFonts w:hint="eastAsia" w:ascii="仿宋_GB2312" w:eastAsia="仿宋_GB2312" w:cs="宋体"/>
          <w:color w:val="000000"/>
          <w:kern w:val="0"/>
          <w:sz w:val="32"/>
          <w:szCs w:val="32"/>
        </w:rPr>
        <w:t>万元，我部门本年度无拟购置固定资产，详见下表。</w:t>
      </w:r>
    </w:p>
    <w:tbl>
      <w:tblPr>
        <w:tblStyle w:val="4"/>
        <w:tblW w:w="1034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005"/>
        <w:gridCol w:w="2565"/>
        <w:gridCol w:w="3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jc w:val="center"/>
        </w:trPr>
        <w:tc>
          <w:tcPr>
            <w:tcW w:w="10340" w:type="dxa"/>
            <w:gridSpan w:val="3"/>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jc w:val="center"/>
        </w:trPr>
        <w:tc>
          <w:tcPr>
            <w:tcW w:w="6570" w:type="dxa"/>
            <w:gridSpan w:val="2"/>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kern w:val="0"/>
                <w:sz w:val="28"/>
                <w:szCs w:val="28"/>
                <w:lang w:val="en-US" w:eastAsia="zh-CN"/>
              </w:rPr>
              <w:t>558</w:t>
            </w:r>
            <w:r>
              <w:rPr>
                <w:rFonts w:hint="eastAsia" w:ascii="仿宋_GB2312" w:eastAsia="仿宋_GB2312" w:cs="宋体"/>
                <w:b/>
                <w:bCs/>
                <w:kern w:val="0"/>
                <w:sz w:val="28"/>
                <w:szCs w:val="28"/>
              </w:rPr>
              <w:t>廊坊市广阳区残疾人联合会</w:t>
            </w:r>
          </w:p>
        </w:tc>
        <w:tc>
          <w:tcPr>
            <w:tcW w:w="3770" w:type="dxa"/>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50.75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jc w:val="center"/>
        </w:trPr>
        <w:tc>
          <w:tcPr>
            <w:tcW w:w="400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6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宋体" w:hAnsi="宋体" w:eastAsia="仿宋_GB2312" w:cs="宋体"/>
                <w:kern w:val="0"/>
                <w:sz w:val="28"/>
                <w:szCs w:val="28"/>
              </w:rPr>
            </w:pPr>
          </w:p>
        </w:tc>
        <w:tc>
          <w:tcPr>
            <w:tcW w:w="3770"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16.04</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w:t>
      </w:r>
      <w:r>
        <w:rPr>
          <w:rFonts w:hint="eastAsia" w:ascii="黑体" w:eastAsia="黑体" w:cs="宋体"/>
          <w:b/>
          <w:bCs/>
          <w:color w:val="000000"/>
          <w:kern w:val="0"/>
          <w:sz w:val="32"/>
          <w:szCs w:val="32"/>
          <w:lang w:eastAsia="zh-CN"/>
        </w:rPr>
        <w:t>他</w:t>
      </w:r>
      <w:r>
        <w:rPr>
          <w:rFonts w:hint="eastAsia" w:ascii="黑体" w:eastAsia="黑体" w:cs="宋体"/>
          <w:b/>
          <w:bCs/>
          <w:color w:val="000000"/>
          <w:kern w:val="0"/>
          <w:sz w:val="32"/>
          <w:szCs w:val="32"/>
        </w:rPr>
        <w:t>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w:t>
      </w:r>
      <w:r>
        <w:rPr>
          <w:rFonts w:hint="eastAsia" w:ascii="仿宋_GB2312" w:eastAsia="仿宋_GB2312" w:cs="宋体"/>
          <w:color w:val="000000"/>
          <w:kern w:val="0"/>
          <w:sz w:val="32"/>
          <w:szCs w:val="32"/>
          <w:lang w:eastAsia="zh-CN"/>
        </w:rPr>
        <w:t>他</w:t>
      </w:r>
      <w:r>
        <w:rPr>
          <w:rFonts w:hint="eastAsia" w:ascii="仿宋_GB2312" w:eastAsia="仿宋_GB2312" w:cs="宋体"/>
          <w:color w:val="000000"/>
          <w:kern w:val="0"/>
          <w:sz w:val="32"/>
          <w:szCs w:val="32"/>
        </w:rPr>
        <w:t>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spacing w:line="570" w:lineRule="exact"/>
        <w:rPr>
          <w:rFonts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1187685A"/>
    <w:rsid w:val="52A6418A"/>
    <w:rsid w:val="5E661FC2"/>
    <w:rsid w:val="63335C53"/>
    <w:rsid w:val="7F2255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22</Pages>
  <Words>4988</Words>
  <Characters>5792</Characters>
  <Lines>723</Lines>
  <Paragraphs>297</Paragraphs>
  <TotalTime>2</TotalTime>
  <ScaleCrop>false</ScaleCrop>
  <LinksUpToDate>false</LinksUpToDate>
  <CharactersWithSpaces>5876</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XCK</cp:lastModifiedBy>
  <dcterms:modified xsi:type="dcterms:W3CDTF">2023-06-02T02:43:38Z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FDBBE4110828467AA6B657B5E8D52E7B</vt:lpwstr>
  </property>
</Properties>
</file>