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center"/>
        <w:rPr>
          <w:rFonts w:hint="eastAsia" w:ascii="方正小标宋简体" w:eastAsia="方正小标宋简体" w:cs="宋体"/>
          <w:color w:val="000000"/>
          <w:spacing w:val="-6"/>
          <w:kern w:val="0"/>
          <w:sz w:val="44"/>
          <w:szCs w:val="44"/>
        </w:rPr>
      </w:pPr>
      <w:bookmarkStart w:id="0" w:name="_GoBack"/>
      <w:bookmarkEnd w:id="0"/>
      <w:r>
        <w:rPr>
          <w:rFonts w:hint="eastAsia" w:ascii="方正小标宋简体" w:eastAsia="方正小标宋简体" w:cs="宋体"/>
          <w:b/>
          <w:bCs/>
          <w:color w:val="000000"/>
          <w:spacing w:val="-6"/>
          <w:kern w:val="0"/>
          <w:sz w:val="44"/>
          <w:szCs w:val="44"/>
        </w:rPr>
        <w:t>中国人民政治协商会议廊坊市广阳区委员会201</w:t>
      </w:r>
      <w:r>
        <w:rPr>
          <w:rFonts w:ascii="方正小标宋简体" w:eastAsia="方正小标宋简体" w:cs="宋体"/>
          <w:b/>
          <w:bCs/>
          <w:color w:val="000000"/>
          <w:spacing w:val="-6"/>
          <w:kern w:val="0"/>
          <w:sz w:val="44"/>
          <w:szCs w:val="44"/>
        </w:rPr>
        <w:t>8</w:t>
      </w:r>
      <w:r>
        <w:rPr>
          <w:rFonts w:hint="eastAsia" w:ascii="方正小标宋简体" w:eastAsia="方正小标宋简体" w:cs="宋体"/>
          <w:b/>
          <w:bCs/>
          <w:color w:val="000000"/>
          <w:spacing w:val="-6"/>
          <w:kern w:val="0"/>
          <w:sz w:val="44"/>
          <w:szCs w:val="44"/>
        </w:rPr>
        <w:t>年部门预算信息公开</w:t>
      </w:r>
      <w:r>
        <w:rPr>
          <w:rFonts w:hint="eastAsia" w:ascii="方正小标宋简体" w:eastAsia="方正小标宋简体" w:cs="宋体"/>
          <w:color w:val="000000"/>
          <w:spacing w:val="-6"/>
          <w:kern w:val="0"/>
          <w:sz w:val="44"/>
          <w:szCs w:val="44"/>
        </w:rPr>
        <w:t> </w:t>
      </w:r>
    </w:p>
    <w:p>
      <w:pPr>
        <w:ind w:left="60" w:firstLine="640" w:firstLineChars="20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cs="宋体"/>
          <w:color w:val="000000"/>
          <w:kern w:val="0"/>
          <w:sz w:val="32"/>
          <w:szCs w:val="32"/>
        </w:rPr>
        <w:t>中国人民政治协商会议廊坊市广阳区委员会</w:t>
      </w:r>
      <w:r>
        <w:rPr>
          <w:rFonts w:hint="eastAsia" w:ascii="仿宋_GB2312" w:eastAsia="仿宋_GB2312"/>
          <w:sz w:val="32"/>
          <w:szCs w:val="32"/>
        </w:rPr>
        <w:t>201</w:t>
      </w:r>
      <w:r>
        <w:rPr>
          <w:rFonts w:ascii="仿宋_GB2312" w:eastAsia="仿宋_GB2312"/>
          <w:sz w:val="32"/>
          <w:szCs w:val="32"/>
        </w:rPr>
        <w:t>8</w:t>
      </w:r>
      <w:r>
        <w:rPr>
          <w:rFonts w:hint="eastAsia" w:ascii="仿宋_GB2312" w:eastAsia="仿宋_GB2312"/>
          <w:sz w:val="32"/>
          <w:szCs w:val="32"/>
        </w:rPr>
        <w:t>年部门预算公开如下：</w:t>
      </w:r>
    </w:p>
    <w:p>
      <w:pPr>
        <w:ind w:left="60" w:firstLine="640" w:firstLineChars="200"/>
        <w:rPr>
          <w:rFonts w:hint="eastAsia" w:ascii="黑体" w:eastAsia="黑体"/>
          <w:sz w:val="32"/>
          <w:szCs w:val="32"/>
        </w:rPr>
      </w:pPr>
      <w:r>
        <w:rPr>
          <w:rFonts w:hint="eastAsia" w:ascii="黑体" w:eastAsia="黑体"/>
          <w:sz w:val="32"/>
          <w:szCs w:val="32"/>
        </w:rPr>
        <w:t>一、部门职责及机构设置情况</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部门职责：</w:t>
      </w:r>
      <w:r>
        <w:rPr>
          <w:rFonts w:hint="eastAsia" w:ascii="宋体" w:hAnsi="宋体" w:eastAsia="仿宋_GB2312" w:cs="宋体"/>
          <w:color w:val="000000"/>
          <w:kern w:val="0"/>
          <w:sz w:val="32"/>
          <w:szCs w:val="32"/>
        </w:rPr>
        <w:t xml:space="preserve">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根据《政协章程》规定，政协廊坊市广阳区委员会的主要职责是：</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（一）按照中国人民政治协商会议章程进行工作。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（二）主要职能是政治协商和民主监督，组织参加本会的各党派、团体和各族各界人士参政议政。</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（三）宣传和贯彻执行国家的宪法法律和各项方针、政策，推动社会力量积极参加物质文明和社会主义精神文明建设，协助国家机关打击经济领域和其他领域内破坏社会主义的犯罪活动。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（五）调整和处理统一战线各方面的关系和人民政协内部合作的重要事项。</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（六）通过各种形式，积极传播先进思想，开展爱祖国、爱人民、爱劳动、爱科学、爱社会主义的公德及革命的理想、道德和纪律的宣传教育工作。</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（八）组织委员视察、参观和调查，了解情况，就各项事业和群众生活的重要问题进行研究，通过建议案、提案和其他形式向党委、政府和其他有关组织提出建议和批评。</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（九）推动委员在自愿的基础上学习马克思列宁主义、毛泽东思想和邓小平理论，学习时事政治、学习和交流业务和科学技术知识，增强为祖国服务的才能。</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（十）宣传和参与贯彻执行国家关于统一祖国的方针政策，积极开展同台湾同胞和各界人士的联系，促进祖国统一大业的实现。</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（十一）宣传和协助贯彻执行国家的知识分子政策，以利于充分发挥知识分子在社会主义现代化建设中的作用。</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（十三）宣传和协助贯彻执行国家的宗教政策，团结宗教界爱国人士和宗教信仰者为祖国的建设和统一贡献力量。</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（十四）宣传和协助贯彻执行国家的侨务政策。加强同国外侨胞的联系和团结，鼓励他们为祖国的建设事业和统一祖国的大业作出贡献。</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（十五）根据统一战线组织的特点进行关于地方近代、现代史料的征集研究和出版工作。</w:t>
      </w:r>
    </w:p>
    <w:p>
      <w:pPr>
        <w:widowControl/>
        <w:spacing w:line="360" w:lineRule="atLeast"/>
        <w:jc w:val="left"/>
        <w:rPr>
          <w:rFonts w:ascii="仿宋_GB2312" w:eastAsia="仿宋_GB2312" w:cs="宋体"/>
          <w:b/>
          <w:bCs/>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机构设置：</w:t>
      </w:r>
    </w:p>
    <w:p>
      <w:pPr>
        <w:widowControl/>
        <w:spacing w:line="360" w:lineRule="atLeast"/>
        <w:jc w:val="center"/>
        <w:rPr>
          <w:rFonts w:hint="eastAsia" w:ascii="仿宋_GB2312" w:eastAsia="仿宋_GB2312" w:cs="宋体"/>
          <w:color w:val="000000"/>
          <w:kern w:val="0"/>
          <w:sz w:val="28"/>
          <w:szCs w:val="28"/>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28"/>
          <w:szCs w:val="28"/>
        </w:rPr>
        <w:t>部门机构设置情况</w:t>
      </w:r>
    </w:p>
    <w:tbl>
      <w:tblPr>
        <w:tblStyle w:val="4"/>
        <w:tblW w:w="9563"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343"/>
        <w:gridCol w:w="1126"/>
        <w:gridCol w:w="1257"/>
        <w:gridCol w:w="283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343"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单位名称</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单位性质</w:t>
            </w:r>
          </w:p>
        </w:tc>
        <w:tc>
          <w:tcPr>
            <w:tcW w:w="1257"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单位规格</w:t>
            </w:r>
          </w:p>
        </w:tc>
        <w:tc>
          <w:tcPr>
            <w:tcW w:w="2837" w:type="dxa"/>
            <w:tcBorders>
              <w:top w:val="outset" w:color="auto" w:sz="6" w:space="0"/>
              <w:left w:val="outset" w:color="auto" w:sz="6" w:space="0"/>
              <w:bottom w:val="outset" w:color="auto" w:sz="6" w:space="0"/>
              <w:right w:val="outset" w:color="auto" w:sz="6" w:space="0"/>
            </w:tcBorders>
            <w:vAlign w:val="center"/>
          </w:tcPr>
          <w:p>
            <w:pPr>
              <w:widowControl/>
              <w:jc w:val="center"/>
              <w:rPr>
                <w:rFonts w:hint="eastAsia" w:ascii="仿宋_GB2312" w:eastAsia="仿宋_GB2312" w:cs="宋体"/>
                <w:b/>
                <w:bCs/>
                <w:kern w:val="0"/>
                <w:sz w:val="28"/>
                <w:szCs w:val="28"/>
              </w:rPr>
            </w:pPr>
            <w:r>
              <w:rPr>
                <w:rFonts w:hint="eastAsia" w:ascii="仿宋_GB2312" w:eastAsia="仿宋_GB2312" w:cs="宋体"/>
                <w:b/>
                <w:bCs/>
                <w:kern w:val="0"/>
                <w:sz w:val="28"/>
                <w:szCs w:val="28"/>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343"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hint="eastAsia" w:ascii="仿宋_GB2312" w:eastAsia="仿宋_GB2312" w:cs="宋体"/>
                <w:kern w:val="0"/>
                <w:sz w:val="28"/>
                <w:szCs w:val="28"/>
              </w:rPr>
            </w:pPr>
            <w:r>
              <w:rPr>
                <w:rFonts w:hint="eastAsia" w:ascii="仿宋_GB2312" w:eastAsia="仿宋_GB2312" w:cs="宋体"/>
                <w:kern w:val="0"/>
                <w:sz w:val="28"/>
                <w:szCs w:val="28"/>
              </w:rPr>
              <w:t>中国人民政治协商会议廊坊市广阳区委员会</w:t>
            </w:r>
          </w:p>
        </w:tc>
        <w:tc>
          <w:tcPr>
            <w:tcW w:w="112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hint="eastAsia" w:ascii="仿宋_GB2312" w:eastAsia="仿宋_GB2312" w:cs="宋体"/>
                <w:kern w:val="0"/>
                <w:sz w:val="28"/>
                <w:szCs w:val="28"/>
              </w:rPr>
            </w:pPr>
            <w:r>
              <w:rPr>
                <w:rFonts w:hint="eastAsia" w:ascii="仿宋_GB2312" w:eastAsia="仿宋_GB2312" w:cs="宋体"/>
                <w:kern w:val="0"/>
                <w:sz w:val="28"/>
                <w:szCs w:val="28"/>
              </w:rPr>
              <w:t>行政单位</w:t>
            </w:r>
          </w:p>
        </w:tc>
        <w:tc>
          <w:tcPr>
            <w:tcW w:w="125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hint="eastAsia" w:ascii="仿宋_GB2312" w:eastAsia="仿宋_GB2312" w:cs="宋体"/>
                <w:kern w:val="0"/>
                <w:sz w:val="28"/>
                <w:szCs w:val="28"/>
              </w:rPr>
            </w:pPr>
            <w:r>
              <w:rPr>
                <w:rFonts w:hint="eastAsia" w:ascii="仿宋_GB2312" w:eastAsia="仿宋_GB2312" w:cs="宋体"/>
                <w:kern w:val="0"/>
                <w:sz w:val="28"/>
                <w:szCs w:val="28"/>
              </w:rPr>
              <w:t>正处级</w:t>
            </w:r>
          </w:p>
        </w:tc>
        <w:tc>
          <w:tcPr>
            <w:tcW w:w="2837"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center"/>
              <w:rPr>
                <w:rFonts w:hint="eastAsia" w:ascii="仿宋_GB2312" w:eastAsia="仿宋_GB2312" w:cs="宋体"/>
                <w:kern w:val="0"/>
                <w:sz w:val="28"/>
                <w:szCs w:val="28"/>
              </w:rPr>
            </w:pPr>
            <w:r>
              <w:rPr>
                <w:rFonts w:hint="eastAsia" w:ascii="仿宋_GB2312" w:eastAsia="仿宋_GB2312"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按照预算管理有关规定，目前我区部门预算的编制实行综合预算制度，即全部收入和支出都反映在预算中。中国人民政治协商会议廊坊市广阳区委员会</w:t>
      </w:r>
      <w:r>
        <w:rPr>
          <w:rFonts w:hint="eastAsia" w:ascii="仿宋_GB2312" w:hAnsi="Times New Roman" w:eastAsia="仿宋_GB2312" w:cs="Times New Roman"/>
          <w:sz w:val="32"/>
          <w:szCs w:val="32"/>
        </w:rPr>
        <w:t>机关及所属事业单位的收支包含在部门预算中。</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1、收入说明</w:t>
      </w:r>
      <w:r>
        <w:rPr>
          <w:rFonts w:hint="eastAsia" w:ascii="宋体" w:hAnsi="宋体" w:eastAsia="仿宋_GB2312" w:cs="宋体"/>
          <w:color w:val="000000"/>
          <w:kern w:val="0"/>
          <w:sz w:val="32"/>
          <w:szCs w:val="32"/>
        </w:rPr>
        <w:t xml:space="preserve">    </w:t>
      </w:r>
    </w:p>
    <w:p>
      <w:pPr>
        <w:widowControl/>
        <w:spacing w:line="570" w:lineRule="exact"/>
        <w:ind w:firstLine="640" w:firstLineChars="200"/>
        <w:jc w:val="left"/>
        <w:rPr>
          <w:rFonts w:hint="eastAsia"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739.92</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739.92</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spacing w:line="570" w:lineRule="exact"/>
        <w:ind w:left="0" w:firstLine="482" w:firstLineChars="150"/>
        <w:rPr>
          <w:rFonts w:hint="eastAsia"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r>
        <w:rPr>
          <w:rFonts w:hint="eastAsia" w:ascii="楷体_GB2312" w:eastAsia="楷体_GB2312" w:cs="宋体"/>
          <w:color w:val="000000"/>
          <w:kern w:val="0"/>
          <w:sz w:val="32"/>
          <w:szCs w:val="32"/>
        </w:rPr>
        <w:br w:type="textWrapping"/>
      </w:r>
      <w:r>
        <w:rPr>
          <w:rFonts w:hint="eastAsia" w:ascii="宋体" w:hAnsi="宋体" w:eastAsia="仿宋_GB2312" w:cs="宋体"/>
          <w:color w:val="000000"/>
          <w:kern w:val="0"/>
          <w:sz w:val="32"/>
          <w:szCs w:val="32"/>
        </w:rPr>
        <w:t xml:space="preserve">    </w:t>
      </w: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w:t>
      </w:r>
      <w:r>
        <w:rPr>
          <w:rFonts w:hint="eastAsia" w:ascii="仿宋_GB2312" w:eastAsia="仿宋_GB2312" w:cs="宋体"/>
          <w:color w:val="000000"/>
          <w:kern w:val="0"/>
          <w:sz w:val="32"/>
          <w:szCs w:val="32"/>
        </w:rPr>
        <w:t>中国人民政治协商会议廊坊市广阳区委员会</w:t>
      </w:r>
      <w:r>
        <w:rPr>
          <w:rFonts w:ascii="仿宋_GB2312" w:eastAsia="仿宋_GB2312" w:cs="宋体"/>
          <w:color w:val="000000"/>
          <w:kern w:val="0"/>
          <w:sz w:val="32"/>
          <w:szCs w:val="32"/>
        </w:rPr>
        <w:t>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年支出预算739.92万元，其中基本支出604.92万元，包括人员经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520.79万元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84.13万元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项目支出135</w:t>
      </w:r>
      <w:r>
        <w:rPr>
          <w:rFonts w:hint="eastAsia" w:ascii="仿宋_GB2312" w:eastAsia="仿宋_GB2312" w:cs="宋体"/>
          <w:color w:val="000000"/>
          <w:kern w:val="0"/>
          <w:sz w:val="32"/>
          <w:szCs w:val="32"/>
        </w:rPr>
        <w:t>万元</w:t>
      </w:r>
      <w:r>
        <w:rPr>
          <w:rFonts w:hint="eastAsia" w:ascii="仿宋_GB2312" w:eastAsia="仿宋_GB2312" w:cs="宋体"/>
          <w:color w:val="000000"/>
          <w:kern w:val="0"/>
          <w:sz w:val="32"/>
          <w:szCs w:val="32"/>
          <w:lang w:val="en-US" w:eastAsia="zh-CN"/>
        </w:rPr>
        <w:t>,主要为会议费40万元，委员活动费30万元，工作经费65万元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 xml:space="preserve"> </w:t>
      </w:r>
    </w:p>
    <w:p>
      <w:pPr>
        <w:widowControl/>
        <w:spacing w:line="360" w:lineRule="atLeast"/>
        <w:jc w:val="left"/>
        <w:rPr>
          <w:rFonts w:ascii="楷体_GB2312" w:eastAsia="楷体_GB2312" w:cs="宋体"/>
          <w:b/>
          <w:bCs/>
          <w:color w:val="000000"/>
          <w:kern w:val="0"/>
          <w:sz w:val="32"/>
          <w:szCs w:val="32"/>
        </w:rPr>
      </w:pPr>
      <w:r>
        <w:rPr>
          <w:rFonts w:hint="eastAsia" w:ascii="宋体" w:hAnsi="宋体" w:eastAsia="楷体_GB2312" w:cs="宋体"/>
          <w:b/>
          <w:bCs/>
          <w:color w:val="000000"/>
          <w:kern w:val="0"/>
          <w:sz w:val="32"/>
          <w:szCs w:val="32"/>
        </w:rPr>
        <w:t xml:space="preserve">    </w:t>
      </w:r>
      <w:r>
        <w:rPr>
          <w:rFonts w:hint="eastAsia" w:ascii="楷体_GB2312" w:eastAsia="楷体_GB2312" w:cs="宋体"/>
          <w:b/>
          <w:bCs/>
          <w:color w:val="000000"/>
          <w:kern w:val="0"/>
          <w:sz w:val="32"/>
          <w:szCs w:val="32"/>
        </w:rPr>
        <w:t>3、比上年增减情况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739.92</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239.11</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104.11</w:t>
      </w:r>
      <w:r>
        <w:rPr>
          <w:rFonts w:hint="eastAsia" w:ascii="仿宋_GB2312" w:eastAsia="仿宋_GB2312" w:cs="宋体"/>
          <w:color w:val="000000"/>
          <w:kern w:val="0"/>
          <w:sz w:val="32"/>
          <w:szCs w:val="32"/>
        </w:rPr>
        <w:t>万元，主要为增加人员经费支出；项目支出</w:t>
      </w:r>
      <w:r>
        <w:rPr>
          <w:rFonts w:ascii="仿宋_GB2312" w:eastAsia="仿宋_GB2312" w:cs="宋体"/>
          <w:color w:val="000000"/>
          <w:kern w:val="0"/>
          <w:sz w:val="32"/>
          <w:szCs w:val="32"/>
        </w:rPr>
        <w:t>增加135</w:t>
      </w:r>
      <w:r>
        <w:rPr>
          <w:rFonts w:hint="eastAsia" w:ascii="仿宋_GB2312" w:eastAsia="仿宋_GB2312" w:cs="宋体"/>
          <w:color w:val="000000"/>
          <w:kern w:val="0"/>
          <w:sz w:val="32"/>
          <w:szCs w:val="32"/>
        </w:rPr>
        <w:t>万元，主要为</w:t>
      </w:r>
      <w:r>
        <w:rPr>
          <w:rFonts w:ascii="仿宋_GB2312" w:eastAsia="仿宋_GB2312" w:cs="宋体"/>
          <w:color w:val="000000"/>
          <w:kern w:val="0"/>
          <w:sz w:val="32"/>
          <w:szCs w:val="32"/>
        </w:rPr>
        <w:t>增加会议</w:t>
      </w:r>
      <w:r>
        <w:rPr>
          <w:rFonts w:hint="eastAsia" w:ascii="仿宋_GB2312" w:eastAsia="仿宋_GB2312" w:cs="宋体"/>
          <w:color w:val="000000"/>
          <w:kern w:val="0"/>
          <w:sz w:val="32"/>
          <w:szCs w:val="32"/>
          <w:lang w:eastAsia="zh-CN"/>
        </w:rPr>
        <w:t>经费</w:t>
      </w:r>
      <w:r>
        <w:rPr>
          <w:rFonts w:hint="eastAsia" w:ascii="仿宋_GB2312" w:eastAsia="仿宋_GB2312" w:cs="宋体"/>
          <w:color w:val="000000"/>
          <w:kern w:val="0"/>
          <w:sz w:val="32"/>
          <w:szCs w:val="32"/>
          <w:lang w:val="en-US" w:eastAsia="zh-CN"/>
        </w:rPr>
        <w:t>40万元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lang w:eastAsia="zh-CN"/>
        </w:rPr>
        <w:t>委员活动经费</w:t>
      </w:r>
      <w:r>
        <w:rPr>
          <w:rFonts w:hint="eastAsia" w:ascii="仿宋_GB2312" w:eastAsia="仿宋_GB2312" w:cs="宋体"/>
          <w:color w:val="000000"/>
          <w:kern w:val="0"/>
          <w:sz w:val="32"/>
          <w:szCs w:val="32"/>
          <w:lang w:val="en-US" w:eastAsia="zh-CN"/>
        </w:rPr>
        <w:t>30万元、工作经费65万元</w:t>
      </w:r>
      <w:r>
        <w:rPr>
          <w:rFonts w:ascii="仿宋_GB2312" w:eastAsia="仿宋_GB2312" w:cs="宋体"/>
          <w:color w:val="000000"/>
          <w:kern w:val="0"/>
          <w:sz w:val="32"/>
          <w:szCs w:val="32"/>
        </w:rPr>
        <w:t>等项目支出</w:t>
      </w:r>
      <w:r>
        <w:rPr>
          <w:rFonts w:hint="eastAsia" w:ascii="仿宋_GB2312" w:eastAsia="仿宋_GB2312" w:cs="宋体"/>
          <w:color w:val="000000"/>
          <w:kern w:val="0"/>
          <w:sz w:val="32"/>
          <w:szCs w:val="32"/>
        </w:rPr>
        <w:t>。</w:t>
      </w:r>
    </w:p>
    <w:p>
      <w:pPr>
        <w:widowControl/>
        <w:spacing w:line="570" w:lineRule="exact"/>
        <w:ind w:left="0"/>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2.41</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2.41</w:t>
      </w:r>
      <w:r>
        <w:rPr>
          <w:rFonts w:hint="eastAsia" w:ascii="仿宋_GB2312" w:eastAsia="仿宋_GB2312" w:cs="宋体"/>
          <w:color w:val="000000"/>
          <w:kern w:val="0"/>
          <w:sz w:val="32"/>
          <w:szCs w:val="32"/>
        </w:rPr>
        <w:t>万元，其他业务费</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四、财政拨款“三公”经费预算情况及增减变化原因</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39.20</w:t>
      </w:r>
      <w:r>
        <w:rPr>
          <w:rFonts w:hint="eastAsia" w:ascii="仿宋_GB2312" w:eastAsia="仿宋_GB2312" w:cs="宋体"/>
          <w:color w:val="000000"/>
          <w:kern w:val="0"/>
          <w:sz w:val="32"/>
          <w:szCs w:val="32"/>
        </w:rPr>
        <w:t>万元，其中因公出国（境）费0万元；公务用车购置及运维费</w:t>
      </w:r>
      <w:r>
        <w:rPr>
          <w:rFonts w:ascii="仿宋_GB2312" w:eastAsia="仿宋_GB2312" w:cs="宋体"/>
          <w:color w:val="000000"/>
          <w:kern w:val="0"/>
          <w:sz w:val="32"/>
          <w:szCs w:val="32"/>
        </w:rPr>
        <w:t>9.2</w:t>
      </w:r>
      <w:r>
        <w:rPr>
          <w:rFonts w:hint="eastAsia" w:ascii="仿宋_GB2312" w:eastAsia="仿宋_GB2312" w:cs="宋体"/>
          <w:color w:val="000000"/>
          <w:kern w:val="0"/>
          <w:sz w:val="32"/>
          <w:szCs w:val="32"/>
        </w:rPr>
        <w:t>万元（其中：公务用车购置费为0万元，公务用车运行费为</w:t>
      </w:r>
      <w:r>
        <w:rPr>
          <w:rFonts w:ascii="仿宋_GB2312" w:eastAsia="仿宋_GB2312" w:cs="宋体"/>
          <w:color w:val="000000"/>
          <w:kern w:val="0"/>
          <w:sz w:val="32"/>
          <w:szCs w:val="32"/>
        </w:rPr>
        <w:t>9.20</w:t>
      </w:r>
      <w:r>
        <w:rPr>
          <w:rFonts w:hint="eastAsia" w:ascii="仿宋_GB2312" w:eastAsia="仿宋_GB2312" w:cs="宋体"/>
          <w:color w:val="000000"/>
          <w:kern w:val="0"/>
          <w:sz w:val="32"/>
          <w:szCs w:val="32"/>
        </w:rPr>
        <w:t>万元)；公务接待费</w:t>
      </w:r>
      <w:r>
        <w:rPr>
          <w:rFonts w:ascii="仿宋_GB2312" w:eastAsia="仿宋_GB2312" w:cs="宋体"/>
          <w:color w:val="000000"/>
          <w:kern w:val="0"/>
          <w:sz w:val="32"/>
          <w:szCs w:val="32"/>
        </w:rPr>
        <w:t>30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9.20</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公务接待费增加30万元，</w:t>
      </w:r>
      <w:r>
        <w:rPr>
          <w:rFonts w:hint="eastAsia" w:ascii="仿宋_GB2312" w:eastAsia="仿宋_GB2312" w:cs="宋体"/>
          <w:color w:val="000000"/>
          <w:kern w:val="0"/>
          <w:sz w:val="32"/>
          <w:szCs w:val="32"/>
        </w:rPr>
        <w:t>主要原因是2017年</w:t>
      </w:r>
      <w:r>
        <w:rPr>
          <w:rFonts w:ascii="仿宋_GB2312" w:eastAsia="仿宋_GB2312" w:cs="宋体"/>
          <w:color w:val="000000"/>
          <w:kern w:val="0"/>
          <w:sz w:val="32"/>
          <w:szCs w:val="32"/>
        </w:rPr>
        <w:t>未安排</w:t>
      </w:r>
      <w:r>
        <w:rPr>
          <w:rFonts w:hint="eastAsia" w:ascii="仿宋_GB2312" w:eastAsia="仿宋_GB2312" w:cs="宋体"/>
          <w:color w:val="000000"/>
          <w:kern w:val="0"/>
          <w:sz w:val="32"/>
          <w:szCs w:val="32"/>
        </w:rPr>
        <w:t>预算。</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b/>
          <w:bCs/>
          <w:color w:val="000000"/>
          <w:kern w:val="0"/>
          <w:sz w:val="32"/>
          <w:szCs w:val="32"/>
        </w:rPr>
        <w:t xml:space="preserve">    </w:t>
      </w:r>
      <w:r>
        <w:rPr>
          <w:rFonts w:hint="eastAsia" w:ascii="仿宋_GB2312" w:eastAsia="仿宋_GB2312" w:cs="宋体"/>
          <w:b/>
          <w:bCs/>
          <w:color w:val="000000"/>
          <w:kern w:val="0"/>
          <w:sz w:val="32"/>
          <w:szCs w:val="32"/>
        </w:rPr>
        <w:t>总体绩效目标：</w:t>
      </w:r>
      <w:r>
        <w:rPr>
          <w:rFonts w:hint="eastAsia" w:ascii="宋体" w:hAnsi="宋体" w:eastAsia="仿宋_GB2312" w:cs="宋体"/>
          <w:color w:val="000000"/>
          <w:kern w:val="0"/>
          <w:sz w:val="32"/>
          <w:szCs w:val="32"/>
        </w:rPr>
        <w:t xml:space="preserve">  </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（一）按照中国人民政治协商会议章程进行工作。</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（二）主要职能是政治协商和民主监督，组织参加本会的各党派、团体和各族各界人士参政议政。</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（三）宣传和贯彻执行国家的宪法法律和各项方针、政策，推动社会力量积极参加物质文明和社会主义精神文明建设，协助国家机关打击经济领域和其他领域内破坏社会主义的犯罪活动。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（五）调整和处理统一战线各方面的关系和人民政协内部合作的重要事项。</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（六）通过各种形式，积极传播先进思想，开展爱祖国、爱人民、爱劳动、爱科学、爱社会主义的公德及革命的理想、道德和纪律的宣传教育工作。</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（八）组织委员视察、参观和调查，了解情况，就各项事业和群众生活的重要问题进行研究，通过建议案、提案和其他形式向党委、政府和其他有关组织提出建议和批评。</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（九）推动委员在自愿的基础上学习马克思列宁主义、毛泽东思想和邓小平理论，学习时事政治、学习和交流业务和科学技术知识，增强为祖国服务的才能。</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（十）宣传和参与贯彻执行国家关于统一祖国的方针政策，积极开展同台湾同胞和各界人士的联系，促进祖国统一大业的实现。</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（十一）宣传和协助贯彻执行国家的知识分子政策，以利于充分发挥知识分子在社会主义现代化建设中的作用。</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（十三）宣传和协助贯彻执行国家的宗教政策，团结宗教界爱国人士和宗教信仰者为祖国的建设和统一贡献力量。</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（十四）宣传和协助贯彻执行国家的侨务政策。加强同国外侨胞的联系和团结，鼓励他们为祖国的建设事业和统一祖国的大业作出贡献。</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（十五）根据统一战线组织的特点进行关于地方近代、现代史料的征集研究和出版工作。</w:t>
      </w:r>
    </w:p>
    <w:p>
      <w:pPr>
        <w:widowControl/>
        <w:spacing w:line="360" w:lineRule="atLeast"/>
        <w:ind w:firstLine="320" w:firstLineChars="100"/>
        <w:jc w:val="left"/>
        <w:rPr>
          <w:rFonts w:ascii="仿宋_GB2312" w:eastAsia="仿宋_GB2312" w:cs="宋体"/>
          <w:b/>
          <w:bCs/>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一、政治协商：就大政方针及重要问题在决策之前进行协商和就决策执行过程中的重要问题进行协商。目标：完善各项会议制度，规范会议程序，提高会议质量，提高政治协商水平。</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二、民主监督：有效履行民主监督职责。通过意见、建议、批评的方式对国家法律法规的实施、重大方针政策的贯彻执行、</w:t>
      </w:r>
      <w:r>
        <w:rPr>
          <w:rFonts w:hint="eastAsia" w:ascii="仿宋_GB2312" w:eastAsia="仿宋_GB2312" w:cs="宋体"/>
          <w:color w:val="000000"/>
          <w:kern w:val="0"/>
          <w:sz w:val="32"/>
          <w:szCs w:val="32"/>
          <w:lang w:eastAsia="zh-CN"/>
        </w:rPr>
        <w:t>县委、县政府</w:t>
      </w:r>
      <w:r>
        <w:rPr>
          <w:rFonts w:hint="eastAsia" w:ascii="仿宋_GB2312" w:eastAsia="仿宋_GB2312" w:cs="宋体"/>
          <w:color w:val="000000"/>
          <w:kern w:val="0"/>
          <w:sz w:val="32"/>
          <w:szCs w:val="32"/>
        </w:rPr>
        <w:t>的工作进行政治监督。目标：完善民主监督机制，畅通民主监督渠道，建立健全知情、沟通制度，将民主监督寓于委员提案、进行视察、参与工作检查等活动中，提高民主监督质量和成效。</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三、参政议政：通过对重大问题以及人民群众普遍关心的问题，开展调查研究，向县委、县政府提出意见和建议。目标：发挥政协作为扩大社会各界有序参与的重要渠道作用，探索开展活动的新方法淅途径，充分调动委员参政议政积极，向县委、县政府提出高质量的建议案。</w:t>
      </w:r>
    </w:p>
    <w:p>
      <w:pPr>
        <w:widowControl/>
        <w:spacing w:line="360" w:lineRule="atLeast"/>
        <w:ind w:firstLine="320" w:firstLineChars="100"/>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四、政协事务管理：县政协自身建设、宣传工作，与有关单位的联系协调；负责机关外事工作，机构编制、人事任免、人员培训、考核奖惩、工资福利，后勤保障、经费资产管理、基建和审计，接待、离退休人员服务，承办政协主席、副主席、秘书长交办的其他事项。目标：机关自身建设、服务保障能力进一步提升。</w:t>
      </w:r>
    </w:p>
    <w:p>
      <w:pPr>
        <w:widowControl/>
        <w:spacing w:line="360" w:lineRule="atLeast"/>
        <w:ind w:firstLine="320" w:firstLineChars="100"/>
        <w:jc w:val="center"/>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部门职责-工作活动绩效目标</w:t>
      </w: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hint="eastAsia" w:ascii="方正小标宋_GBK" w:eastAsia="方正小标宋_GBK"/>
                <w:sz w:val="24"/>
              </w:rPr>
            </w:pPr>
            <w:r>
              <w:rPr>
                <w:rFonts w:hint="eastAsia" w:ascii="方正小标宋_GBK" w:eastAsia="方正小标宋_GBK"/>
                <w:sz w:val="24"/>
              </w:rPr>
              <w:t>131中国人民政治协商会议廊坊市广阳区委员会</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hint="eastAsia"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一、政治协商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就大政方针及重要问题在决策之前进行协商和就决策执行过程中的重要问题进行协商。</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1、政协会议</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40.00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各类会议是政协履行职能的主要形式，是开展工作的主体，是委员履行自身职责的主要途径。</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完善各项会议制度，规范会议程序，提高会议质量，提高政治协商水平。</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会议活动组织率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会议活动参会人数</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2、协商民主</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根据形势、任务和党委政府统一部署，安排协商活动，召开专题座谈会等。</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增强开展政治协商的自觉性和主动性，规范协商内容，丰富协商形式和层次，把政治协商纳入决策程序。对外交往工作成效显著。</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专题协商完成率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专题协商完进度</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专题协商成果</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二、民主监督</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有效履行民主监督职责。通过意见、建议、批评的方式对国家法律法规的实施、重大方针政策的贯彻执行、区委、区政府的工作进行政治监督。</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完善民主监督机制，畅通民主监督渠道，建立健全知情、沟通制度，将民主监督寓于委员提案、进行视察、参与工作检查等活动中，提高民主监督质量和成效。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1、监督事务</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组织、鼓励和引导委员深入实际，通过建议案、提案等形式进行监督。通过有组织的调查和检查活动实施监督。</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组织、鼓励和引导委员深入实际，通过建议案、提案等形式进行监督。通过有组织的调查和检查活动实施监督。</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反映政协委员参与党和国家重大改革工作事项的情况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反映政协委员参与党和国家重大改革工作事项的情况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完善民主监督机制，畅通民主监督渠道，建立健全知情、沟通制度，加强工作协调配合，提高民主监督的质量和成效。</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反映政协委员参与党和国家重大改革工作事项的情况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2、提案工作</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对政协委员和参加政协的各党派团体以及各专委会（提案者）的提案进行审查立案，立案后交承办单位办理，适时督办。</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对政协委员和参加政协的各党派团体以及各专委会（提案者）的提案进行审查立案，立案后交承办单位办理，适时督办。</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反映对政协提案审理、分办、督办的情况，指提案办理数量占提案总量的比重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反映对政协提案审理、分办、督办的情况，指提案办理数量占提案总量的比重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完善提案审查、办理和反馈机制，做到提案程序更加规范，制度更加完善，提案质量和办理质量不断提高，政协履职作用更加突出。</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反映对政协提案审理、分办、督办的情况，指提案办理数量占提案总量的比重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三、参政议政</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通过对重大问题以及人民群众普遍关心的问题，开展调查研究，向区委、区政府提出意见和建议。</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发挥政协作为扩大社会各界有序参与的重要渠道作用，探索开展活动的新方法淅途径，充分调动委员参政议政积极，向区委、区政府提出高质量的建议案。</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1、专题调研</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组织委员深入实际、联系群众、了解党和国家方针政策贯彻落实情况并收集和反映社情民意。</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组织委员深入实际、联系群众、了解党和国家方针政策贯彻落实情况并收集和反映社情民意。</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深入工作实际、深入基层，掌握反映真实情况的第一手材料，了解平时难以听到的群众呼声，形成有利于党和国家制定和调整符合群众意愿的政策措施。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反映重点和专项课题调研计划完成上报情况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深入工作实际、深入基层，掌握反映真实情况的第一手材料，了解平时难以听到的群众呼声，形成有利于党和国家制定和调整符合群众意愿的政策措施。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反映重点和专项课题调研计划完成上报情况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深入工作实际、深入基层，掌握反映真实情况的第一手材料，了解平时难以听到的群众呼声，形成有利于党和国家制定和调整符合群众意愿的政策措施。</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反映重点和专项课题调研计划完成上报情况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2、巡视察看</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组织委员对经济发展的重大项目及人民群众普遍关注的重大问题进行巡视察看。</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组织委员对经济发展的重大项目及人民群众普遍关注的重大问题进行巡视察看。</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通过界别渠道对既定问题或项目进行实地考察和认真论证，以视察报告或其他形式提出重要的咨询意见。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反映专项视察活动报告完成情况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通过界别渠道对既定问题或项目进行实地考察和认真论证，以视察报告或其他形式提出重要的咨询意见。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反映专项视察活动报告完成情况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通过界别渠道对既定问题或项目进行实地考察和认真论证，以视察报告或其他形式提出重要的咨询意见。</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反映专项视察活动报告完成情况</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四、政协事务管理</w:t>
            </w:r>
          </w:p>
        </w:tc>
        <w:tc>
          <w:tcPr>
            <w:tcW w:w="12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95.00</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协自身建设、宣传工作，与有关单位的联系协调；负责机关外事工作，机构编制、人事任免、人员培训、考核奖惩、工资福利，后勤保障、经费资产管理、基建和审计，接待、离退休人员服务，承办政协主席、副主席、秘书长交办的其他事项。</w:t>
            </w:r>
          </w:p>
        </w:tc>
        <w:tc>
          <w:tcPr>
            <w:tcW w:w="2976"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机关自身建设、服务保障能力进一步提升。</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95.00</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加强区政协机关自身建设和宣传工作，扩大与政协办公室，区委、区人大常委会、政府办公室，区各民主党派、工商联、人民团体、区直有关部门和市、区政协的联系、协调工作。</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加强区政协机关自身建设和宣传工作，扩大与政协办公室，区委、区人大常委会、政府办公室，区各民主党派、工商联、人民团体、区直有关部门和市、区政协的联系、协调工作。</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反映委员培训人数占委员总数的比重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反映委员培训人数占委员总数的比重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政协自身建设质量更加扎实，工作科学化水平进一步提升。文史资料的社会功能增强，理论研究成果服务履职作用明显。</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反映委员培训人数占委员总数的比重</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95.00%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90.00%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hint="eastAsia" w:ascii="方正书宋_GBK" w:eastAsia="方正书宋_GBK"/>
                <w:b/>
              </w:rPr>
            </w:pPr>
            <w:r>
              <w:rPr>
                <w:rFonts w:hint="eastAsia" w:ascii="方正书宋_GBK" w:eastAsia="方正书宋_GBK"/>
                <w:b/>
              </w:rPr>
              <w:t>　　2、综合事务管理</w:t>
            </w:r>
          </w:p>
        </w:tc>
        <w:tc>
          <w:tcPr>
            <w:tcW w:w="12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区政协机关的外事工作，机构编制、人事任免、调配及人员培训、考核奖惩、工资福利，后勤保障、机关经费管理、资产管理、基建和审计，机关接待、离退休人员服务，以及承办区政协主席、副主席、秘书长交办的其他事项。</w:t>
            </w:r>
          </w:p>
        </w:tc>
        <w:tc>
          <w:tcPr>
            <w:tcW w:w="2976" w:type="dxa"/>
            <w:vMerge w:val="restart"/>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机关基本设施设备正常运转、信息化保障、老干部服务保障能力进一步提高。</w:t>
            </w: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hint="eastAsia"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100.00%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80.00%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60.00%</w:t>
            </w:r>
          </w:p>
        </w:tc>
        <w:tc>
          <w:tcPr>
            <w:tcW w:w="737" w:type="dxa"/>
            <w:tcBorders>
              <w:tl2br w:val="nil"/>
              <w:tr2bl w:val="nil"/>
            </w:tcBorders>
            <w:shd w:val="clear" w:color="auto" w:fill="auto"/>
            <w:vAlign w:val="center"/>
          </w:tcPr>
          <w:p>
            <w:pPr>
              <w:spacing w:line="300" w:lineRule="exact"/>
              <w:jc w:val="center"/>
              <w:rPr>
                <w:rFonts w:hint="eastAsia" w:ascii="方正书宋_GBK" w:eastAsia="方正书宋_GBK"/>
              </w:rPr>
            </w:pPr>
            <w:r>
              <w:rPr>
                <w:rFonts w:hint="eastAsia" w:ascii="方正书宋_GBK" w:eastAsia="方正书宋_GBK"/>
              </w:rPr>
              <w:t>60%以下</w:t>
            </w:r>
          </w:p>
        </w:tc>
      </w:tr>
    </w:tbl>
    <w:p>
      <w:pPr>
        <w:widowControl/>
        <w:spacing w:line="360" w:lineRule="atLeast"/>
        <w:jc w:val="left"/>
        <w:rPr>
          <w:rFonts w:ascii="宋体" w:hAnsi="宋体" w:eastAsia="黑体" w:cs="宋体"/>
          <w:color w:val="000000"/>
          <w:kern w:val="0"/>
          <w:sz w:val="32"/>
          <w:szCs w:val="32"/>
        </w:rPr>
      </w:pPr>
      <w:r>
        <w:rPr>
          <w:rFonts w:hint="eastAsia" w:ascii="宋体" w:hAnsi="宋体" w:eastAsia="黑体" w:cs="宋体"/>
          <w:color w:val="000000"/>
          <w:kern w:val="0"/>
          <w:sz w:val="32"/>
          <w:szCs w:val="32"/>
        </w:rPr>
        <w:t> </w:t>
      </w: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宋体" w:hAnsi="宋体" w:eastAsia="黑体" w:cs="宋体"/>
          <w:color w:val="000000"/>
          <w:kern w:val="0"/>
          <w:sz w:val="32"/>
          <w:szCs w:val="32"/>
        </w:rPr>
      </w:pP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六、政府采购预算情况</w:t>
      </w:r>
    </w:p>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年，我部门未安排政府采购预算。</w:t>
      </w:r>
    </w:p>
    <w:p>
      <w:pPr>
        <w:jc w:val="center"/>
        <w:outlineLvl w:val="0"/>
        <w:rPr>
          <w:rFonts w:hint="eastAsia"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仿宋_GB2312" w:eastAsia="仿宋_GB2312" w:cs="Times New Roman"/>
                <w:sz w:val="28"/>
                <w:szCs w:val="28"/>
              </w:rPr>
            </w:pPr>
            <w:r>
              <w:rPr>
                <w:rFonts w:hint="eastAsia" w:ascii="仿宋_GB2312" w:eastAsia="仿宋_GB2312" w:cs="宋体"/>
                <w:color w:val="000000"/>
                <w:kern w:val="0"/>
                <w:sz w:val="32"/>
                <w:szCs w:val="32"/>
                <w:lang w:val="en-US" w:eastAsia="zh-CN"/>
              </w:rPr>
              <w:t>131</w:t>
            </w:r>
            <w:r>
              <w:rPr>
                <w:rFonts w:hint="eastAsia" w:ascii="仿宋_GB2312" w:eastAsia="仿宋_GB2312" w:cs="宋体"/>
                <w:color w:val="000000"/>
                <w:kern w:val="0"/>
                <w:sz w:val="32"/>
                <w:szCs w:val="32"/>
              </w:rPr>
              <w:t>中国人民政治协商会议廊坊市广阳区委员会</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30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300" w:lineRule="exact"/>
              <w:jc w:val="right"/>
              <w:rPr>
                <w:rFonts w:hint="eastAsia" w:ascii="仿宋_GB2312" w:eastAsia="仿宋_GB2312" w:cs="Times New Roman"/>
                <w:b/>
                <w:sz w:val="28"/>
                <w:szCs w:val="28"/>
              </w:rPr>
            </w:pPr>
          </w:p>
        </w:tc>
        <w:tc>
          <w:tcPr>
            <w:tcW w:w="834" w:type="dxa"/>
            <w:shd w:val="clear" w:color="auto" w:fill="auto"/>
            <w:vAlign w:val="center"/>
          </w:tcPr>
          <w:p>
            <w:pPr>
              <w:spacing w:line="300" w:lineRule="exact"/>
              <w:jc w:val="left"/>
              <w:rPr>
                <w:rFonts w:hint="eastAsia" w:ascii="仿宋_GB2312" w:eastAsia="仿宋_GB2312" w:cs="Times New Roman"/>
                <w:b/>
                <w:sz w:val="28"/>
                <w:szCs w:val="28"/>
              </w:rPr>
            </w:pPr>
          </w:p>
        </w:tc>
        <w:tc>
          <w:tcPr>
            <w:tcW w:w="1327" w:type="dxa"/>
            <w:shd w:val="clear" w:color="auto" w:fill="auto"/>
            <w:vAlign w:val="center"/>
          </w:tcPr>
          <w:p>
            <w:pPr>
              <w:spacing w:line="300" w:lineRule="exact"/>
              <w:jc w:val="left"/>
              <w:rPr>
                <w:rFonts w:hint="eastAsia" w:ascii="仿宋_GB2312" w:eastAsia="仿宋_GB2312" w:cs="Times New Roman"/>
                <w:b/>
                <w:sz w:val="28"/>
                <w:szCs w:val="28"/>
              </w:rPr>
            </w:pPr>
          </w:p>
        </w:tc>
        <w:tc>
          <w:tcPr>
            <w:tcW w:w="834" w:type="dxa"/>
            <w:shd w:val="clear" w:color="auto" w:fill="auto"/>
            <w:vAlign w:val="center"/>
          </w:tcPr>
          <w:p>
            <w:pPr>
              <w:spacing w:line="300" w:lineRule="exact"/>
              <w:jc w:val="left"/>
              <w:rPr>
                <w:rFonts w:hint="eastAsia" w:ascii="仿宋_GB2312" w:eastAsia="仿宋_GB2312" w:cs="Times New Roman"/>
                <w:b/>
                <w:sz w:val="28"/>
                <w:szCs w:val="28"/>
              </w:rPr>
            </w:pPr>
          </w:p>
        </w:tc>
        <w:tc>
          <w:tcPr>
            <w:tcW w:w="834" w:type="dxa"/>
            <w:shd w:val="clear" w:color="auto" w:fill="auto"/>
            <w:vAlign w:val="center"/>
          </w:tcPr>
          <w:p>
            <w:pPr>
              <w:spacing w:line="300" w:lineRule="exact"/>
              <w:jc w:val="right"/>
              <w:rPr>
                <w:rFonts w:hint="eastAsia" w:ascii="仿宋_GB2312" w:eastAsia="仿宋_GB2312" w:cs="Times New Roman"/>
                <w:b/>
                <w:sz w:val="28"/>
                <w:szCs w:val="28"/>
              </w:rPr>
            </w:pPr>
          </w:p>
        </w:tc>
        <w:tc>
          <w:tcPr>
            <w:tcW w:w="856"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776" w:type="dxa"/>
            <w:shd w:val="clear" w:color="auto" w:fill="auto"/>
            <w:vAlign w:val="center"/>
          </w:tcPr>
          <w:p>
            <w:pPr>
              <w:spacing w:line="300" w:lineRule="exact"/>
              <w:jc w:val="right"/>
              <w:rPr>
                <w:rFonts w:hint="eastAsia" w:ascii="仿宋_GB2312" w:eastAsia="仿宋_GB2312" w:cs="Times New Roman"/>
                <w:b/>
                <w:sz w:val="28"/>
                <w:szCs w:val="28"/>
              </w:rPr>
            </w:pPr>
          </w:p>
        </w:tc>
        <w:tc>
          <w:tcPr>
            <w:tcW w:w="837" w:type="dxa"/>
            <w:shd w:val="clear" w:color="auto" w:fill="auto"/>
            <w:vAlign w:val="center"/>
          </w:tcPr>
          <w:p>
            <w:pPr>
              <w:spacing w:line="300" w:lineRule="exact"/>
              <w:jc w:val="right"/>
              <w:rPr>
                <w:rFonts w:hint="eastAsia" w:ascii="仿宋_GB2312" w:eastAsia="仿宋_GB2312" w:cs="Times New Roman"/>
                <w:b/>
                <w:sz w:val="28"/>
                <w:szCs w:val="28"/>
              </w:rPr>
            </w:pPr>
          </w:p>
        </w:tc>
        <w:tc>
          <w:tcPr>
            <w:tcW w:w="837" w:type="dxa"/>
            <w:shd w:val="clear" w:color="auto" w:fill="auto"/>
            <w:vAlign w:val="center"/>
          </w:tcPr>
          <w:p>
            <w:pPr>
              <w:spacing w:line="300" w:lineRule="exact"/>
              <w:jc w:val="right"/>
              <w:rPr>
                <w:rFonts w:hint="eastAsia" w:ascii="仿宋_GB2312" w:eastAsia="仿宋_GB2312" w:cs="Times New Roman"/>
                <w:b/>
                <w:sz w:val="28"/>
                <w:szCs w:val="28"/>
              </w:rPr>
            </w:pPr>
          </w:p>
        </w:tc>
        <w:tc>
          <w:tcPr>
            <w:tcW w:w="787" w:type="dxa"/>
            <w:shd w:val="clear" w:color="auto" w:fill="auto"/>
            <w:vAlign w:val="center"/>
          </w:tcPr>
          <w:p>
            <w:pPr>
              <w:spacing w:line="300" w:lineRule="exact"/>
              <w:jc w:val="right"/>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300" w:lineRule="exact"/>
              <w:jc w:val="center"/>
              <w:rPr>
                <w:rFonts w:hint="eastAsia" w:ascii="仿宋_GB2312" w:eastAsia="仿宋_GB2312" w:cs="Times New Roman"/>
                <w:b/>
                <w:sz w:val="28"/>
                <w:szCs w:val="28"/>
              </w:rPr>
            </w:pPr>
          </w:p>
        </w:tc>
        <w:tc>
          <w:tcPr>
            <w:tcW w:w="1013" w:type="dxa"/>
            <w:shd w:val="clear" w:color="auto" w:fill="auto"/>
            <w:vAlign w:val="center"/>
          </w:tcPr>
          <w:p>
            <w:pPr>
              <w:spacing w:line="300" w:lineRule="exact"/>
              <w:jc w:val="right"/>
              <w:rPr>
                <w:rFonts w:hint="eastAsia" w:ascii="仿宋_GB2312" w:eastAsia="仿宋_GB2312" w:cs="Times New Roman"/>
                <w:b/>
                <w:sz w:val="28"/>
                <w:szCs w:val="28"/>
              </w:rPr>
            </w:pPr>
          </w:p>
        </w:tc>
        <w:tc>
          <w:tcPr>
            <w:tcW w:w="834" w:type="dxa"/>
            <w:shd w:val="clear" w:color="auto" w:fill="auto"/>
            <w:vAlign w:val="center"/>
          </w:tcPr>
          <w:p>
            <w:pPr>
              <w:spacing w:line="300" w:lineRule="exact"/>
              <w:jc w:val="left"/>
              <w:rPr>
                <w:rFonts w:hint="eastAsia" w:ascii="仿宋_GB2312" w:eastAsia="仿宋_GB2312" w:cs="Times New Roman"/>
                <w:b/>
                <w:sz w:val="28"/>
                <w:szCs w:val="28"/>
              </w:rPr>
            </w:pPr>
          </w:p>
        </w:tc>
        <w:tc>
          <w:tcPr>
            <w:tcW w:w="1327" w:type="dxa"/>
            <w:shd w:val="clear" w:color="auto" w:fill="auto"/>
            <w:vAlign w:val="center"/>
          </w:tcPr>
          <w:p>
            <w:pPr>
              <w:spacing w:line="300" w:lineRule="exact"/>
              <w:jc w:val="left"/>
              <w:rPr>
                <w:rFonts w:hint="eastAsia" w:ascii="仿宋_GB2312" w:eastAsia="仿宋_GB2312" w:cs="Times New Roman"/>
                <w:b/>
                <w:sz w:val="28"/>
                <w:szCs w:val="28"/>
              </w:rPr>
            </w:pPr>
          </w:p>
        </w:tc>
        <w:tc>
          <w:tcPr>
            <w:tcW w:w="834" w:type="dxa"/>
            <w:shd w:val="clear" w:color="auto" w:fill="auto"/>
            <w:vAlign w:val="center"/>
          </w:tcPr>
          <w:p>
            <w:pPr>
              <w:spacing w:line="300" w:lineRule="exact"/>
              <w:jc w:val="left"/>
              <w:rPr>
                <w:rFonts w:hint="eastAsia" w:ascii="仿宋_GB2312" w:eastAsia="仿宋_GB2312" w:cs="Times New Roman"/>
                <w:b/>
                <w:sz w:val="28"/>
                <w:szCs w:val="28"/>
              </w:rPr>
            </w:pPr>
          </w:p>
        </w:tc>
        <w:tc>
          <w:tcPr>
            <w:tcW w:w="834" w:type="dxa"/>
            <w:shd w:val="clear" w:color="auto" w:fill="auto"/>
            <w:vAlign w:val="center"/>
          </w:tcPr>
          <w:p>
            <w:pPr>
              <w:spacing w:line="300" w:lineRule="exact"/>
              <w:jc w:val="right"/>
              <w:rPr>
                <w:rFonts w:hint="eastAsia" w:ascii="仿宋_GB2312" w:eastAsia="仿宋_GB2312" w:cs="Times New Roman"/>
                <w:b/>
                <w:sz w:val="28"/>
                <w:szCs w:val="28"/>
              </w:rPr>
            </w:pPr>
          </w:p>
        </w:tc>
        <w:tc>
          <w:tcPr>
            <w:tcW w:w="856"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853" w:type="dxa"/>
            <w:shd w:val="clear" w:color="auto" w:fill="auto"/>
            <w:vAlign w:val="center"/>
          </w:tcPr>
          <w:p>
            <w:pPr>
              <w:spacing w:line="300" w:lineRule="exact"/>
              <w:jc w:val="right"/>
              <w:rPr>
                <w:rFonts w:hint="eastAsia" w:ascii="仿宋_GB2312" w:eastAsia="仿宋_GB2312" w:cs="Times New Roman"/>
                <w:b/>
                <w:sz w:val="28"/>
                <w:szCs w:val="28"/>
              </w:rPr>
            </w:pPr>
          </w:p>
        </w:tc>
        <w:tc>
          <w:tcPr>
            <w:tcW w:w="776" w:type="dxa"/>
            <w:shd w:val="clear" w:color="auto" w:fill="auto"/>
            <w:vAlign w:val="center"/>
          </w:tcPr>
          <w:p>
            <w:pPr>
              <w:spacing w:line="300" w:lineRule="exact"/>
              <w:jc w:val="right"/>
              <w:rPr>
                <w:rFonts w:hint="eastAsia" w:ascii="仿宋_GB2312" w:eastAsia="仿宋_GB2312" w:cs="Times New Roman"/>
                <w:b/>
                <w:sz w:val="28"/>
                <w:szCs w:val="28"/>
              </w:rPr>
            </w:pPr>
          </w:p>
        </w:tc>
        <w:tc>
          <w:tcPr>
            <w:tcW w:w="837" w:type="dxa"/>
            <w:shd w:val="clear" w:color="auto" w:fill="auto"/>
            <w:vAlign w:val="center"/>
          </w:tcPr>
          <w:p>
            <w:pPr>
              <w:spacing w:line="300" w:lineRule="exact"/>
              <w:jc w:val="right"/>
              <w:rPr>
                <w:rFonts w:hint="eastAsia" w:ascii="仿宋_GB2312" w:eastAsia="仿宋_GB2312" w:cs="Times New Roman"/>
                <w:b/>
                <w:sz w:val="28"/>
                <w:szCs w:val="28"/>
              </w:rPr>
            </w:pPr>
          </w:p>
        </w:tc>
        <w:tc>
          <w:tcPr>
            <w:tcW w:w="837" w:type="dxa"/>
            <w:shd w:val="clear" w:color="auto" w:fill="auto"/>
            <w:vAlign w:val="center"/>
          </w:tcPr>
          <w:p>
            <w:pPr>
              <w:spacing w:line="300" w:lineRule="exact"/>
              <w:jc w:val="right"/>
              <w:rPr>
                <w:rFonts w:hint="eastAsia" w:ascii="仿宋_GB2312" w:eastAsia="仿宋_GB2312" w:cs="Times New Roman"/>
                <w:b/>
                <w:sz w:val="28"/>
                <w:szCs w:val="28"/>
              </w:rPr>
            </w:pPr>
          </w:p>
        </w:tc>
        <w:tc>
          <w:tcPr>
            <w:tcW w:w="787" w:type="dxa"/>
            <w:shd w:val="clear" w:color="auto" w:fill="auto"/>
            <w:vAlign w:val="center"/>
          </w:tcPr>
          <w:p>
            <w:pPr>
              <w:spacing w:line="300" w:lineRule="exact"/>
              <w:jc w:val="right"/>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300" w:lineRule="exact"/>
              <w:jc w:val="left"/>
              <w:rPr>
                <w:rFonts w:hint="eastAsia" w:ascii="仿宋_GB2312" w:eastAsia="仿宋_GB2312" w:cs="Times New Roman"/>
                <w:sz w:val="28"/>
                <w:szCs w:val="28"/>
              </w:rPr>
            </w:pPr>
          </w:p>
        </w:tc>
        <w:tc>
          <w:tcPr>
            <w:tcW w:w="1013" w:type="dxa"/>
            <w:shd w:val="clear" w:color="auto" w:fill="auto"/>
            <w:vAlign w:val="center"/>
          </w:tcPr>
          <w:p>
            <w:pPr>
              <w:spacing w:line="300" w:lineRule="exact"/>
              <w:jc w:val="right"/>
              <w:rPr>
                <w:rFonts w:hint="eastAsia" w:ascii="仿宋_GB2312" w:eastAsia="仿宋_GB2312" w:cs="Times New Roman"/>
                <w:sz w:val="28"/>
                <w:szCs w:val="28"/>
              </w:rPr>
            </w:pPr>
          </w:p>
        </w:tc>
        <w:tc>
          <w:tcPr>
            <w:tcW w:w="834" w:type="dxa"/>
            <w:shd w:val="clear" w:color="auto" w:fill="auto"/>
            <w:vAlign w:val="center"/>
          </w:tcPr>
          <w:p>
            <w:pPr>
              <w:spacing w:line="300" w:lineRule="exact"/>
              <w:jc w:val="left"/>
              <w:rPr>
                <w:rFonts w:hint="eastAsia" w:ascii="仿宋_GB2312" w:eastAsia="仿宋_GB2312" w:cs="Times New Roman"/>
                <w:sz w:val="28"/>
                <w:szCs w:val="28"/>
              </w:rPr>
            </w:pPr>
          </w:p>
        </w:tc>
        <w:tc>
          <w:tcPr>
            <w:tcW w:w="1327" w:type="dxa"/>
            <w:shd w:val="clear" w:color="auto" w:fill="auto"/>
            <w:vAlign w:val="center"/>
          </w:tcPr>
          <w:p>
            <w:pPr>
              <w:spacing w:line="300" w:lineRule="exact"/>
              <w:jc w:val="left"/>
              <w:rPr>
                <w:rFonts w:hint="eastAsia" w:ascii="仿宋_GB2312" w:eastAsia="仿宋_GB2312" w:cs="Times New Roman"/>
                <w:sz w:val="28"/>
                <w:szCs w:val="28"/>
              </w:rPr>
            </w:pPr>
          </w:p>
        </w:tc>
        <w:tc>
          <w:tcPr>
            <w:tcW w:w="834" w:type="dxa"/>
            <w:shd w:val="clear" w:color="auto" w:fill="auto"/>
            <w:vAlign w:val="center"/>
          </w:tcPr>
          <w:p>
            <w:pPr>
              <w:spacing w:line="300" w:lineRule="exact"/>
              <w:jc w:val="left"/>
              <w:rPr>
                <w:rFonts w:hint="eastAsia" w:ascii="仿宋_GB2312" w:eastAsia="仿宋_GB2312" w:cs="Times New Roman"/>
                <w:sz w:val="28"/>
                <w:szCs w:val="28"/>
              </w:rPr>
            </w:pPr>
          </w:p>
        </w:tc>
        <w:tc>
          <w:tcPr>
            <w:tcW w:w="834" w:type="dxa"/>
            <w:shd w:val="clear" w:color="auto" w:fill="auto"/>
            <w:vAlign w:val="center"/>
          </w:tcPr>
          <w:p>
            <w:pPr>
              <w:spacing w:line="300" w:lineRule="exact"/>
              <w:jc w:val="right"/>
              <w:rPr>
                <w:rFonts w:hint="eastAsia" w:ascii="仿宋_GB2312" w:eastAsia="仿宋_GB2312" w:cs="Times New Roman"/>
                <w:sz w:val="28"/>
                <w:szCs w:val="28"/>
              </w:rPr>
            </w:pPr>
          </w:p>
        </w:tc>
        <w:tc>
          <w:tcPr>
            <w:tcW w:w="856"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776" w:type="dxa"/>
            <w:shd w:val="clear" w:color="auto" w:fill="auto"/>
            <w:vAlign w:val="center"/>
          </w:tcPr>
          <w:p>
            <w:pPr>
              <w:spacing w:line="300" w:lineRule="exact"/>
              <w:jc w:val="right"/>
              <w:rPr>
                <w:rFonts w:hint="eastAsia" w:ascii="仿宋_GB2312" w:eastAsia="仿宋_GB2312" w:cs="Times New Roman"/>
                <w:sz w:val="28"/>
                <w:szCs w:val="28"/>
              </w:rPr>
            </w:pPr>
          </w:p>
        </w:tc>
        <w:tc>
          <w:tcPr>
            <w:tcW w:w="837" w:type="dxa"/>
            <w:shd w:val="clear" w:color="auto" w:fill="auto"/>
            <w:vAlign w:val="center"/>
          </w:tcPr>
          <w:p>
            <w:pPr>
              <w:spacing w:line="300" w:lineRule="exact"/>
              <w:jc w:val="right"/>
              <w:rPr>
                <w:rFonts w:hint="eastAsia" w:ascii="仿宋_GB2312" w:eastAsia="仿宋_GB2312" w:cs="Times New Roman"/>
                <w:sz w:val="28"/>
                <w:szCs w:val="28"/>
              </w:rPr>
            </w:pPr>
          </w:p>
        </w:tc>
        <w:tc>
          <w:tcPr>
            <w:tcW w:w="837" w:type="dxa"/>
            <w:shd w:val="clear" w:color="auto" w:fill="auto"/>
            <w:vAlign w:val="center"/>
          </w:tcPr>
          <w:p>
            <w:pPr>
              <w:spacing w:line="300" w:lineRule="exact"/>
              <w:jc w:val="right"/>
              <w:rPr>
                <w:rFonts w:hint="eastAsia" w:ascii="仿宋_GB2312" w:eastAsia="仿宋_GB2312" w:cs="Times New Roman"/>
                <w:sz w:val="28"/>
                <w:szCs w:val="28"/>
              </w:rPr>
            </w:pPr>
          </w:p>
        </w:tc>
        <w:tc>
          <w:tcPr>
            <w:tcW w:w="787" w:type="dxa"/>
            <w:shd w:val="clear" w:color="auto" w:fill="auto"/>
            <w:vAlign w:val="center"/>
          </w:tcPr>
          <w:p>
            <w:pPr>
              <w:spacing w:line="300" w:lineRule="exact"/>
              <w:jc w:val="right"/>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300" w:lineRule="exact"/>
              <w:jc w:val="left"/>
              <w:rPr>
                <w:rFonts w:hint="eastAsia" w:ascii="仿宋_GB2312" w:eastAsia="仿宋_GB2312" w:cs="Times New Roman"/>
                <w:sz w:val="28"/>
                <w:szCs w:val="28"/>
              </w:rPr>
            </w:pPr>
          </w:p>
        </w:tc>
        <w:tc>
          <w:tcPr>
            <w:tcW w:w="1013" w:type="dxa"/>
            <w:shd w:val="clear" w:color="auto" w:fill="auto"/>
            <w:vAlign w:val="center"/>
          </w:tcPr>
          <w:p>
            <w:pPr>
              <w:spacing w:line="300" w:lineRule="exact"/>
              <w:jc w:val="right"/>
              <w:rPr>
                <w:rFonts w:hint="eastAsia" w:ascii="仿宋_GB2312" w:eastAsia="仿宋_GB2312" w:cs="Times New Roman"/>
                <w:sz w:val="28"/>
                <w:szCs w:val="28"/>
              </w:rPr>
            </w:pPr>
          </w:p>
        </w:tc>
        <w:tc>
          <w:tcPr>
            <w:tcW w:w="834" w:type="dxa"/>
            <w:shd w:val="clear" w:color="auto" w:fill="auto"/>
            <w:vAlign w:val="center"/>
          </w:tcPr>
          <w:p>
            <w:pPr>
              <w:spacing w:line="300" w:lineRule="exact"/>
              <w:jc w:val="left"/>
              <w:rPr>
                <w:rFonts w:hint="eastAsia" w:ascii="仿宋_GB2312" w:eastAsia="仿宋_GB2312" w:cs="Times New Roman"/>
                <w:sz w:val="28"/>
                <w:szCs w:val="28"/>
              </w:rPr>
            </w:pPr>
          </w:p>
        </w:tc>
        <w:tc>
          <w:tcPr>
            <w:tcW w:w="1327" w:type="dxa"/>
            <w:shd w:val="clear" w:color="auto" w:fill="auto"/>
            <w:vAlign w:val="center"/>
          </w:tcPr>
          <w:p>
            <w:pPr>
              <w:spacing w:line="300" w:lineRule="exact"/>
              <w:jc w:val="left"/>
              <w:rPr>
                <w:rFonts w:hint="eastAsia" w:ascii="仿宋_GB2312" w:eastAsia="仿宋_GB2312" w:cs="Times New Roman"/>
                <w:sz w:val="28"/>
                <w:szCs w:val="28"/>
              </w:rPr>
            </w:pPr>
          </w:p>
        </w:tc>
        <w:tc>
          <w:tcPr>
            <w:tcW w:w="834" w:type="dxa"/>
            <w:shd w:val="clear" w:color="auto" w:fill="auto"/>
            <w:vAlign w:val="center"/>
          </w:tcPr>
          <w:p>
            <w:pPr>
              <w:spacing w:line="300" w:lineRule="exact"/>
              <w:jc w:val="left"/>
              <w:rPr>
                <w:rFonts w:hint="eastAsia" w:ascii="仿宋_GB2312" w:eastAsia="仿宋_GB2312" w:cs="Times New Roman"/>
                <w:sz w:val="28"/>
                <w:szCs w:val="28"/>
              </w:rPr>
            </w:pPr>
          </w:p>
        </w:tc>
        <w:tc>
          <w:tcPr>
            <w:tcW w:w="834" w:type="dxa"/>
            <w:shd w:val="clear" w:color="auto" w:fill="auto"/>
            <w:vAlign w:val="center"/>
          </w:tcPr>
          <w:p>
            <w:pPr>
              <w:spacing w:line="300" w:lineRule="exact"/>
              <w:jc w:val="right"/>
              <w:rPr>
                <w:rFonts w:hint="eastAsia" w:ascii="仿宋_GB2312" w:eastAsia="仿宋_GB2312" w:cs="Times New Roman"/>
                <w:sz w:val="28"/>
                <w:szCs w:val="28"/>
              </w:rPr>
            </w:pPr>
          </w:p>
        </w:tc>
        <w:tc>
          <w:tcPr>
            <w:tcW w:w="856"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853" w:type="dxa"/>
            <w:shd w:val="clear" w:color="auto" w:fill="auto"/>
            <w:vAlign w:val="center"/>
          </w:tcPr>
          <w:p>
            <w:pPr>
              <w:spacing w:line="300" w:lineRule="exact"/>
              <w:jc w:val="right"/>
              <w:rPr>
                <w:rFonts w:hint="eastAsia" w:ascii="仿宋_GB2312" w:eastAsia="仿宋_GB2312" w:cs="Times New Roman"/>
                <w:sz w:val="28"/>
                <w:szCs w:val="28"/>
              </w:rPr>
            </w:pPr>
          </w:p>
        </w:tc>
        <w:tc>
          <w:tcPr>
            <w:tcW w:w="776" w:type="dxa"/>
            <w:shd w:val="clear" w:color="auto" w:fill="auto"/>
            <w:vAlign w:val="center"/>
          </w:tcPr>
          <w:p>
            <w:pPr>
              <w:spacing w:line="300" w:lineRule="exact"/>
              <w:jc w:val="right"/>
              <w:rPr>
                <w:rFonts w:hint="eastAsia" w:ascii="仿宋_GB2312" w:eastAsia="仿宋_GB2312" w:cs="Times New Roman"/>
                <w:sz w:val="28"/>
                <w:szCs w:val="28"/>
              </w:rPr>
            </w:pPr>
          </w:p>
        </w:tc>
        <w:tc>
          <w:tcPr>
            <w:tcW w:w="837" w:type="dxa"/>
            <w:shd w:val="clear" w:color="auto" w:fill="auto"/>
            <w:vAlign w:val="center"/>
          </w:tcPr>
          <w:p>
            <w:pPr>
              <w:spacing w:line="300" w:lineRule="exact"/>
              <w:jc w:val="right"/>
              <w:rPr>
                <w:rFonts w:hint="eastAsia" w:ascii="仿宋_GB2312" w:eastAsia="仿宋_GB2312" w:cs="Times New Roman"/>
                <w:sz w:val="28"/>
                <w:szCs w:val="28"/>
              </w:rPr>
            </w:pPr>
          </w:p>
        </w:tc>
        <w:tc>
          <w:tcPr>
            <w:tcW w:w="837" w:type="dxa"/>
            <w:shd w:val="clear" w:color="auto" w:fill="auto"/>
            <w:vAlign w:val="center"/>
          </w:tcPr>
          <w:p>
            <w:pPr>
              <w:spacing w:line="300" w:lineRule="exact"/>
              <w:jc w:val="right"/>
              <w:rPr>
                <w:rFonts w:hint="eastAsia" w:ascii="仿宋_GB2312" w:eastAsia="仿宋_GB2312" w:cs="Times New Roman"/>
                <w:sz w:val="28"/>
                <w:szCs w:val="28"/>
              </w:rPr>
            </w:pPr>
          </w:p>
        </w:tc>
        <w:tc>
          <w:tcPr>
            <w:tcW w:w="787" w:type="dxa"/>
            <w:shd w:val="clear" w:color="auto" w:fill="auto"/>
            <w:vAlign w:val="center"/>
          </w:tcPr>
          <w:p>
            <w:pPr>
              <w:spacing w:line="300" w:lineRule="exact"/>
              <w:jc w:val="right"/>
              <w:rPr>
                <w:rFonts w:hint="eastAsia"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ascii="黑体" w:eastAsia="黑体" w:cs="宋体"/>
          <w:b/>
          <w:bCs/>
          <w:color w:val="000000"/>
          <w:kern w:val="0"/>
          <w:sz w:val="32"/>
          <w:szCs w:val="32"/>
        </w:rPr>
      </w:pPr>
    </w:p>
    <w:p>
      <w:pPr>
        <w:widowControl/>
        <w:spacing w:line="360" w:lineRule="atLeast"/>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Times New Roman" w:hAnsi="Times New Roman" w:eastAsia="仿宋_GB2312" w:cs="Times New Roman"/>
          <w:sz w:val="32"/>
          <w:szCs w:val="32"/>
          <w:lang w:eastAsia="zh-CN"/>
        </w:rPr>
        <w:t>中国人民政治协商会议廊坊市广阳区委员会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上年末固定资产金额为173.34万元，我部门本年度无拟购置固定资产，详见下表。</w:t>
      </w:r>
    </w:p>
    <w:tbl>
      <w:tblPr>
        <w:tblStyle w:val="4"/>
        <w:tblW w:w="10640" w:type="dxa"/>
        <w:tblCellSpacing w:w="0" w:type="dxa"/>
        <w:tblInd w:w="13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80"/>
        <w:gridCol w:w="2780"/>
        <w:gridCol w:w="3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0640" w:type="dxa"/>
            <w:gridSpan w:val="3"/>
            <w:vAlign w:val="center"/>
          </w:tcPr>
          <w:p>
            <w:pPr>
              <w:widowControl/>
              <w:jc w:val="center"/>
              <w:rPr>
                <w:rFonts w:hint="eastAsia"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860" w:type="dxa"/>
            <w:gridSpan w:val="2"/>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131</w:t>
            </w:r>
            <w:r>
              <w:rPr>
                <w:rFonts w:hint="eastAsia" w:ascii="仿宋_GB2312" w:eastAsia="仿宋_GB2312" w:cs="宋体"/>
                <w:b/>
                <w:bCs/>
                <w:kern w:val="0"/>
                <w:sz w:val="28"/>
                <w:szCs w:val="28"/>
              </w:rPr>
              <w:t>中国人民政治协商会议廊坊市广阳区委员会</w:t>
            </w:r>
          </w:p>
        </w:tc>
        <w:tc>
          <w:tcPr>
            <w:tcW w:w="3780" w:type="dxa"/>
            <w:vAlign w:val="center"/>
          </w:tcPr>
          <w:p>
            <w:pPr>
              <w:widowControl/>
              <w:jc w:val="left"/>
              <w:rPr>
                <w:rFonts w:ascii="宋体" w:hAnsi="宋体" w:eastAsia="仿宋_GB2312" w:cs="宋体"/>
                <w:kern w:val="0"/>
                <w:sz w:val="28"/>
                <w:szCs w:val="28"/>
              </w:rPr>
            </w:pPr>
            <w:r>
              <w:rPr>
                <w:rFonts w:hint="eastAsia" w:ascii="仿宋_GB2312" w:eastAsia="仿宋_GB2312" w:cs="宋体"/>
                <w:kern w:val="0"/>
                <w:sz w:val="28"/>
                <w:szCs w:val="28"/>
              </w:rPr>
              <w:t>截止时间：201</w:t>
            </w:r>
            <w:r>
              <w:rPr>
                <w:rFonts w:ascii="仿宋_GB2312" w:eastAsia="仿宋_GB2312" w:cs="宋体"/>
                <w:kern w:val="0"/>
                <w:sz w:val="28"/>
                <w:szCs w:val="28"/>
              </w:rPr>
              <w:t>7</w:t>
            </w:r>
            <w:r>
              <w:rPr>
                <w:rFonts w:hint="eastAsia" w:ascii="仿宋_GB2312" w:eastAsia="仿宋_GB2312" w:cs="宋体"/>
                <w:kern w:val="0"/>
                <w:sz w:val="28"/>
                <w:szCs w:val="28"/>
              </w:rPr>
              <w:t>年12月31日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数量</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资产总额</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173.34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1、房屋（平方米）</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2、车辆（台、辆）</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4</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77.26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4、其他固定资产</w:t>
            </w:r>
          </w:p>
        </w:tc>
        <w:tc>
          <w:tcPr>
            <w:tcW w:w="2780"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仿宋_GB2312" w:cs="宋体"/>
                <w:kern w:val="0"/>
                <w:sz w:val="28"/>
                <w:szCs w:val="28"/>
              </w:rPr>
            </w:pPr>
            <w:r>
              <w:rPr>
                <w:rFonts w:ascii="宋体" w:hAnsi="宋体" w:eastAsia="仿宋_GB2312" w:cs="宋体"/>
                <w:kern w:val="0"/>
                <w:sz w:val="28"/>
                <w:szCs w:val="28"/>
              </w:rPr>
              <w:t> </w:t>
            </w:r>
          </w:p>
        </w:tc>
        <w:tc>
          <w:tcPr>
            <w:tcW w:w="3780"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eastAsia="仿宋_GB2312" w:cs="宋体"/>
                <w:kern w:val="0"/>
                <w:sz w:val="28"/>
                <w:szCs w:val="28"/>
              </w:rPr>
            </w:pPr>
            <w:r>
              <w:rPr>
                <w:rFonts w:hint="eastAsia" w:ascii="仿宋_GB2312" w:eastAsia="仿宋_GB2312" w:cs="宋体"/>
                <w:kern w:val="0"/>
                <w:sz w:val="28"/>
                <w:szCs w:val="28"/>
              </w:rPr>
              <w:t>93.08</w:t>
            </w:r>
          </w:p>
        </w:tc>
      </w:tr>
    </w:tbl>
    <w:p>
      <w:pPr>
        <w:pStyle w:val="8"/>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b/>
          <w:bCs/>
          <w:sz w:val="32"/>
          <w:szCs w:val="32"/>
        </w:rPr>
        <w:t xml:space="preserve"> </w:t>
      </w:r>
      <w:r>
        <w:rPr>
          <w:b/>
          <w:bCs/>
          <w:sz w:val="32"/>
          <w:szCs w:val="32"/>
        </w:rPr>
        <w:t xml:space="preserve">   </w:t>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8"/>
        <w:spacing w:line="570" w:lineRule="exact"/>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8"/>
        <w:spacing w:line="570" w:lineRule="exact"/>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8"/>
        <w:spacing w:line="570" w:lineRule="exact"/>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hint="eastAsia"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8"/>
        <w:spacing w:line="570" w:lineRule="exact"/>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8"/>
        <w:spacing w:line="570" w:lineRule="exact"/>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hint="eastAsia"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p>
    <w:p>
      <w:pPr>
        <w:widowControl/>
        <w:spacing w:line="360" w:lineRule="atLeast"/>
        <w:jc w:val="left"/>
        <w:rPr>
          <w:rFonts w:hint="eastAsia" w:ascii="仿宋_GB2312" w:eastAsia="仿宋_GB2312" w:cs="宋体"/>
          <w:color w:val="000000"/>
          <w:kern w:val="0"/>
          <w:sz w:val="32"/>
          <w:szCs w:val="32"/>
        </w:rPr>
      </w:pPr>
      <w:r>
        <w:rPr>
          <w:rFonts w:hint="eastAsia" w:ascii="宋体" w:hAnsi="宋体" w:eastAsia="仿宋_GB2312" w:cs="宋体"/>
          <w:color w:val="000000"/>
          <w:kern w:val="0"/>
          <w:sz w:val="32"/>
          <w:szCs w:val="32"/>
        </w:rPr>
        <w:t xml:space="preserve">  </w:t>
      </w:r>
      <w:r>
        <w:rPr>
          <w:rFonts w:hint="eastAsia" w:ascii="宋体" w:hAnsi="宋体" w:eastAsia="仿宋_GB2312" w:cs="宋体"/>
          <w:color w:val="000000"/>
          <w:kern w:val="0"/>
          <w:sz w:val="32"/>
          <w:szCs w:val="32"/>
          <w:lang w:val="en-US" w:eastAsia="zh-CN"/>
        </w:rPr>
        <w:t xml:space="preserve"> </w:t>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p>
    <w:p>
      <w:pPr>
        <w:rPr>
          <w:rFonts w:hint="eastAsia"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0E11F5F"/>
    <w:rsid w:val="3298191C"/>
    <w:rsid w:val="3AD14BD3"/>
    <w:rsid w:val="54534989"/>
    <w:rsid w:val="6DD6553C"/>
    <w:rsid w:val="78ED7E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apple-converted-space"/>
    <w:basedOn w:val="5"/>
    <w:qFormat/>
    <w:uiPriority w:val="0"/>
  </w:style>
  <w:style w:type="paragraph" w:customStyle="1" w:styleId="8">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23</Pages>
  <Words>6822</Words>
  <Characters>7378</Characters>
  <Lines>940</Lines>
  <Paragraphs>289</Paragraphs>
  <TotalTime>12</TotalTime>
  <ScaleCrop>false</ScaleCrop>
  <LinksUpToDate>false</LinksUpToDate>
  <CharactersWithSpaces>7656</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2017-10-27T09:18:00Z</dcterms:created>
  <dc:creator>lenovo</dc:creator>
  <cp:lastModifiedBy>XCK</cp:lastModifiedBy>
  <dcterms:modified xsi:type="dcterms:W3CDTF">2023-06-02T03:13:04Z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5B4BBFD084F34CBCB2E9B0D813D39EE3</vt:lpwstr>
  </property>
</Properties>
</file>