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 w:name="_GoBack"/>
      <w:bookmarkEnd w:id="2"/>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eastAsia="zh-CN"/>
        </w:rPr>
        <w:t>银河北路街道办事处</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960" w:firstLineChars="3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银河北路</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根据《廊坊市广阳区银河北路街道办事处职能配置、内设机构和人员编制规定》， 廊坊市广阳区银河北路街道办事处的主要职责是：</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lang w:eastAsia="zh-CN"/>
        </w:rPr>
        <w:t>一、</w:t>
      </w:r>
      <w:r>
        <w:rPr>
          <w:rFonts w:hint="eastAsia" w:ascii="楷体" w:hAnsi="楷体" w:eastAsia="楷体" w:cs="楷体"/>
          <w:b/>
          <w:bCs/>
          <w:sz w:val="32"/>
          <w:szCs w:val="32"/>
        </w:rPr>
        <w:t>党政综合办公室：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1.负责监督检查和指导所属单位和行政村的档案工作。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2.做好信访工作，畅通信访渠道、处理来信、接待来访。</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3.负责辖区内的统计工作。履行统计职责，广泛引导、动员和组织社会力量积极参与并认真配合做好国家规定的周期性普查工作。</w:t>
      </w:r>
    </w:p>
    <w:p>
      <w:pPr>
        <w:spacing w:line="584" w:lineRule="exact"/>
        <w:ind w:firstLine="640" w:firstLineChars="200"/>
        <w:rPr>
          <w:rFonts w:hint="eastAsia" w:ascii="楷体" w:hAnsi="楷体" w:eastAsia="楷体" w:cs="楷体"/>
          <w:b/>
          <w:bCs/>
          <w:sz w:val="32"/>
          <w:szCs w:val="32"/>
        </w:rPr>
      </w:pPr>
      <w:r>
        <w:rPr>
          <w:rFonts w:ascii="Times New Roman" w:hAnsi="Times New Roman" w:eastAsia="仿宋_GB2312" w:cs="Times New Roman"/>
          <w:sz w:val="32"/>
          <w:szCs w:val="32"/>
        </w:rPr>
        <w:t xml:space="preserve"> </w:t>
      </w:r>
      <w:r>
        <w:rPr>
          <w:rFonts w:hint="eastAsia" w:ascii="楷体" w:hAnsi="楷体" w:eastAsia="楷体" w:cs="楷体"/>
          <w:b/>
          <w:bCs/>
          <w:sz w:val="32"/>
          <w:szCs w:val="32"/>
        </w:rPr>
        <w:t>二、党建工作办公室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1.宣传执行党的路线、方针、政策，宣传和执行党中央、上级党组织和本级党组织的决议，团结、组织党内外的干部和群众，努力完成本单位所担负的任务。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维护和执行党的纪律，监督党员干部和其他任何工作人员严格遵守国家法律法规。</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负责乡镇和街道党（工）委自身建设和基层党组织建设，以及其他隶属乡镇和街道党（工）委的党组织建设。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负责下级党的基层组织选举工作、对下级党组织的成立或撤销作出决定。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负责非公有制企业和社会组织党建工作、扩大新兴领域党建有效覆盖</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加强党员队伍建设，对党员进行教育、管理、监督和服务，做好经常性的发展党员工作。加强流动党员管理。</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做好人才服务工作，发现、培养、推荐党员和群众中的优秀人才。</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落实意识形态工作责任制，组织党员群众学习习近平新时代中国特色社会主义思想，培育和践行社会主义核心价值观，加强精神文明建设和文化建设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 落实统一战线工作任务要求，做好民族事务工作。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 领导辖区内人大工作，以及工会、共青团、妇联等工作。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 根据委托授权负责本辖区内的宗教事务管理工作。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 依照法定权限，做好本辖区的征兵、民兵、预备役、国防教育、国民经济动员、人民防空、国防交通、国防设施保护等工作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 负责联系街道辖区内的人民代表大会代表，组织代表开展活动，反映代表和群众的建议、批评和意见，办理常务委员会交办的监督、选举以及其他工作，并向常务委员会报告工作。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三、应急管理办公室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负责辖区内的食品安全隐患排查、信息报告、协助执法和宣传教育等工作、做好本行政区域内小作坊、小餐饮、小摊点的监督管理工作。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加强本辖区生产经营单位安全生产状况的监督检查、协助上级有关部门依法履行安全生产监督管理职责。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负责本辖区的消防工作、开展消防宣传、防火巡查、隐患查改。指导村（居）民委员会开展群众性的消防工作。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负责辖区防汛抗洪、抗旱等相关工作。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负责辖区防灾减灾等相关工作。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 依法做好本辖区的突发事件应对工作，制定本级突发事件应急预案，组织开展应急演练。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负责辖区应急管理工作，建立健全应急联动机制，严格落实应急管理责任，加强基层综合应急队伍建设和应急保障能力建设。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负责本辖区内自然灾害救助工作，做好自然灾害风险排查、隐患治理、救助准备、信息报告、先期处置、应急救助、灾后救助和救助款物管理等工作。</w:t>
      </w:r>
    </w:p>
    <w:p>
      <w:pPr>
        <w:spacing w:line="584" w:lineRule="exact"/>
        <w:ind w:firstLine="643" w:firstLineChars="200"/>
        <w:rPr>
          <w:rFonts w:ascii="Times New Roman" w:hAnsi="Times New Roman" w:eastAsia="仿宋_GB2312" w:cs="Times New Roman"/>
          <w:sz w:val="32"/>
          <w:szCs w:val="32"/>
        </w:rPr>
      </w:pPr>
      <w:r>
        <w:rPr>
          <w:rFonts w:hint="eastAsia" w:ascii="楷体" w:hAnsi="楷体" w:eastAsia="楷体" w:cs="楷体"/>
          <w:b/>
          <w:bCs/>
          <w:sz w:val="32"/>
          <w:szCs w:val="32"/>
        </w:rPr>
        <w:t>四、自然资源和生态环境办公室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 动员和组织社会力量参与土地调查工作。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 按照职责分工负责辖区市容、村容和环境卫生、农村生活污水管理责任。</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按照职责分工负责本辖区河湖的水资源保护、水域岸线管理、水污染防治、水环境治理等工作，协助上级人民政府及其有关部门做好地下水相关管理和监督工作。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 根据本地区的实际，组织开展大气污染防治工作。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 落实属地监管责任，做好禁止露天焚烧秸秆工作。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6．根据本地区的实际，组织开展扬尘污染防治工作。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 按照职责分工做好“散乱污”企业综合整治工作。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 按照职责分工和相关预案开展突发环境事件应急处置工作，按照有关规定向上级报告。</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五、综合行政执法队</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1.根据法律法规和省政府授权，承担综合行政执法工作。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2.协助有关部门查处传销行为。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3.加大信用信息归集应用力度，落实守信联合激励和失信联合惩戒制度、推进信用分级分类监管。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4.制定本辖区社会治安综合治理规划、检查、推动社会治安综合治理措施的落实，协调和督促有关部门开展法制宣传教育工作、调解各类纠纷。</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5.组织群众开展各种形式的治安防范活动和军民、警民联防活动；指导、帮助村（居）民委员会做好社会治安综合治理工作。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6.组织协调辖区社会治安防控体系建设及普法工作，开展基层平安创建活动及各种形式的治安防范活动。加强群防群治组织建设，动员、组织人民群众维护社会治安和社会秩序，做好防范邪教工作。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7.承担民间纠纷调解相关工作。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8.协调有关部门做好未成年人的保护工作。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9.承担企业劳动争议调解相关工作。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10.组织相关单位开展社区矫正工作和对户籍或居住地在本辖区的刑满释放人员做好接收建档和安置帮教工作，做好重点帮教对象的衔接工作。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11.负责社区戒毒、社区康复工作。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六、行政综合服务中心</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1.负责指导居民委员会的换届选举工作。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2.指导村（居）民委员会建立健全各项自治制度，并予以备案。</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3.按权限负责基层社区社会组织的分类指导和业务指导。</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4.负责加强本辖区健康教育工作及其专业人才培养、建立健康知识和技能核心信息发布制度、普及健康科学知识、向公众提供科学、准确的健康信息。</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5.负责本辖区健康中国建设，健全实施健康中国行动领导推进工作机制，逐项抓好任务落实。</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6.根据法律法规和省政府授权，承担行政审批服务工作。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7.开展就业政策宣传、就业援助等就业服务工作。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8.负责辖区内人口与计划生育工作。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9.组织开展全民健身活动，建立健全全民健身工作协调机制。</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10.负责本辖区爱国卫生日常工作。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11.按权限开展社会救助工作。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12.按权限做好残疾人保障工作。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13.负责组织开展预防精神障碍发生、促进精神障碍患者康复等工作。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14.按照职责分工负责做好辖区城乡居民基本养老保险工作。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七、社区建设和物业监督管理办公室</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1.组织实施居家养老服务工作，建设居家养老服务设施，落实政府购买服务、经费补贴等扶持政策措施、组织、指导社会各界参与居家养老和空巢、留守老年人关爱服务。</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2.负责指导辖区内业主大会的成立和业主委员会的选举工作。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3.按权限负责社区工作者的日常管理工作。</w:t>
      </w:r>
    </w:p>
    <w:p>
      <w:pPr>
        <w:spacing w:line="584" w:lineRule="exact"/>
        <w:ind w:firstLine="643" w:firstLineChars="200"/>
        <w:rPr>
          <w:rFonts w:hint="eastAsia" w:ascii="楷体" w:hAnsi="楷体" w:eastAsia="楷体" w:cs="楷体"/>
          <w:b/>
          <w:bCs/>
          <w:sz w:val="32"/>
          <w:szCs w:val="32"/>
        </w:rPr>
      </w:pPr>
      <w:r>
        <w:rPr>
          <w:rFonts w:hint="eastAsia" w:ascii="楷体" w:hAnsi="楷体" w:eastAsia="楷体" w:cs="楷体"/>
          <w:b/>
          <w:bCs/>
          <w:sz w:val="32"/>
          <w:szCs w:val="32"/>
        </w:rPr>
        <w:t>八、综合文化服务站</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1.组织开展本辖区科普活动，宣传科学、文明的生产和生活方式。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2.负责本辖区综合文化站、新时代文明实践中心（所、站）建设和日常管理、实施免费开放。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九、退役军人服务站</w:t>
      </w:r>
    </w:p>
    <w:p>
      <w:pPr>
        <w:spacing w:line="584" w:lineRule="exact"/>
        <w:ind w:firstLine="640" w:firstLineChars="20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负责拥军优属、退役军人服务等工作</w:t>
      </w:r>
    </w:p>
    <w:p>
      <w:pPr>
        <w:autoSpaceDE w:val="0"/>
        <w:autoSpaceDN w:val="0"/>
        <w:adjustRightInd w:val="0"/>
        <w:spacing w:line="584" w:lineRule="exact"/>
        <w:ind w:firstLine="643" w:firstLineChars="200"/>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p>
            <w:pPr>
              <w:spacing w:line="584" w:lineRule="exact"/>
              <w:jc w:val="center"/>
              <w:rPr>
                <w:rFonts w:ascii="Times New Roman" w:hAnsi="Times New Roman" w:eastAsia="仿宋_GB2312" w:cs="Times New Roman"/>
                <w:b/>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廊坊市广阳区银河北路街道办事处</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eastAsia="zh-CN"/>
              </w:rPr>
            </w:pPr>
            <w:r>
              <w:rPr>
                <w:rFonts w:hint="eastAsia" w:ascii="Times New Roman" w:hAnsi="Times New Roman" w:eastAsia="仿宋_GB2312" w:cs="Times New Roman"/>
                <w:b/>
                <w:lang w:eastAsia="zh-CN"/>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银河北路</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lang w:val="en-US" w:eastAsia="zh-CN"/>
        </w:rPr>
        <w:t>2246.26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2246.26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银河北路街道办事处</w:t>
      </w:r>
      <w:r>
        <w:rPr>
          <w:rFonts w:hint="eastAsia" w:ascii="Times New Roman" w:hAnsi="Times New Roman" w:eastAsia="仿宋_GB2312" w:cs="Times New Roman"/>
          <w:sz w:val="32"/>
          <w:szCs w:val="32"/>
          <w:lang w:val="en-US" w:eastAsia="zh-CN"/>
        </w:rPr>
        <w:t>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lang w:val="en-US" w:eastAsia="zh-CN"/>
        </w:rPr>
        <w:t>2246.26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1712.08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1590.77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121.31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534.18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，包括本级支出，主要为社区人员经费。</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lang w:val="en-US" w:eastAsia="zh-CN"/>
        </w:rPr>
        <w:t>2246.26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lang w:val="en-US" w:eastAsia="zh-CN"/>
        </w:rPr>
        <w:t>431.52</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0.51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431.01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社区招聘人员</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年，我机关运行经费共计安排</w:t>
      </w:r>
      <w:r>
        <w:rPr>
          <w:rFonts w:hint="eastAsia" w:ascii="Times New Roman" w:hAnsi="Times New Roman" w:eastAsia="仿宋_GB2312" w:cs="Times New Roman"/>
          <w:sz w:val="32"/>
          <w:szCs w:val="32"/>
          <w:lang w:val="en-US" w:eastAsia="zh-CN"/>
        </w:rPr>
        <w:t>121.31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银河北路街道办事出</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sz w:val="32"/>
          <w:szCs w:val="32"/>
          <w:lang w:eastAsia="zh-CN"/>
        </w:rPr>
        <w:t>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新时代，新征程。2021年，银河北路街道将抓住新机场兴建的宝贵历史机遇，创新思维方式，汇聚兴街富民力量，实现跨越大发展。力争将银河北路街道建设成为开放、包容、宜居的生态新区。</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一、加快项目建设，促进经济发展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是要加大宣传力度，扩大舆论环境，提高区域知名度。二是对在建楼宇项目要突出重点，落实责任，盯目标、盯进度、盯节点、盯成效，统筹推进项目建设，力争项目早建成、早投入、早见效。逐渐形成以和平路为中轴线，各具特色的商务楼群为核心商圈的发展模式。三是要尽快介入，全面掌握楼宇信息，引导开发商进行楼宇功能定位。确立不同楼宇的业态定位，发展产业集群，使楼宇经济朝产业化、特色化、专业化的方向发展。</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二、推进污染防治，确保质量达标</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坚持防管结合、标本兼治。加大露天焚烧综合整治力度，倡导低碳文明的祭祀风尚力争不着火、不冒烟；巩固重点领域防控。保持对涉VOCs排放企业、“散乱污”企业和餐饮经营场所的高频度、全天候巡查监控态势，确保不出现反弹现象；进一步完善抑尘措施。强化重污染天气应急期间监管，督导各项应急措施落实到位，有效实现“削峰降速”。</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三、提升服务水平，建设幸福街区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方面，全面落实就业创业政策，减少辖区失业人员比例；加大对居民养老、城镇居民医疗保险的宣传力度，增强居民参保意识；认真做好低保、低收入家庭救助工作，解决基层最低生活保障家庭的学生救助；另一方面，坚持问题导向、群众观点、法治思维、末端思维，围绕继续抓好全国文明城市创建，进一步加强数字化、信息化、模块化管理体系建设，持续提升社区服务功能，全面建设幸福和谐街道。</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lang w:eastAsia="zh-CN"/>
        </w:rPr>
        <w:t>（二）</w:t>
      </w:r>
      <w:r>
        <w:rPr>
          <w:rFonts w:hint="eastAsia" w:ascii="楷体_GB2312" w:eastAsia="楷体_GB2312" w:cs="Times New Roman"/>
          <w:b/>
          <w:sz w:val="32"/>
          <w:szCs w:val="32"/>
        </w:rPr>
        <w:t>分项绩效目标</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一、推进项目建设，增强经济发展后劲。</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高质量推进项目引建，结合广阳区“一核两区五带”规划，加快相关产业、设施、人才和政策的谋划和布局，优化营商环境，提升服务效能，年内完成恒大天筑和时代新居一期建设项目，实现入住；启动大官庄城中村改造项目、六小周边区域改造项目、丰盛路旧改扩建项目和苏宁广场二三期建设项目，力争早日建成，发挥效益。</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二、常抓疫情防控</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落实冬季疫情防控工作措施，常态化排查登记中高风险地区返雅人员，做好居家医疗观察和核酸检测。强化商场、酒店、学校、农贸市场、餐馆等重点区域的日常消毒和防控措施落实。</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三、持续打好生态保卫战</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加强网格化日常巡查，守牢生态底线。对重点行业、重点企业进行定期和不定期走访，建立巡查台账，对群众反映的环保问题及时调查处复。</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四、维护社会稳定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持续深化扫黑除恶专项斗争和人民调解，落实安全生产责任制，加强对企业、老旧小区、餐馆等重点区域消防、食品安全督查整治。加强应急救援处置能力建设,提高防灾减灾救灾能力。</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五、提升城市管理水平</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持续开展综合执法，巩固做好文明城市创建工作，重点抓违规占道经营，规范乱停乱放，加大市容环境清理力度，改善背街小巷、卫生死角脏、乱、差等顽固问题。</w:t>
      </w:r>
    </w:p>
    <w:p>
      <w:pPr>
        <w:spacing w:line="584" w:lineRule="exact"/>
        <w:ind w:firstLine="321" w:firstLineChars="100"/>
        <w:rPr>
          <w:rFonts w:hint="eastAsia" w:ascii="楷体_GB2312" w:eastAsia="楷体_GB2312" w:cs="Times New Roman"/>
          <w:b/>
          <w:sz w:val="32"/>
          <w:szCs w:val="32"/>
          <w:lang w:eastAsia="zh-CN"/>
        </w:rPr>
      </w:pPr>
      <w:r>
        <w:rPr>
          <w:rFonts w:hint="eastAsia" w:ascii="楷体_GB2312" w:eastAsia="楷体_GB2312" w:cs="Times New Roman"/>
          <w:b/>
          <w:sz w:val="32"/>
          <w:szCs w:val="32"/>
          <w:lang w:eastAsia="zh-CN"/>
        </w:rPr>
        <w:t>（三）工作保障措施</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2020年，银河北路街道党委、办事处在区委、区政府的正确领导下，深入</w:t>
      </w:r>
      <w:r>
        <w:rPr>
          <w:rFonts w:hint="eastAsia" w:ascii="Times New Roman" w:hAnsi="Times New Roman" w:eastAsia="仿宋_GB2312" w:cs="Times New Roman"/>
          <w:sz w:val="32"/>
          <w:szCs w:val="32"/>
        </w:rPr>
        <w:t>学习贯彻习近平新时代中国特色社会主义思想和党的十九大精神</w:t>
      </w:r>
      <w:r>
        <w:rPr>
          <w:rFonts w:ascii="Times New Roman" w:hAnsi="Times New Roman" w:eastAsia="仿宋_GB2312" w:cs="Times New Roman"/>
          <w:sz w:val="32"/>
          <w:szCs w:val="32"/>
        </w:rPr>
        <w:t>，全面贯彻落实省、市、区委全会精神，围绕区委、区政府中心工作，抓牢抓好经济建设，坚决打赢疫情防控攻坚战，持续做好大气污染防治，着力保障和改善民生，推进文明城市建设，维护社会和谐稳定，各项工作取得较好成效。</w:t>
      </w:r>
    </w:p>
    <w:p>
      <w:pPr>
        <w:spacing w:line="584"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lang w:eastAsia="zh-CN"/>
        </w:rPr>
        <w:t>（一）</w:t>
      </w:r>
      <w:r>
        <w:rPr>
          <w:rFonts w:ascii="Times New Roman" w:hAnsi="Times New Roman" w:eastAsia="仿宋_GB2312" w:cs="Times New Roman"/>
          <w:b/>
          <w:bCs/>
          <w:sz w:val="32"/>
          <w:szCs w:val="32"/>
        </w:rPr>
        <w:t>全面加强党的领导，不断提升党建工作水平</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牢固树立“四个意识”，坚定“四个自信”，做到“两个维护”，坚定不移加强党的全面领导，坚持不懈推进党的政治建设。一是深入开展“双提升”活动。周密部署。全区开展以“五看两争创，为建设活力广阳、实力广阳、魅力广阳作贡献主题大讨论”为载体，提升党员干部践行初心使命、担当作为的政治素质和为民服务的综合本领，提升基层党组织的执行力、战斗力、凝聚力的“双提升”活动会议后，我街道第一时间传达学习贯彻会议精神，迅速启动部署工作，制定工作方案和活动计划。二是切实加强基层党组织队伍建设。党委书记认真履行党建第一责任人职责，定期召开党建工作会，分析解决问题。坚持常态化制度化推进“两学一做”学习教育，认真落实“三会一课”、组织生活会、民主评议党员等制度。街居“两级”书记轮流讲党课，带领党员重温誓词。三是贯彻落实机构改革工作。4月22日，完成了新组建机构的挂牌揭牌工作，同时完成人员调岗和配备。组织相关人员开展审批服务及行政执法事项培训3次，到审批局、市监管局、综合执法局跟班学习共18人次，全部在规定时限内实现独立开展审批服务、行政执法工作。四是精准激活“两新”组织党建活力。街道党委以万达商圈为依托，大力推进非公企业和社会组织党建工作，在阵地建设、人才储备、扩大覆盖、树立典型上持续精准发力，有效激发非公党建工作新活力，为打造党建综合体将党组织建到楼宇商圈打好基地，做足准备。五是扎实推进党风廉政建设。将党风廉政建设工作纳入中心工作，细化分工，明确职责，党委书记与班子成员签订党风廉政责任状，班子成员对分管科室认真履行“一岗双责”职责并签订“一岗双责”责任状，严格落实“两个责任”。上半年召开警示教育大会1次。六是不断增强意识形态凝聚力。通过观看</w:t>
      </w:r>
      <w:r>
        <w:rPr>
          <w:rFonts w:hint="eastAsia" w:ascii="Times New Roman" w:hAnsi="Times New Roman" w:eastAsia="仿宋_GB2312" w:cs="Times New Roman"/>
          <w:sz w:val="32"/>
          <w:szCs w:val="32"/>
          <w:lang w:eastAsia="zh-CN"/>
        </w:rPr>
        <w:t>纪录片</w:t>
      </w:r>
      <w:r>
        <w:rPr>
          <w:rFonts w:ascii="Times New Roman" w:hAnsi="Times New Roman" w:eastAsia="仿宋_GB2312" w:cs="Times New Roman"/>
          <w:sz w:val="32"/>
          <w:szCs w:val="32"/>
        </w:rPr>
        <w:t>、参加宣讲会、召开民主生活会等形式，切实做到系统学、深入学、跟进学，在学懂弄通做实上下功夫。七是奏响党小组、楼门长“四步曲”。在迎春北路社区试行创建特色党小组，从党小组党员年龄结构、文化水平、特长爱好、职业技能、居住情况等实际入手，试点创建“特色党小组”，即：退役军人党小组、法律援助党小组、文明宣传党小组、矛盾调解党小组、群联群防党小组、文艺骨干党小组、书法绘画党小组7个特色党小组。八是深入推进“三创四建”活动。</w:t>
      </w:r>
    </w:p>
    <w:p>
      <w:pPr>
        <w:spacing w:line="584" w:lineRule="exact"/>
        <w:ind w:firstLine="643" w:firstLineChars="200"/>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lang w:eastAsia="zh-CN"/>
        </w:rPr>
        <w:t>（二）</w:t>
      </w:r>
      <w:r>
        <w:rPr>
          <w:rFonts w:ascii="Times New Roman" w:hAnsi="Times New Roman" w:eastAsia="仿宋_GB2312" w:cs="Times New Roman"/>
          <w:b/>
          <w:bCs/>
          <w:sz w:val="32"/>
          <w:szCs w:val="32"/>
        </w:rPr>
        <w:t>凝心聚力抓项目，全力以赴促进经济发展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牢固树立和贯彻新发展理念，切实加强对经济工作的领导，优化营商环境，持续推进项目建设。经济指标稳定增长。今年以来，民营经济累计完成营业收入26.2亿元，税金0.58亿元；限额以上贸易业10户，累计实现零售额5.5亿元。规模以上服务业11个，完成营业收入1.6亿元；限额以上贸易预计完成47913万元，对比任务数超额完成7874万元。项目建设稳步推进。我街道共谋划推进项目11个，总投资39.2亿元，目前共完成投资8.854亿元。其中在建项目3个，计划开工项目4个，“5.18”经洽会签约项目1个，正在推进项目3个。招商引资。号召全街道各级干部千方百计，利用多种渠道找项目，引资金，抢抓机遇，努力营造全方合力招商的发展态势。街道班子对辖区44户企业进行分包责任制，实地走访；充分利用网络平台等方式进行招商，并印制宣传册1000余份，宣传优惠政策。同时，鼓励企业以商招商，吸引关联企业、上下游企业到广阳考察，帮助办事处发布招商信息。“双创双服”深入推进。以“创新、强企、解难、惠民”为主题，深入开展“双创双服”活动，竭诚服务中小企业，盘活金融要素，结合实际，制作宣传册500余份、悬挂条幅20余条，多渠道、全方位进行宣传。城市经济壮大提升。抢抓京津冀协同发展机遇，按照“一核两区五带”规划，统筹推进城市建设。六小片区改造项目已完成调规公示和前期测算工作，方案已报市政府进行审批；大官庄片区改造项目已完成异地匹配土地成本核算、项目前期规划和居民改造意愿征求工作，片区改造实施方案待市政府审批。</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(三)严防死守保平安，坚决打赢疫情防控攻坚</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新型冠状病毒感染的肺炎疫情防控工作启动以来，办事处全面进入抗击疫情的应急状态，上下联动，严防严控，全力做好疫情防控各项工作。建强组织。第一时间成立联防联控工作领导小组、疫情防控指挥部，党委书记、街办处主任任组长，班子成员、各科室负责人为成员。实行全体班子成员下沉社区参与作战，社区干部关于疫情信息直报街道领导小组的“一下一上”制度，确保涉及防疫工作的各类动态、信息第一时间得到反馈和解决。落实责任。街道全员上岗，以社区网格为单位，实行“分区集中管理”方式，以辖区政区图为基准，根据街道路网走向、居民生活习惯等要素，打破原有社区划分，对各小区进行重新整合，科学划分防控管理区域，通过电话、微信、上门等多种方式对辖区家属楼、单位进行逐户排查登记，建立台帐。群防群治。推行居民出行卡制度，给每一名辖区居民制作一张辖区出入卡，有姓名、有身份证号、有出入时间，让居民凭卡出入；实行“健康码”亮身份通行，小区进出人员必须出示国务院“行程码”和河北“健康码”；在邮电小区等到加装了人脸识别系统或电磁门系统，迅速甄别外来人员，简化排查登记流程对。同时，做好隔离人员物资保障工作。辖区家志愿者共建单位主动承担任务，为辖区居民配送生活用品，免费送餐上门，服务家庭4000余户。街道还设立8个消毒点，免费为居民提供消毒液，街道干部带头，为居家隔离人员每天进行消杀，清理生活垃圾。加强宣传。依托道路、小区出入口广设疫情防控宣传站，充分用好公众号、悬挂条幅、张贴字报、LED屏、流动宣传车、小喇叭等宣传方式全方位组织疫情宣传。共张贴温馨提示、疫情宣传等20000余张，悬挂宣传条幅160条，设立流动广播站100余处。</w:t>
      </w:r>
    </w:p>
    <w:p>
      <w:pPr>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（四）巩固提升创建成果，持续推进文明城市创建</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精力，全力以赴抓实文明城市创建攻坚。烘托营造宣传氛围。利用新闻媒体刊播、公共场所、小区墙体、建筑围挡等全方位、常态化发布公益广告，共制作十九大精神、“创城，我们一起”、五看两争创等各类主题公益广告2570块，灯杆旗160对，大型墙体广告116块，商户门头牌匾69个，打造居民休闲小景观4个，墙体彩绘2000余平，幸福生活展示墙160平米，生活随手拍展览220块；印发社区居民公约200份；安排社区广播音箱及小喇叭32个。同时发挥党小组长和楼门长的积极作用，宣传创城、参与创城、服务创城，先后在居民微信群发布创城相关信息200余条，以强有力的宣传攻势营造全民参与创城的积极氛围。从实际出发打造亮点。街道以“一社区一主题”为打造宗旨，打造完成迎春北路社区党建示范街; 西后街、老三角地“忆，廊坊”主题文化; 站前社区火车站周边徽派平房区域；利民里小区和迎春北路6号楼老小区环境改造试点等，有的还成为了抖音网红打卡地。共修建1500米徽派建筑风格沿街商铺，绘画大型墙体画10余幅，硬化路面15640平方米，清除违法建筑78处，彻底清理清除2000余延米铁道沿线垃圾，集中整治了一批创建工作中发现的短板和弱点。下大力提升老旧小区基础设施。街道积极和新奥、心怡两家公司对接，对辖区100个无物业小区进行小广告清理、旧楼粉刷、路面修整、飞线整理、公共设施维护等，共投入资金1000余万，使辖区无物业小区的基础设施焕然一新。积极协调市环卫局，为西后街居民建立全新公共卫生间，破解群众如厕难。加强无物业小区安全防护，在区政府支持下，为100个老旧无物业小区安装智能门禁系统，从实际情况出发，通过整合、优化，共安装人脸识别门禁、车辆道闸系统、铁艺电磁门82套，7222户居民，近2万人用上了最先进的社区安防系统。强化背街小巷整治提升。争取市级专项资金549.07万元，整治提升的背街小巷共15条，改造面积26640平方米，彻底解决了大官庄村、站前平房区等几个社区群众出行难的问题，周边交通更加顺畅，环境更加美观，居民幸福指数得到了极大的提升。</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（五）精准施策抓环境，打赢大气污染防治攻坚战</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深刻总结去年经验教训，坚持问题导向，紧盯重点难点和薄弱环节，全面推进VOCs排放、扬尘治理、餐饮油烟、垃圾分类等工作。狠抓网格化管理。辖区划分40个片区，配备40名网格员，各片区由一名网格员全天不定时对片区内裸土、油烟、卫生、数字化等问题进行巡查。今年共处理案件725件，办结715件，目前正在处理中（上报）10件。狠抓VOCs排放企业监管。按工作要求，成立巡查小组并对辖区内5家VOCs印刷企业进行每日巡查。在全市重污染天气应急期间，严格实行停产、限产，第一时间安排驻厂员入厂严格企业落实应急响应。狠抓扬尘污染治理。强化施工工地扬尘管控，人防技防相结合，不定期对建筑工地进行巡视检查，全力将管控工作做细做实。狠抓餐饮油烟整治。对辖区范围内201家餐饮门店建立定期清洗台账，及时督促清洗。狠抓垃圾分类。推进全省垃圾分类工作，对辖区内30家公共机构单位进行带头推广并设置垃圾分类4种归纳箱。狠抓散煤管控。全面落实网格员制度，成立以街道分管领导为组长的50人队伍，分成4组对辖区内的平房区进行应急巡查，发现问题及时处理。同时，加大宣传力度，共发放明白纸2000余份，悬挂条幅40条，设立广播宣传点4个，不断强化群众不用散煤的自觉意识。</w:t>
      </w:r>
    </w:p>
    <w:p>
      <w:pPr>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（六）立足大局服务民生，提升群众生活幸福指数</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双提升”活动为契机，解决好群众最关心、最直接、最现实的利益问题。一是建立一站式便民大厅。对照要求，做到“六有”标准。严格落实“只进一扇门，最多跑一次”模式，窗口规范化管理上水平，服务质量投诉率为零;行政审批事项集中办理零差错;入驻项目审批服务事项承诺期内办结率达 100%;领导便民公开电话受理中心规范动作，群众来电、来信办结率达100%。二是集中整治社区环境。在辖区设立垃圾、杂物收集点，街道组织力量，集中清运、处理；对丰盛路、大官庄等老旧区域街角路面的垃圾、污渍，进行彻底洗刷清理；对堆积20余年铁路建筑垃圾，投入大量人力、物力进行铲除清运，对于因通讯光缆、高压电缆和其他历史问题暂时无法清理的，全部进行封闭处理。全年共清理各类垃圾350车1400余方。三做好社区保险工作。严格执行低保政策，实行动态管理，截止到当前，注销低保2户，新增低保3户，1户正在审核，切实做到应保尽保，应退尽退。享受高龄补贴老人754人，注销5人。共新增9个公益性岗位，安置9名下岗职工从事保卫、保洁工作。目前公益性岗位在岗人数为45人，发放岗位补贴49.5万元，为公岗人员交纳工伤保险、失业保险合计19500元。四是做好卫生健康保健工作。通过开展助力中国梦健康系列活动，整合辖区卫生资源，家庭医生签约率达到50%，建立各种特殊人群微信群，邀请职业医生入群随时为群众服务活动。加大对育龄群众的避孕药具知识宣传，街办处药具服务平台注册使用人员达到3060余人。五是服务区委中心工作，全力推进新机场搬迁工作。党政主要负责同志带队，选优配强搬迁队伍，服从区委、区政府指挥，对所分包潘村12户17宅、寺垡辛庄4户9宅、马家场11户15宅、北寺垡12户18宅、曹留犊19户35宅任务，逐一分析情况，分组展开工作，充分发扬锲而不舍、连续奋战的作风，克难攻坚，全力保障新机场搬迁工作顺利开展。</w:t>
      </w:r>
    </w:p>
    <w:p>
      <w:pPr>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（七）抓实抓好安全维稳，护航经济社会高质量发展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狠抓事关社会稳定、群众安全的底线工作是保稳定、促发展的迫切要求和必然选择，我街道确保做到底线不失、底线必保。一是安全生产。悬挂宣传标语80余条、张贴主题宣传画1800余张，安全知识宣传册4500余份，发放手提袋1200余个，燃气安全使用须知3500余份，有效提高了人民群众的安全意识。成立联合检查组对辖区所有涉及领域的企业进行安全生产大检查，共检查275家，发现一般隐患24条，现已整改完毕。二是扫黑除恶。悬挂横幅40余条，发放宣传资料2500余份,现场接受咨询300余人次，有效增强辖区群众对扫黑除恶工作的知晓率。三是打击非法传销。悬挂条幅50余条，发放宣传品5000余份。捣毁传销窝点8个，遣散传销人员100余人，有效增强群众识别、防范、抵制传销的法治意识和法治能力。四是暑期安保。按照“防重于抢、立足于防”的原则，对辖区重点老旧平房及重点街巷进行多次防汛检查，出动52人次，走访38处，居民35户，督导疏通下水道16处，对于存在严重问题的房屋，及时劝说居民撤离。五是食品安全。今年进行联合执法检查20余次，下达监督意见70条。发放、张贴食品安全公告类800份。截止到目前，辖区内共有三小企业323家，已完成全部巡查，覆盖率100%。</w:t>
      </w:r>
    </w:p>
    <w:p>
      <w:pPr>
        <w:spacing w:line="584" w:lineRule="exact"/>
        <w:rPr>
          <w:rFonts w:ascii="Times New Roman" w:hAnsi="Times New Roman" w:eastAsia="仿宋_GB2312" w:cs="Times New Roman"/>
          <w:sz w:val="32"/>
          <w:szCs w:val="32"/>
        </w:rPr>
      </w:pPr>
    </w:p>
    <w:p>
      <w:pPr>
        <w:overflowPunct w:val="0"/>
        <w:adjustRightInd w:val="0"/>
        <w:snapToGrid w:val="0"/>
        <w:spacing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1234"/>
        <w:gridCol w:w="1835"/>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23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3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1234" w:type="dxa"/>
            <w:vMerge w:val="continue"/>
            <w:tcBorders>
              <w:tl2br w:val="nil"/>
              <w:tr2bl w:val="nil"/>
            </w:tcBorders>
            <w:vAlign w:val="center"/>
          </w:tcPr>
          <w:p/>
        </w:tc>
        <w:tc>
          <w:tcPr>
            <w:tcW w:w="1835"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234"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考核人数</w:t>
            </w:r>
          </w:p>
        </w:tc>
        <w:tc>
          <w:tcPr>
            <w:tcW w:w="1835"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按考核结果</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lang w:eastAsia="zh-CN"/>
              </w:rPr>
              <w:t>按计划应参加年终考核人数</w:t>
            </w:r>
          </w:p>
        </w:tc>
        <w:tc>
          <w:tcPr>
            <w:tcW w:w="543" w:type="dxa"/>
            <w:tcBorders>
              <w:tl2br w:val="nil"/>
              <w:tr2bl w:val="nil"/>
            </w:tcBorders>
            <w:vAlign w:val="center"/>
          </w:tcPr>
          <w:p>
            <w:pPr>
              <w:widowControl/>
              <w:tabs>
                <w:tab w:val="left" w:pos="257"/>
              </w:tabs>
              <w:adjustRightInd w:val="0"/>
              <w:snapToGrid w:val="0"/>
              <w:jc w:val="left"/>
              <w:rPr>
                <w:rFonts w:hint="eastAsia" w:ascii="方正书宋_GBK" w:eastAsia="方正书宋_GBK"/>
                <w:lang w:eastAsia="zh-CN"/>
              </w:rPr>
            </w:pPr>
            <w:r>
              <w:rPr>
                <w:rFonts w:hint="eastAsia" w:ascii="方正书宋_GBK" w:eastAsia="方正书宋_GBK"/>
                <w:lang w:eastAsia="zh-CN"/>
              </w:rPr>
              <w:tab/>
            </w: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考核合格率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234"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到位率</w:t>
            </w:r>
          </w:p>
        </w:tc>
        <w:tc>
          <w:tcPr>
            <w:tcW w:w="1835"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eastAsia="zh-CN"/>
              </w:rPr>
              <w:t>按资金使用</w:t>
            </w:r>
            <w:r>
              <w:rPr>
                <w:rFonts w:hint="eastAsia" w:ascii="方正书宋_GBK" w:eastAsia="方正书宋_GBK"/>
                <w:lang w:val="en-US" w:eastAsia="zh-CN"/>
              </w:rPr>
              <w:t>/发放情况</w:t>
            </w:r>
          </w:p>
        </w:tc>
        <w:tc>
          <w:tcPr>
            <w:tcW w:w="1483"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社会保险补贴资金实际发放资金应发放资金总额</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jc w:val="center"/>
              <w:rPr>
                <w:rFonts w:hint="default" w:ascii="方正书宋_GBK" w:eastAsia="方正书宋_GBK"/>
                <w:lang w:val="en-US" w:eastAsia="zh-CN"/>
              </w:rPr>
            </w:pPr>
            <w:r>
              <w:rPr>
                <w:rFonts w:hint="eastAsia" w:ascii="方正书宋_GBK" w:eastAsia="方正书宋_GBK"/>
                <w:lang w:val="en-US" w:eastAsia="zh-CN"/>
              </w:rPr>
              <w:t>95</w:t>
            </w:r>
          </w:p>
        </w:tc>
        <w:tc>
          <w:tcPr>
            <w:tcW w:w="573" w:type="dxa"/>
            <w:tcBorders>
              <w:tl2br w:val="nil"/>
              <w:tr2bl w:val="nil"/>
            </w:tcBorders>
            <w:vAlign w:val="center"/>
          </w:tcPr>
          <w:p>
            <w:pPr>
              <w:widowControl/>
              <w:adjustRightInd w:val="0"/>
              <w:snapToGrid w:val="0"/>
              <w:jc w:val="center"/>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资金发放情况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rPr>
                <w:rFonts w:hint="eastAsia" w:eastAsia="宋体"/>
                <w:lang w:eastAsia="zh-CN"/>
              </w:rPr>
            </w:pPr>
            <w:r>
              <w:rPr>
                <w:rFonts w:hint="eastAsia"/>
                <w:lang w:eastAsia="zh-CN"/>
              </w:rPr>
              <w:t>≥</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234"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经费保障率（</w:t>
            </w:r>
            <w:r>
              <w:rPr>
                <w:rFonts w:hint="eastAsia" w:ascii="方正书宋_GBK" w:eastAsia="方正书宋_GBK"/>
                <w:lang w:val="en-US" w:eastAsia="zh-CN"/>
              </w:rPr>
              <w:t>%）</w:t>
            </w:r>
            <w:r>
              <w:rPr>
                <w:rFonts w:hint="eastAsia" w:ascii="方正书宋_GBK" w:eastAsia="方正书宋_GBK"/>
                <w:lang w:eastAsia="zh-CN"/>
              </w:rPr>
              <w:t>）</w:t>
            </w:r>
          </w:p>
        </w:tc>
        <w:tc>
          <w:tcPr>
            <w:tcW w:w="1835"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补贴按时发放</w:t>
            </w:r>
          </w:p>
        </w:tc>
        <w:tc>
          <w:tcPr>
            <w:tcW w:w="1483"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社会保险补贴资金按要求实际进度支付</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按时发放</w:t>
            </w: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补贴按时发放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234"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思想政治工作稳步提升</w:t>
            </w:r>
          </w:p>
        </w:tc>
        <w:tc>
          <w:tcPr>
            <w:tcW w:w="1835"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历史水平</w:t>
            </w:r>
          </w:p>
        </w:tc>
        <w:tc>
          <w:tcPr>
            <w:tcW w:w="1483" w:type="dxa"/>
            <w:tcBorders>
              <w:tl2br w:val="nil"/>
              <w:tr2bl w:val="nil"/>
            </w:tcBorders>
            <w:vAlign w:val="center"/>
          </w:tcPr>
          <w:p>
            <w:pPr>
              <w:widowControl/>
              <w:adjustRightInd w:val="0"/>
              <w:snapToGrid w:val="0"/>
              <w:rPr>
                <w:rFonts w:ascii="方正书宋_GBK" w:eastAsia="方正书宋_GBK"/>
              </w:rPr>
            </w:pPr>
          </w:p>
          <w:p>
            <w:pPr>
              <w:bidi w:val="0"/>
              <w:ind w:firstLine="394" w:firstLineChars="0"/>
              <w:jc w:val="left"/>
              <w:rPr>
                <w:rFonts w:ascii="Calibri" w:hAnsi="Calibri" w:eastAsia="宋体" w:cs="Arial"/>
                <w:kern w:val="2"/>
                <w:sz w:val="21"/>
                <w:szCs w:val="22"/>
                <w:lang w:val="en-US" w:eastAsia="zh-CN" w:bidi="ar-SA"/>
              </w:rPr>
            </w:pPr>
            <w:r>
              <w:rPr>
                <w:rFonts w:hint="eastAsia" w:cs="Arial"/>
                <w:kern w:val="2"/>
                <w:sz w:val="21"/>
                <w:szCs w:val="22"/>
                <w:lang w:val="en-US" w:eastAsia="zh-CN" w:bidi="ar-SA"/>
              </w:rPr>
              <w:t>抓工作实效，创新突破</w:t>
            </w:r>
          </w:p>
        </w:tc>
        <w:tc>
          <w:tcPr>
            <w:tcW w:w="543" w:type="dxa"/>
            <w:tcBorders>
              <w:tl2br w:val="nil"/>
              <w:tr2bl w:val="nil"/>
            </w:tcBorders>
            <w:vAlign w:val="center"/>
          </w:tcPr>
          <w:p>
            <w:pPr>
              <w:widowControl/>
              <w:adjustRightInd w:val="0"/>
              <w:snapToGrid w:val="0"/>
              <w:jc w:val="center"/>
              <w:rPr>
                <w:rFonts w:hint="eastAsia" w:ascii="方正书宋_GBK" w:eastAsia="方正书宋_GBK"/>
                <w:lang w:eastAsia="zh-CN"/>
              </w:rPr>
            </w:pPr>
            <w:r>
              <w:rPr>
                <w:rFonts w:hint="eastAsia" w:ascii="方正书宋_GBK" w:eastAsia="方正书宋_GBK"/>
                <w:lang w:eastAsia="zh-CN"/>
              </w:rPr>
              <w:t>文字描述</w:t>
            </w: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街区干部思想政治稳步提升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1234" w:type="dxa"/>
            <w:tcBorders>
              <w:tl2br w:val="nil"/>
              <w:tr2bl w:val="nil"/>
            </w:tcBorders>
            <w:vAlign w:val="center"/>
          </w:tcPr>
          <w:p>
            <w:pPr>
              <w:widowControl/>
              <w:adjustRightInd w:val="0"/>
              <w:snapToGrid w:val="0"/>
              <w:rPr>
                <w:rFonts w:ascii="方正书宋_GBK" w:eastAsia="方正书宋_GBK"/>
              </w:rPr>
            </w:pPr>
          </w:p>
        </w:tc>
        <w:tc>
          <w:tcPr>
            <w:tcW w:w="1835"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234"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工作人员对办公条件满意度</w:t>
            </w:r>
          </w:p>
        </w:tc>
        <w:tc>
          <w:tcPr>
            <w:tcW w:w="1835"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问卷调查</w:t>
            </w:r>
          </w:p>
        </w:tc>
        <w:tc>
          <w:tcPr>
            <w:tcW w:w="1483" w:type="dxa"/>
            <w:tcBorders>
              <w:tl2br w:val="nil"/>
              <w:tr2bl w:val="nil"/>
            </w:tcBorders>
            <w:vAlign w:val="center"/>
          </w:tcPr>
          <w:p>
            <w:pPr>
              <w:widowControl/>
              <w:adjustRightInd w:val="0"/>
              <w:snapToGrid w:val="0"/>
              <w:ind w:firstLine="314" w:firstLineChars="0"/>
              <w:rPr>
                <w:rFonts w:hint="eastAsia" w:ascii="方正书宋_GBK" w:eastAsia="方正书宋_GBK"/>
                <w:lang w:eastAsia="zh-CN"/>
              </w:rPr>
            </w:pPr>
            <w:r>
              <w:rPr>
                <w:rFonts w:hint="eastAsia" w:ascii="方正书宋_GBK" w:eastAsia="方正书宋_GBK"/>
                <w:lang w:eastAsia="zh-CN"/>
              </w:rPr>
              <w:t>机关工作人员对办公条件满意度</w:t>
            </w:r>
          </w:p>
        </w:tc>
        <w:tc>
          <w:tcPr>
            <w:tcW w:w="543"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w:t>
            </w:r>
          </w:p>
        </w:tc>
        <w:tc>
          <w:tcPr>
            <w:tcW w:w="488" w:type="dxa"/>
            <w:tcBorders>
              <w:tl2br w:val="nil"/>
              <w:tr2bl w:val="nil"/>
            </w:tcBorders>
            <w:vAlign w:val="center"/>
          </w:tcPr>
          <w:p>
            <w:pPr>
              <w:widowControl/>
              <w:adjustRightInd w:val="0"/>
              <w:snapToGrid w:val="0"/>
              <w:rPr>
                <w:rFonts w:hint="default" w:ascii="方正书宋_GBK" w:eastAsia="方正书宋_GBK"/>
                <w:lang w:val="en-US" w:eastAsia="zh-CN"/>
              </w:rPr>
            </w:pPr>
            <w:r>
              <w:rPr>
                <w:rFonts w:hint="eastAsia" w:ascii="方正书宋_GBK" w:eastAsia="方正书宋_GBK"/>
                <w:lang w:val="en-US" w:eastAsia="zh-CN"/>
              </w:rPr>
              <w:t>90</w:t>
            </w:r>
          </w:p>
        </w:tc>
        <w:tc>
          <w:tcPr>
            <w:tcW w:w="573" w:type="dxa"/>
            <w:tcBorders>
              <w:tl2br w:val="nil"/>
              <w:tr2bl w:val="nil"/>
            </w:tcBorders>
            <w:vAlign w:val="center"/>
          </w:tcPr>
          <w:p>
            <w:pPr>
              <w:widowControl/>
              <w:adjustRightInd w:val="0"/>
              <w:snapToGrid w:val="0"/>
              <w:rPr>
                <w:rFonts w:hint="eastAsia" w:ascii="方正书宋_GBK" w:eastAsia="方正书宋_GBK"/>
                <w:lang w:val="en-US" w:eastAsia="zh-CN"/>
              </w:rPr>
            </w:pPr>
            <w:r>
              <w:rPr>
                <w:rFonts w:hint="eastAsia" w:ascii="方正书宋_GBK" w:eastAsia="方正书宋_GBK"/>
                <w:lang w:val="en-US" w:eastAsia="zh-CN"/>
              </w:rPr>
              <w:t>%</w:t>
            </w:r>
          </w:p>
        </w:tc>
        <w:tc>
          <w:tcPr>
            <w:tcW w:w="1277" w:type="dxa"/>
            <w:tcBorders>
              <w:tl2br w:val="nil"/>
              <w:tr2bl w:val="nil"/>
            </w:tcBorders>
            <w:vAlign w:val="center"/>
          </w:tcPr>
          <w:p>
            <w:pPr>
              <w:widowControl/>
              <w:adjustRightInd w:val="0"/>
              <w:snapToGrid w:val="0"/>
              <w:rPr>
                <w:rFonts w:hint="eastAsia" w:ascii="方正书宋_GBK" w:eastAsia="方正书宋_GBK"/>
                <w:lang w:eastAsia="zh-CN"/>
              </w:rPr>
            </w:pPr>
            <w:r>
              <w:rPr>
                <w:rFonts w:hint="eastAsia" w:ascii="方正书宋_GBK" w:eastAsia="方正书宋_GBK"/>
                <w:lang w:eastAsia="zh-CN"/>
              </w:rPr>
              <w:t>机关工作人员满意度</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Times New Roman" w:eastAsia="仿宋_GB2312" w:cs="Times New Roman"/>
          <w:sz w:val="28"/>
        </w:rPr>
      </w:pPr>
    </w:p>
    <w:p>
      <w:pPr>
        <w:ind w:firstLine="560" w:firstLineChars="200"/>
        <w:jc w:val="left"/>
        <w:outlineLvl w:val="3"/>
        <w:rPr>
          <w:rFonts w:ascii="Times New Roman" w:hAnsi="宋体"/>
          <w:b/>
          <w:sz w:val="28"/>
        </w:rPr>
      </w:pPr>
      <w:r>
        <w:rPr>
          <w:rFonts w:ascii="Times New Roman" w:hAnsi="Times New Roman" w:eastAsia="仿宋_GB2312" w:cs="Times New Roman"/>
          <w:sz w:val="28"/>
        </w:rPr>
        <w:t>1.</w:t>
      </w:r>
      <w:r>
        <w:rPr>
          <w:rFonts w:hint="eastAsia" w:ascii="方正仿宋_GBK" w:eastAsia="方正仿宋_GBK"/>
          <w:b/>
          <w:sz w:val="28"/>
        </w:rPr>
        <w:t>社区招聘人员经费绩效目标表</w:t>
      </w:r>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1、社区招聘人员经费绩效目标表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p>
      <w:pPr>
        <w:ind w:firstLine="560" w:firstLineChars="200"/>
        <w:jc w:val="left"/>
        <w:outlineLvl w:val="1"/>
        <w:rPr>
          <w:rFonts w:ascii="Times New Roman" w:hAnsi="Times New Roman" w:eastAsia="仿宋_GB2312" w:cs="Times New Roman"/>
          <w:sz w:val="28"/>
        </w:rPr>
      </w:pP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ascii="方正书宋_GBK" w:eastAsia="方正书宋_GBK"/>
              </w:rPr>
              <w:t>1.</w:t>
            </w:r>
            <w:r>
              <w:rPr>
                <w:rFonts w:hint="eastAsia" w:ascii="方正书宋_GBK" w:eastAsia="方正书宋_GBK"/>
              </w:rPr>
              <w:t>按时发放工资</w:t>
            </w:r>
            <w:r>
              <w:rPr>
                <w:rFonts w:ascii="方正书宋_GBK" w:eastAsia="方正书宋_GBK"/>
              </w:rPr>
              <w:t>2.</w:t>
            </w:r>
            <w:r>
              <w:rPr>
                <w:rFonts w:hint="eastAsia" w:ascii="方正书宋_GBK" w:eastAsia="方正书宋_GBK"/>
              </w:rPr>
              <w:t>及时缴纳各类保险</w:t>
            </w:r>
            <w:r>
              <w:rPr>
                <w:rFonts w:ascii="方正书宋_GBK" w:eastAsia="方正书宋_GBK"/>
              </w:rPr>
              <w:t>3.</w:t>
            </w:r>
            <w:r>
              <w:rPr>
                <w:rFonts w:hint="eastAsia" w:ascii="方正书宋_GBK" w:eastAsia="方正书宋_GBK"/>
              </w:rPr>
              <w:t>促进社区建设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 w:hRule="atLeast"/>
          <w:jc w:val="center"/>
        </w:trPr>
        <w:tc>
          <w:tcPr>
            <w:tcW w:w="2409" w:type="dxa"/>
            <w:vMerge w:val="restart"/>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产出指标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数量指标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发放人数</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享受待遇人数</w:t>
            </w:r>
          </w:p>
        </w:tc>
        <w:tc>
          <w:tcPr>
            <w:tcW w:w="1843" w:type="dxa"/>
            <w:shd w:val="clear" w:color="auto" w:fill="auto"/>
            <w:vAlign w:val="center"/>
          </w:tcPr>
          <w:p>
            <w:pPr>
              <w:spacing w:line="30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43人</w:t>
            </w: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质量指标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发放完成率</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足额发放工资比例</w:t>
            </w:r>
          </w:p>
        </w:tc>
        <w:tc>
          <w:tcPr>
            <w:tcW w:w="1843" w:type="dxa"/>
            <w:shd w:val="clear" w:color="auto" w:fill="auto"/>
            <w:vAlign w:val="center"/>
          </w:tcPr>
          <w:p>
            <w:pPr>
              <w:spacing w:line="30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100%</w:t>
            </w: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成本指标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资金成本</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资金成本</w:t>
            </w:r>
          </w:p>
        </w:tc>
        <w:tc>
          <w:tcPr>
            <w:tcW w:w="1843" w:type="dxa"/>
            <w:shd w:val="clear" w:color="auto" w:fill="auto"/>
            <w:vAlign w:val="center"/>
          </w:tcPr>
          <w:p>
            <w:pPr>
              <w:spacing w:line="30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350.57万元</w:t>
            </w: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效果指标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可持续影响指标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基本公共服务水平</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基本公共服务水平</w:t>
            </w: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服务水平不断提高</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（冀组字【2020】9号）、（廊组字【2020】48号）、（廊广组字【2020】18号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满意度指标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服务对象满意度指标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服务对象满意度</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服务对象满意度</w:t>
            </w:r>
          </w:p>
        </w:tc>
        <w:tc>
          <w:tcPr>
            <w:tcW w:w="1843" w:type="dxa"/>
            <w:shd w:val="clear" w:color="auto" w:fill="auto"/>
            <w:vAlign w:val="center"/>
          </w:tcPr>
          <w:p>
            <w:pPr>
              <w:spacing w:line="30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95%</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（冀组字【2020】9号）、（廊组字【2020】48号）、（廊广组字【2020】18号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方正仿宋_GBK" w:eastAsia="方正仿宋_GBK"/>
          <w:b/>
          <w:sz w:val="28"/>
        </w:rPr>
        <w:t>社区招聘人员经费</w:t>
      </w:r>
      <w:r>
        <w:rPr>
          <w:rFonts w:hint="eastAsia" w:ascii="方正仿宋_GBK" w:eastAsia="方正仿宋_GBK"/>
          <w:b/>
          <w:sz w:val="28"/>
          <w:lang w:eastAsia="zh-CN"/>
        </w:rPr>
        <w:t>（专款）绩效目标表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1.按时按标准发放工资福利等，进一步增强干部职工得归属感，保持干部队伍相对稳定，保障办公正常运转</w:t>
            </w:r>
          </w:p>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2.工资（福利）、社会保障（养老保险等）等发放（缴纳）标准</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lang w:eastAsia="zh-CN"/>
              </w:rPr>
              <w:t>3.加强工作人员归属感，保持干部队伍稳定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数量指标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保障人数</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保障人数</w:t>
            </w: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≤43人</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质量指标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工资(福利)等发放精准性</w:t>
            </w:r>
          </w:p>
        </w:tc>
        <w:tc>
          <w:tcPr>
            <w:tcW w:w="3402"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工资福利等发放人员范围的精准性和发放数据的准确性</w:t>
            </w: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100%</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实效指标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工资(福利)发放及时性</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工资福利等发放的时效情</w:t>
            </w: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100%</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社会效益指标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加强工作人员归属感</w:t>
            </w:r>
          </w:p>
        </w:tc>
        <w:tc>
          <w:tcPr>
            <w:tcW w:w="3402" w:type="dxa"/>
            <w:shd w:val="clear" w:color="auto" w:fill="auto"/>
            <w:vAlign w:val="center"/>
          </w:tcPr>
          <w:p>
            <w:pPr>
              <w:spacing w:line="300" w:lineRule="exact"/>
              <w:jc w:val="left"/>
              <w:rPr>
                <w:rFonts w:ascii="方正书宋_GBK" w:hAnsi="Calibri" w:eastAsia="方正书宋_GBK" w:cs="Arial"/>
                <w:kern w:val="2"/>
                <w:sz w:val="21"/>
                <w:szCs w:val="22"/>
                <w:lang w:val="en-US" w:eastAsia="zh-CN" w:bidi="ar-SA"/>
              </w:rPr>
            </w:pPr>
            <w:r>
              <w:rPr>
                <w:rFonts w:hint="eastAsia" w:ascii="Times New Roman" w:hAnsi="Times New Roman" w:eastAsia="仿宋_GB2312" w:cs="Times New Roman"/>
                <w:lang w:val="en-US" w:eastAsia="zh-CN"/>
              </w:rPr>
              <w:t>通过按时按标准发放工资福利等，进一步增强干部职工得归属感，保持干部队伍相对稳定，保障办公正常运转</w:t>
            </w: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保持干部队伍相对稳定</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廊广财社（2021）1号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hint="eastAsia" w:ascii="Times New Roman" w:hAnsi="Times New Roman" w:eastAsia="仿宋_GB2312" w:cs="Times New Roman"/>
                <w:lang w:eastAsia="zh-CN"/>
              </w:rPr>
            </w:pPr>
          </w:p>
        </w:tc>
        <w:tc>
          <w:tcPr>
            <w:tcW w:w="2155" w:type="dxa"/>
            <w:shd w:val="clear" w:color="auto" w:fill="auto"/>
            <w:vAlign w:val="center"/>
          </w:tcPr>
          <w:p>
            <w:pPr>
              <w:spacing w:line="300" w:lineRule="exact"/>
              <w:jc w:val="left"/>
              <w:rPr>
                <w:rFonts w:hint="eastAsia" w:ascii="Times New Roman" w:hAnsi="Times New Roman" w:eastAsia="仿宋_GB2312" w:cs="Times New Roman"/>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服务对象满意度指标</w:t>
            </w:r>
          </w:p>
        </w:tc>
        <w:tc>
          <w:tcPr>
            <w:tcW w:w="1985"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单位人员满意度</w:t>
            </w:r>
          </w:p>
        </w:tc>
        <w:tc>
          <w:tcPr>
            <w:tcW w:w="3402"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单位人员对工资福利等发放工作的满意程度</w:t>
            </w:r>
          </w:p>
        </w:tc>
        <w:tc>
          <w:tcPr>
            <w:tcW w:w="1843" w:type="dxa"/>
            <w:shd w:val="clear" w:color="auto" w:fill="auto"/>
            <w:vAlign w:val="center"/>
          </w:tcPr>
          <w:p>
            <w:pPr>
              <w:spacing w:line="300" w:lineRule="exact"/>
              <w:jc w:val="left"/>
              <w:rPr>
                <w:rFonts w:hint="default" w:ascii="Times New Roman" w:hAnsi="Times New Roman" w:eastAsia="仿宋_GB2312" w:cs="Times New Roman"/>
                <w:lang w:val="en-US" w:eastAsia="zh-CN"/>
              </w:rPr>
            </w:pPr>
            <w:r>
              <w:rPr>
                <w:rFonts w:hint="eastAsia" w:ascii="Times New Roman" w:hAnsi="Times New Roman" w:eastAsia="仿宋_GB2312" w:cs="Times New Roman"/>
                <w:lang w:eastAsia="zh-CN"/>
              </w:rPr>
              <w:t>≥</w:t>
            </w:r>
            <w:r>
              <w:rPr>
                <w:rFonts w:hint="eastAsia" w:ascii="Times New Roman" w:hAnsi="Times New Roman" w:eastAsia="仿宋_GB2312" w:cs="Times New Roman"/>
                <w:lang w:val="en-US" w:eastAsia="zh-CN"/>
              </w:rPr>
              <w:t>85%</w:t>
            </w:r>
          </w:p>
        </w:tc>
        <w:tc>
          <w:tcPr>
            <w:tcW w:w="2155" w:type="dxa"/>
            <w:shd w:val="clear" w:color="auto" w:fill="auto"/>
            <w:vAlign w:val="center"/>
          </w:tcPr>
          <w:p>
            <w:pPr>
              <w:spacing w:line="300" w:lineRule="exact"/>
              <w:jc w:val="left"/>
              <w:rPr>
                <w:rFonts w:hint="eastAsia" w:ascii="Times New Roman" w:hAnsi="Times New Roman" w:eastAsia="仿宋_GB2312" w:cs="Times New Roman"/>
                <w:lang w:val="en-US" w:eastAsia="zh-CN"/>
              </w:rPr>
            </w:pPr>
            <w:r>
              <w:rPr>
                <w:rFonts w:hint="eastAsia" w:ascii="Times New Roman" w:hAnsi="Times New Roman" w:eastAsia="仿宋_GB2312" w:cs="Times New Roman"/>
                <w:lang w:eastAsia="zh-CN"/>
              </w:rPr>
              <w:t>廊广财社（2021）1号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0"/>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1" w:name="_Toc64920910"/>
      <w:r>
        <w:rPr>
          <w:rFonts w:hint="eastAsia" w:ascii="方正小标宋_GBK" w:eastAsia="方正小标宋_GBK" w:cs="Times New Roman"/>
          <w:sz w:val="32"/>
        </w:rPr>
        <w:t>部门政府采购预算</w:t>
      </w:r>
      <w:bookmarkEnd w:id="1"/>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hint="default" w:ascii="方正小标宋_GBK" w:eastAsia="方正小标宋_GBK" w:cs="Times New Roman"/>
                <w:sz w:val="24"/>
                <w:lang w:val="en-US" w:eastAsia="zh-CN"/>
              </w:rPr>
            </w:pPr>
            <w:r>
              <w:rPr>
                <w:rFonts w:hint="eastAsia" w:ascii="方正小标宋_GBK" w:eastAsia="方正小标宋_GBK" w:cs="Times New Roman"/>
                <w:sz w:val="24"/>
                <w:lang w:val="en-US" w:eastAsia="zh-CN"/>
              </w:rPr>
              <w:t>917</w:t>
            </w:r>
            <w:r>
              <w:rPr>
                <w:rFonts w:ascii="方正小标宋_GBK" w:eastAsia="方正小标宋_GBK" w:cs="Times New Roman"/>
                <w:sz w:val="24"/>
              </w:rPr>
              <w:t>廊坊市</w:t>
            </w:r>
            <w:r>
              <w:rPr>
                <w:rFonts w:hint="eastAsia" w:ascii="方正小标宋_GBK" w:eastAsia="方正小标宋_GBK" w:cs="Times New Roman"/>
                <w:sz w:val="24"/>
                <w:lang w:eastAsia="zh-CN"/>
              </w:rPr>
              <w:t>广阳区银河北路街道办事处</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Times New Roman" w:hAnsi="Times New Roman" w:eastAsia="仿宋_GB2312" w:cs="Times New Roman"/>
          <w:sz w:val="32"/>
          <w:szCs w:val="32"/>
          <w:lang w:eastAsia="zh-CN"/>
        </w:rPr>
        <w:t>银河北路街道办事出</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160.40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w:t>
            </w:r>
            <w:r>
              <w:rPr>
                <w:rFonts w:hint="eastAsia" w:ascii="Times New Roman" w:hAnsi="Times New Roman" w:eastAsia="仿宋_GB2312" w:cs="Times New Roman"/>
                <w:b/>
                <w:bCs/>
                <w:kern w:val="0"/>
                <w:sz w:val="32"/>
                <w:szCs w:val="32"/>
                <w:lang w:eastAsia="zh-CN"/>
              </w:rPr>
              <w:t>银河北路街道办事处</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hint="eastAsia" w:ascii="Times New Roman" w:hAnsi="Times New Roman" w:eastAsia="仿宋_GB2312" w:cs="Times New Roman"/>
                <w:kern w:val="0"/>
                <w:sz w:val="22"/>
                <w:lang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广阳区银河北路街道办事处</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160.40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hint="eastAsia"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46.76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113.64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7</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301F9F"/>
    <w:rsid w:val="00356683"/>
    <w:rsid w:val="004A54AA"/>
    <w:rsid w:val="00807A76"/>
    <w:rsid w:val="008F0EB4"/>
    <w:rsid w:val="00A218C6"/>
    <w:rsid w:val="00B17B32"/>
    <w:rsid w:val="00B80935"/>
    <w:rsid w:val="00D347CC"/>
    <w:rsid w:val="00E27CE3"/>
    <w:rsid w:val="01A948D1"/>
    <w:rsid w:val="03D5777A"/>
    <w:rsid w:val="0CA670E2"/>
    <w:rsid w:val="1657770D"/>
    <w:rsid w:val="16D13557"/>
    <w:rsid w:val="17645E84"/>
    <w:rsid w:val="185D2EB1"/>
    <w:rsid w:val="203C7232"/>
    <w:rsid w:val="225B6021"/>
    <w:rsid w:val="28947517"/>
    <w:rsid w:val="28B34F90"/>
    <w:rsid w:val="3E1A7A06"/>
    <w:rsid w:val="436D3CAC"/>
    <w:rsid w:val="49F177D6"/>
    <w:rsid w:val="4CE82326"/>
    <w:rsid w:val="56A6400D"/>
    <w:rsid w:val="5910567C"/>
    <w:rsid w:val="5A5C5012"/>
    <w:rsid w:val="614700C1"/>
    <w:rsid w:val="62881D5B"/>
    <w:rsid w:val="67E60C61"/>
    <w:rsid w:val="6C194EF8"/>
    <w:rsid w:val="6E783F8B"/>
    <w:rsid w:val="74092A0E"/>
    <w:rsid w:val="7522038F"/>
    <w:rsid w:val="77B42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491</Words>
  <Characters>2803</Characters>
  <Lines>23</Lines>
  <Paragraphs>6</Paragraphs>
  <TotalTime>21</TotalTime>
  <ScaleCrop>false</ScaleCrop>
  <LinksUpToDate>false</LinksUpToDate>
  <CharactersWithSpaces>3288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2023-06-02T02:08:17Z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8E349CA00F864FE2A870D8C8DCAE3E60</vt:lpwstr>
  </property>
</Properties>
</file>