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中国共产党廊坊市广阳区委员会政法委员会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按照《中华人民共和国预算法》、《中华人民共和国预算法实施条例》、《地方预决算公开操作规程》和《河北省省级预算公开办法》规定，现将中国共产党廊坊市广阳区委员会政法委员会</w:t>
      </w:r>
      <w:r>
        <w:rPr>
          <w:rFonts w:ascii="仿宋" w:hAnsi="仿宋" w:eastAsia="仿宋" w:cs="Times New Roman"/>
          <w:sz w:val="32"/>
          <w:szCs w:val="32"/>
        </w:rPr>
        <w:t>2021</w:t>
      </w:r>
      <w:r>
        <w:rPr>
          <w:rFonts w:hint="eastAsia" w:ascii="仿宋" w:hAnsi="仿宋" w:eastAsia="仿宋"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根据《中国共产党廊坊市广阳区委员会政法委员会职能配置、内设机构和人员编制规定》，</w:t>
      </w:r>
      <w:r>
        <w:rPr>
          <w:rFonts w:ascii="仿宋" w:hAnsi="仿宋" w:eastAsia="仿宋" w:cs="Times New Roman"/>
          <w:sz w:val="32"/>
          <w:szCs w:val="32"/>
        </w:rPr>
        <w:t xml:space="preserve"> </w:t>
      </w:r>
      <w:r>
        <w:rPr>
          <w:rFonts w:hint="eastAsia" w:ascii="仿宋" w:hAnsi="仿宋" w:eastAsia="仿宋" w:cs="Times New Roman"/>
          <w:sz w:val="32"/>
          <w:szCs w:val="32"/>
        </w:rPr>
        <w:t>中国共产党廊坊市广阳区委员会政法委员会的主要职责是：</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第一条根据《中共廊坊市委办公室廊坊市人民政府办公室关于印发〈广阳区机构改革方案〉的通知》（廊办字〔</w:t>
      </w:r>
      <w:r>
        <w:rPr>
          <w:rFonts w:ascii="仿宋" w:hAnsi="仿宋" w:eastAsia="仿宋" w:cs="Times New Roman"/>
          <w:sz w:val="32"/>
          <w:szCs w:val="32"/>
        </w:rPr>
        <w:t>2018</w:t>
      </w:r>
      <w:r>
        <w:rPr>
          <w:rFonts w:hint="eastAsia" w:ascii="仿宋" w:hAnsi="仿宋" w:eastAsia="仿宋" w:cs="Times New Roman"/>
          <w:sz w:val="32"/>
          <w:szCs w:val="32"/>
        </w:rPr>
        <w:t>〕</w:t>
      </w:r>
      <w:r>
        <w:rPr>
          <w:rFonts w:ascii="仿宋" w:hAnsi="仿宋" w:eastAsia="仿宋" w:cs="Times New Roman"/>
          <w:sz w:val="32"/>
          <w:szCs w:val="32"/>
        </w:rPr>
        <w:t>68</w:t>
      </w:r>
      <w:r>
        <w:rPr>
          <w:rFonts w:hint="eastAsia" w:ascii="仿宋" w:hAnsi="仿宋" w:eastAsia="仿宋" w:cs="Times New Roman"/>
          <w:sz w:val="32"/>
          <w:szCs w:val="32"/>
        </w:rPr>
        <w:t>号），制定本规定。</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第二条中共廊坊市广阳区委政法委员会（简称区委政法委）为区委领导政法工作的职能部门，机构规格正科级。</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第三条区委政法委的主要职责是：</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（一）深入贯彻习近平新时代中国特色社会主义思想，坚持党对政法工作的绝对领导，</w:t>
      </w:r>
      <w:r>
        <w:rPr>
          <w:rFonts w:hint="eastAsia" w:ascii="仿宋" w:hAnsi="仿宋" w:eastAsia="仿宋" w:cs="Times New Roman"/>
          <w:sz w:val="32"/>
          <w:szCs w:val="32"/>
          <w:lang w:eastAsia="zh-CN"/>
        </w:rPr>
        <w:t>坚决维护习近平总书记党中央的核心</w:t>
      </w:r>
      <w:r>
        <w:rPr>
          <w:rFonts w:hint="eastAsia" w:ascii="仿宋" w:hAnsi="仿宋" w:eastAsia="仿宋" w:cs="Times New Roman"/>
          <w:sz w:val="32"/>
          <w:szCs w:val="32"/>
        </w:rPr>
        <w:t>、全党的核心地位，坚决维护党中央权威和集中统一领导，深入贯彻党的路线方针政策中央和省、市、区委的决策部署，统一全区政法单位思想和行动，确保全区政法单位坚定正确的政治方向。</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（二）对全区政法工作研究提出全局性部署，推进平安广阳、法治广阳建设，加强过硬队伍建设，深化智能化建设，坚决维护国家政治安全、确保社会大局稳定、促进社会公平正义、保障人民安居乐业。</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（三）了解掌握和分析研判政法工作情况动态，分析社会稳定形势，创新完善多部门参与的综治维稳工作机制，协调推动预防、化解影响稳定的社会矛盾和风险，协调应对和处置重大突发事件。</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（四）加强对政法工作的督查，统筹协调社会治安综合治理、维护社会稳定、反邪教有关法律法规政策的实施工作。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（五）组织开展政法领域的调查研究，研究拟订政法工作的重大措施，及时向区委提出建议。</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（六）掌握分析政法舆情动态，指导协调政法单位媒体网络宣传工作，指导政法单位做好涉及政法工作的重大宣传工作。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（七）监督和支持政法单位依法行使职权，指导和协调政法单位密切配合，研究和协调重大、疑难案件，指导政法单位涉法涉诉信访工作，推进严格执法、公正司法。</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（八）组织研究政法改革中带有方向性、倾向性和普遍性的重大问题，深化政法改革，联系区委全面依法治区委员会办公室。</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（九）指导推动政法系统党的建设和政法队伍建设，协调和指导全区见义勇为工作，代管区法学会。</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（十）统筹推动全区政法系统信息化工作，指导政法智能化建设。</w:t>
      </w:r>
    </w:p>
    <w:p>
      <w:pPr>
        <w:autoSpaceDE w:val="0"/>
        <w:autoSpaceDN w:val="0"/>
        <w:adjustRightInd w:val="0"/>
        <w:spacing w:line="584"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（十一）完成市委政法委、区委交办的其他任务。</w:t>
      </w:r>
    </w:p>
    <w:p>
      <w:pPr>
        <w:autoSpaceDE w:val="0"/>
        <w:autoSpaceDN w:val="0"/>
        <w:adjustRightInd w:val="0"/>
        <w:spacing w:line="584" w:lineRule="exact"/>
        <w:ind w:firstLine="630" w:firstLineChars="196"/>
        <w:jc w:val="left"/>
        <w:rPr>
          <w:rFonts w:ascii="仿宋" w:hAnsi="仿宋" w:eastAsia="仿宋" w:cs="Times New Roman"/>
          <w:b/>
          <w:sz w:val="32"/>
          <w:szCs w:val="32"/>
        </w:rPr>
      </w:pPr>
      <w:r>
        <w:rPr>
          <w:rFonts w:hint="eastAsia" w:ascii="仿宋" w:hAnsi="仿宋" w:eastAsia="仿宋" w:cs="Times New Roman"/>
          <w:b/>
          <w:sz w:val="32"/>
          <w:szCs w:val="32"/>
        </w:rPr>
        <w:t>机构设置：</w:t>
      </w:r>
    </w:p>
    <w:p>
      <w:pPr>
        <w:spacing w:line="584" w:lineRule="exact"/>
        <w:jc w:val="center"/>
        <w:outlineLvl w:val="0"/>
        <w:rPr>
          <w:rFonts w:ascii="仿宋" w:hAnsi="仿宋" w:eastAsia="仿宋" w:cs="Times New Roman"/>
          <w:b/>
          <w:sz w:val="32"/>
          <w:szCs w:val="24"/>
        </w:rPr>
      </w:pPr>
      <w:r>
        <w:rPr>
          <w:rFonts w:hint="eastAsia" w:ascii="仿宋" w:hAnsi="仿宋" w:eastAsia="仿宋"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仿宋" w:hAnsi="仿宋" w:eastAsia="仿宋" w:cs="Times New Roman"/>
                <w:b/>
                <w:szCs w:val="24"/>
              </w:rPr>
            </w:pPr>
            <w:r>
              <w:rPr>
                <w:rFonts w:hint="eastAsia" w:ascii="仿宋" w:hAnsi="仿宋" w:eastAsia="仿宋" w:cs="Times New Roman"/>
                <w:b/>
                <w:szCs w:val="24"/>
              </w:rPr>
              <w:t>单位名称</w:t>
            </w:r>
          </w:p>
        </w:tc>
        <w:tc>
          <w:tcPr>
            <w:tcW w:w="1134" w:type="dxa"/>
            <w:vMerge w:val="restart"/>
            <w:vAlign w:val="center"/>
          </w:tcPr>
          <w:p>
            <w:pPr>
              <w:spacing w:line="584" w:lineRule="exact"/>
              <w:jc w:val="center"/>
              <w:rPr>
                <w:rFonts w:ascii="仿宋" w:hAnsi="仿宋" w:eastAsia="仿宋" w:cs="Times New Roman"/>
                <w:b/>
                <w:szCs w:val="24"/>
              </w:rPr>
            </w:pPr>
            <w:r>
              <w:rPr>
                <w:rFonts w:hint="eastAsia" w:ascii="仿宋" w:hAnsi="仿宋" w:eastAsia="仿宋" w:cs="Times New Roman"/>
                <w:b/>
                <w:szCs w:val="24"/>
              </w:rPr>
              <w:t>单位性质</w:t>
            </w:r>
          </w:p>
        </w:tc>
        <w:tc>
          <w:tcPr>
            <w:tcW w:w="1276" w:type="dxa"/>
            <w:vMerge w:val="restart"/>
            <w:vAlign w:val="center"/>
          </w:tcPr>
          <w:p>
            <w:pPr>
              <w:spacing w:line="584" w:lineRule="exact"/>
              <w:jc w:val="center"/>
              <w:rPr>
                <w:rFonts w:ascii="仿宋" w:hAnsi="仿宋" w:eastAsia="仿宋" w:cs="Times New Roman"/>
                <w:b/>
                <w:szCs w:val="24"/>
              </w:rPr>
            </w:pPr>
            <w:r>
              <w:rPr>
                <w:rFonts w:hint="eastAsia" w:ascii="仿宋" w:hAnsi="仿宋" w:eastAsia="仿宋" w:cs="Times New Roman"/>
                <w:b/>
                <w:szCs w:val="24"/>
              </w:rPr>
              <w:t>单位规格</w:t>
            </w:r>
          </w:p>
        </w:tc>
        <w:tc>
          <w:tcPr>
            <w:tcW w:w="2902" w:type="dxa"/>
            <w:vMerge w:val="restart"/>
            <w:vAlign w:val="center"/>
          </w:tcPr>
          <w:p>
            <w:pPr>
              <w:spacing w:line="584" w:lineRule="exact"/>
              <w:jc w:val="center"/>
              <w:rPr>
                <w:rFonts w:ascii="仿宋" w:hAnsi="仿宋" w:eastAsia="仿宋" w:cs="Times New Roman"/>
                <w:b/>
                <w:szCs w:val="24"/>
              </w:rPr>
            </w:pPr>
            <w:r>
              <w:rPr>
                <w:rFonts w:hint="eastAsia" w:ascii="仿宋" w:hAnsi="仿宋" w:eastAsia="仿宋"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rPr>
                <w:rFonts w:ascii="仿宋" w:hAnsi="仿宋" w:eastAsia="仿宋"/>
              </w:rPr>
            </w:pPr>
          </w:p>
        </w:tc>
        <w:tc>
          <w:tcPr>
            <w:tcW w:w="1134" w:type="dxa"/>
            <w:vMerge w:val="continue"/>
            <w:vAlign w:val="center"/>
          </w:tcPr>
          <w:p>
            <w:pPr>
              <w:rPr>
                <w:rFonts w:ascii="仿宋" w:hAnsi="仿宋" w:eastAsia="仿宋"/>
              </w:rPr>
            </w:pPr>
          </w:p>
        </w:tc>
        <w:tc>
          <w:tcPr>
            <w:tcW w:w="1276" w:type="dxa"/>
            <w:vMerge w:val="continue"/>
            <w:vAlign w:val="center"/>
          </w:tcPr>
          <w:p>
            <w:pPr>
              <w:rPr>
                <w:rFonts w:ascii="仿宋" w:hAnsi="仿宋" w:eastAsia="仿宋"/>
              </w:rPr>
            </w:pPr>
          </w:p>
        </w:tc>
        <w:tc>
          <w:tcPr>
            <w:tcW w:w="2902" w:type="dxa"/>
            <w:vMerge w:val="continue"/>
            <w:vAlign w:val="center"/>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仿宋" w:hAnsi="仿宋" w:eastAsia="仿宋" w:cs="Times New Roman"/>
                <w:b/>
              </w:rPr>
            </w:pPr>
            <w:r>
              <w:rPr>
                <w:rFonts w:hint="eastAsia" w:ascii="仿宋" w:hAnsi="仿宋" w:eastAsia="仿宋" w:cs="Times New Roman"/>
                <w:b/>
              </w:rPr>
              <w:t>中国共产党廊坊市广阳区委员会政法委员会</w:t>
            </w:r>
          </w:p>
        </w:tc>
        <w:tc>
          <w:tcPr>
            <w:tcW w:w="1134" w:type="dxa"/>
            <w:vAlign w:val="center"/>
          </w:tcPr>
          <w:p>
            <w:pPr>
              <w:spacing w:line="584" w:lineRule="exact"/>
              <w:jc w:val="center"/>
              <w:rPr>
                <w:rFonts w:ascii="仿宋" w:hAnsi="仿宋" w:eastAsia="仿宋" w:cs="Times New Roman"/>
                <w:b/>
              </w:rPr>
            </w:pPr>
            <w:r>
              <w:rPr>
                <w:rFonts w:hint="eastAsia" w:ascii="仿宋" w:hAnsi="仿宋" w:eastAsia="仿宋" w:cs="Times New Roman"/>
                <w:b/>
              </w:rPr>
              <w:t>行政机关</w:t>
            </w:r>
          </w:p>
        </w:tc>
        <w:tc>
          <w:tcPr>
            <w:tcW w:w="1276" w:type="dxa"/>
            <w:vAlign w:val="center"/>
          </w:tcPr>
          <w:p>
            <w:pPr>
              <w:spacing w:line="584" w:lineRule="exact"/>
              <w:jc w:val="center"/>
              <w:rPr>
                <w:rFonts w:ascii="仿宋" w:hAnsi="仿宋" w:eastAsia="仿宋" w:cs="Times New Roman"/>
                <w:b/>
              </w:rPr>
            </w:pPr>
            <w:r>
              <w:rPr>
                <w:rFonts w:hint="eastAsia" w:ascii="仿宋" w:hAnsi="仿宋" w:eastAsia="仿宋" w:cs="Times New Roman"/>
                <w:b/>
              </w:rPr>
              <w:t>正科级</w:t>
            </w:r>
          </w:p>
        </w:tc>
        <w:tc>
          <w:tcPr>
            <w:tcW w:w="2902" w:type="dxa"/>
            <w:vAlign w:val="center"/>
          </w:tcPr>
          <w:p>
            <w:pPr>
              <w:spacing w:line="584" w:lineRule="exact"/>
              <w:jc w:val="center"/>
              <w:rPr>
                <w:rFonts w:ascii="仿宋" w:hAnsi="仿宋" w:eastAsia="仿宋" w:cs="Times New Roman"/>
                <w:b/>
              </w:rPr>
            </w:pPr>
            <w:r>
              <w:rPr>
                <w:rFonts w:hint="eastAsia" w:ascii="仿宋" w:hAnsi="仿宋" w:eastAsia="仿宋"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仿宋" w:hAnsi="仿宋" w:eastAsia="仿宋" w:cs="Times New Roman"/>
              </w:rPr>
            </w:pPr>
          </w:p>
        </w:tc>
        <w:tc>
          <w:tcPr>
            <w:tcW w:w="1134" w:type="dxa"/>
            <w:vAlign w:val="center"/>
          </w:tcPr>
          <w:p>
            <w:pPr>
              <w:spacing w:line="584" w:lineRule="exact"/>
              <w:jc w:val="center"/>
              <w:rPr>
                <w:rFonts w:ascii="仿宋" w:hAnsi="仿宋" w:eastAsia="仿宋" w:cs="Times New Roman"/>
              </w:rPr>
            </w:pPr>
          </w:p>
        </w:tc>
        <w:tc>
          <w:tcPr>
            <w:tcW w:w="1276" w:type="dxa"/>
            <w:vAlign w:val="center"/>
          </w:tcPr>
          <w:p>
            <w:pPr>
              <w:spacing w:line="584" w:lineRule="exact"/>
              <w:jc w:val="center"/>
              <w:rPr>
                <w:rFonts w:ascii="仿宋" w:hAnsi="仿宋" w:eastAsia="仿宋" w:cs="Times New Roman"/>
              </w:rPr>
            </w:pPr>
          </w:p>
        </w:tc>
        <w:tc>
          <w:tcPr>
            <w:tcW w:w="2902" w:type="dxa"/>
            <w:vAlign w:val="center"/>
          </w:tcPr>
          <w:p>
            <w:pPr>
              <w:spacing w:line="584" w:lineRule="exact"/>
              <w:jc w:val="center"/>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仿宋" w:hAnsi="仿宋" w:eastAsia="仿宋" w:cs="Times New Roman"/>
              </w:rPr>
            </w:pPr>
          </w:p>
        </w:tc>
        <w:tc>
          <w:tcPr>
            <w:tcW w:w="1134" w:type="dxa"/>
            <w:vAlign w:val="center"/>
          </w:tcPr>
          <w:p>
            <w:pPr>
              <w:spacing w:line="584" w:lineRule="exact"/>
              <w:jc w:val="center"/>
              <w:rPr>
                <w:rFonts w:ascii="仿宋" w:hAnsi="仿宋" w:eastAsia="仿宋" w:cs="Times New Roman"/>
              </w:rPr>
            </w:pPr>
          </w:p>
        </w:tc>
        <w:tc>
          <w:tcPr>
            <w:tcW w:w="1276" w:type="dxa"/>
            <w:vAlign w:val="center"/>
          </w:tcPr>
          <w:p>
            <w:pPr>
              <w:spacing w:line="584" w:lineRule="exact"/>
              <w:jc w:val="center"/>
              <w:rPr>
                <w:rFonts w:ascii="仿宋" w:hAnsi="仿宋" w:eastAsia="仿宋" w:cs="Times New Roman"/>
              </w:rPr>
            </w:pPr>
          </w:p>
        </w:tc>
        <w:tc>
          <w:tcPr>
            <w:tcW w:w="2902" w:type="dxa"/>
            <w:vAlign w:val="center"/>
          </w:tcPr>
          <w:p>
            <w:pPr>
              <w:spacing w:line="584" w:lineRule="exact"/>
              <w:jc w:val="center"/>
              <w:rPr>
                <w:rFonts w:ascii="仿宋" w:hAnsi="仿宋" w:eastAsia="仿宋" w:cs="Times New Roman"/>
              </w:rPr>
            </w:pPr>
          </w:p>
        </w:tc>
      </w:tr>
    </w:tbl>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按照预算管理有关规定，目前我区部门预算的编制实行综合预算制度，即全部收入和支出都反映在预算中。中国共产党廊坊市广阳区委员会政法委员会机关及所属事业单位的收支包含在部门预算中。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w:t>
      </w:r>
      <w:r>
        <w:rPr>
          <w:rFonts w:hint="eastAsia" w:ascii="楷体" w:hAnsi="楷体" w:eastAsia="楷体" w:cs="Times New Roman"/>
          <w:b/>
          <w:sz w:val="32"/>
          <w:szCs w:val="32"/>
        </w:rPr>
        <w:t>、收入说明</w:t>
      </w:r>
    </w:p>
    <w:p>
      <w:pPr>
        <w:spacing w:line="584" w:lineRule="exact"/>
        <w:ind w:firstLine="640"/>
        <w:rPr>
          <w:rFonts w:ascii="仿宋" w:hAnsi="仿宋" w:eastAsia="仿宋" w:cs="Times New Roman"/>
          <w:sz w:val="32"/>
          <w:szCs w:val="32"/>
        </w:rPr>
      </w:pPr>
      <w:r>
        <w:rPr>
          <w:rFonts w:hint="eastAsia" w:ascii="仿宋" w:hAnsi="仿宋" w:eastAsia="仿宋" w:cs="Times New Roman"/>
          <w:sz w:val="32"/>
          <w:szCs w:val="32"/>
        </w:rPr>
        <w:t>反映本部门当年全部收入。</w:t>
      </w:r>
      <w:r>
        <w:rPr>
          <w:rFonts w:ascii="仿宋" w:hAnsi="仿宋" w:eastAsia="仿宋" w:cs="Times New Roman"/>
          <w:sz w:val="32"/>
          <w:szCs w:val="32"/>
        </w:rPr>
        <w:t>2021</w:t>
      </w:r>
      <w:r>
        <w:rPr>
          <w:rFonts w:hint="eastAsia" w:ascii="仿宋" w:hAnsi="仿宋" w:eastAsia="仿宋" w:cs="Times New Roman"/>
          <w:sz w:val="32"/>
          <w:szCs w:val="32"/>
        </w:rPr>
        <w:t>年预算收入</w:t>
      </w:r>
      <w:r>
        <w:rPr>
          <w:rFonts w:ascii="仿宋" w:hAnsi="仿宋" w:eastAsia="仿宋" w:cs="Times New Roman"/>
          <w:sz w:val="32"/>
          <w:szCs w:val="32"/>
        </w:rPr>
        <w:t>1598.70</w:t>
      </w:r>
      <w:r>
        <w:rPr>
          <w:rFonts w:hint="eastAsia" w:ascii="仿宋" w:hAnsi="仿宋" w:eastAsia="仿宋" w:cs="Times New Roman"/>
          <w:sz w:val="32"/>
          <w:szCs w:val="32"/>
        </w:rPr>
        <w:t>万元，其中：一般公共预算收入</w:t>
      </w:r>
      <w:r>
        <w:rPr>
          <w:rFonts w:ascii="仿宋" w:hAnsi="仿宋" w:eastAsia="仿宋" w:cs="Times New Roman"/>
          <w:sz w:val="32"/>
          <w:szCs w:val="32"/>
        </w:rPr>
        <w:t>1598.70</w:t>
      </w:r>
      <w:r>
        <w:rPr>
          <w:rFonts w:hint="eastAsia" w:ascii="仿宋" w:hAnsi="仿宋" w:eastAsia="仿宋" w:cs="Times New Roman"/>
          <w:sz w:val="32"/>
          <w:szCs w:val="32"/>
        </w:rPr>
        <w:t>万元，基金预算收入0万元，财政专户核拨收入0万元，其他来源收入0万元，上年结转0万元。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w:t>
      </w:r>
      <w:r>
        <w:rPr>
          <w:rFonts w:hint="eastAsia" w:ascii="楷体" w:hAnsi="楷体" w:eastAsia="楷体" w:cs="Times New Roman"/>
          <w:b/>
          <w:sz w:val="32"/>
          <w:szCs w:val="32"/>
        </w:rPr>
        <w:t>、支出说明</w:t>
      </w:r>
    </w:p>
    <w:p>
      <w:pPr>
        <w:spacing w:line="584" w:lineRule="exact"/>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收支预算总表支出栏、基本支出表、项目支出表按经济分类和支出功能分类科目编制，反映中国共产党廊坊市广阳区委员会政法委员会</w:t>
      </w:r>
      <w:r>
        <w:rPr>
          <w:rFonts w:ascii="仿宋" w:hAnsi="仿宋" w:eastAsia="仿宋" w:cs="Times New Roman"/>
          <w:sz w:val="32"/>
          <w:szCs w:val="32"/>
        </w:rPr>
        <w:t>2021</w:t>
      </w:r>
      <w:r>
        <w:rPr>
          <w:rFonts w:hint="eastAsia" w:ascii="仿宋" w:hAnsi="仿宋" w:eastAsia="仿宋" w:cs="Times New Roman"/>
          <w:sz w:val="32"/>
          <w:szCs w:val="32"/>
        </w:rPr>
        <w:t>年度部门预算中支出预算的总体情况。</w:t>
      </w:r>
      <w:r>
        <w:rPr>
          <w:rFonts w:ascii="仿宋" w:hAnsi="仿宋" w:eastAsia="仿宋" w:cs="Times New Roman"/>
          <w:sz w:val="32"/>
          <w:szCs w:val="32"/>
        </w:rPr>
        <w:t>2021</w:t>
      </w:r>
      <w:r>
        <w:rPr>
          <w:rFonts w:hint="eastAsia" w:ascii="仿宋" w:hAnsi="仿宋" w:eastAsia="仿宋" w:cs="Times New Roman"/>
          <w:sz w:val="32"/>
          <w:szCs w:val="32"/>
        </w:rPr>
        <w:t>年支出预算</w:t>
      </w:r>
      <w:r>
        <w:rPr>
          <w:rFonts w:ascii="仿宋" w:hAnsi="仿宋" w:eastAsia="仿宋" w:cs="Times New Roman"/>
          <w:sz w:val="32"/>
          <w:szCs w:val="32"/>
        </w:rPr>
        <w:t>1598.70</w:t>
      </w:r>
      <w:r>
        <w:rPr>
          <w:rFonts w:hint="eastAsia" w:ascii="仿宋" w:hAnsi="仿宋" w:eastAsia="仿宋" w:cs="Times New Roman"/>
          <w:sz w:val="32"/>
          <w:szCs w:val="32"/>
        </w:rPr>
        <w:t>万元，其中基本支出</w:t>
      </w:r>
      <w:r>
        <w:rPr>
          <w:rFonts w:ascii="仿宋" w:hAnsi="仿宋" w:eastAsia="仿宋" w:cs="Times New Roman"/>
          <w:sz w:val="32"/>
          <w:szCs w:val="32"/>
        </w:rPr>
        <w:t>364.90</w:t>
      </w:r>
      <w:r>
        <w:rPr>
          <w:rFonts w:hint="eastAsia" w:ascii="仿宋" w:hAnsi="仿宋" w:eastAsia="仿宋" w:cs="Times New Roman"/>
          <w:sz w:val="32"/>
          <w:szCs w:val="32"/>
        </w:rPr>
        <w:t>万元，包括人员类项目经费</w:t>
      </w:r>
      <w:r>
        <w:rPr>
          <w:rFonts w:ascii="仿宋" w:hAnsi="仿宋" w:eastAsia="仿宋" w:cs="Times New Roman"/>
          <w:sz w:val="32"/>
          <w:szCs w:val="32"/>
        </w:rPr>
        <w:t>329.85</w:t>
      </w:r>
      <w:r>
        <w:rPr>
          <w:rFonts w:hint="eastAsia" w:ascii="仿宋" w:hAnsi="仿宋" w:eastAsia="仿宋" w:cs="Times New Roman"/>
          <w:sz w:val="32"/>
          <w:szCs w:val="32"/>
        </w:rPr>
        <w:t>万元和运转类公用项目经费</w:t>
      </w:r>
      <w:r>
        <w:rPr>
          <w:rFonts w:ascii="仿宋" w:hAnsi="仿宋" w:eastAsia="仿宋" w:cs="Times New Roman"/>
          <w:sz w:val="32"/>
          <w:szCs w:val="32"/>
        </w:rPr>
        <w:t>35.05</w:t>
      </w:r>
      <w:r>
        <w:rPr>
          <w:rFonts w:hint="eastAsia" w:ascii="仿宋" w:hAnsi="仿宋" w:eastAsia="仿宋" w:cs="Times New Roman"/>
          <w:sz w:val="32"/>
          <w:szCs w:val="32"/>
        </w:rPr>
        <w:t>万元；运转类其他及特定目标类项目支出</w:t>
      </w:r>
      <w:r>
        <w:rPr>
          <w:rFonts w:ascii="仿宋" w:hAnsi="仿宋" w:eastAsia="仿宋" w:cs="Times New Roman"/>
          <w:sz w:val="32"/>
          <w:szCs w:val="32"/>
        </w:rPr>
        <w:t>1233.80</w:t>
      </w:r>
      <w:r>
        <w:rPr>
          <w:rFonts w:hint="eastAsia" w:ascii="仿宋" w:hAnsi="仿宋" w:eastAsia="仿宋" w:cs="Times New Roman"/>
          <w:sz w:val="32"/>
          <w:szCs w:val="32"/>
        </w:rPr>
        <w:t>万元</w:t>
      </w:r>
      <w:r>
        <w:rPr>
          <w:rFonts w:ascii="仿宋" w:hAnsi="仿宋" w:eastAsia="仿宋" w:cs="Times New Roman"/>
          <w:sz w:val="32"/>
          <w:szCs w:val="32"/>
        </w:rPr>
        <w:t>，包括本级支出，主要为</w:t>
      </w:r>
      <w:r>
        <w:rPr>
          <w:rFonts w:hint="eastAsia" w:ascii="仿宋" w:hAnsi="仿宋" w:eastAsia="仿宋" w:cs="Times New Roman"/>
          <w:sz w:val="32"/>
          <w:szCs w:val="32"/>
        </w:rPr>
        <w:t>专职护路队员工资及保险、流动人口专管员工资及保险、创建枫桥式派出所项目经费。</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w:t>
      </w:r>
      <w:r>
        <w:rPr>
          <w:rFonts w:hint="eastAsia" w:ascii="楷体" w:hAnsi="楷体" w:eastAsia="楷体" w:cs="Times New Roman"/>
          <w:b/>
          <w:sz w:val="32"/>
          <w:szCs w:val="32"/>
        </w:rPr>
        <w:t>、比上年增减情况</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2021</w:t>
      </w:r>
      <w:r>
        <w:rPr>
          <w:rFonts w:hint="eastAsia" w:ascii="仿宋" w:hAnsi="仿宋" w:eastAsia="仿宋" w:cs="Times New Roman"/>
          <w:sz w:val="32"/>
          <w:szCs w:val="32"/>
        </w:rPr>
        <w:t>年预算收支安排</w:t>
      </w:r>
      <w:r>
        <w:rPr>
          <w:rFonts w:ascii="仿宋" w:hAnsi="仿宋" w:eastAsia="仿宋" w:cs="Times New Roman"/>
          <w:sz w:val="32"/>
          <w:szCs w:val="32"/>
        </w:rPr>
        <w:t>1598.70</w:t>
      </w:r>
      <w:r>
        <w:rPr>
          <w:rFonts w:hint="eastAsia" w:ascii="仿宋" w:hAnsi="仿宋" w:eastAsia="仿宋" w:cs="Times New Roman"/>
          <w:sz w:val="32"/>
          <w:szCs w:val="32"/>
        </w:rPr>
        <w:t>万元，较</w:t>
      </w:r>
      <w:r>
        <w:rPr>
          <w:rFonts w:ascii="仿宋" w:hAnsi="仿宋" w:eastAsia="仿宋" w:cs="Times New Roman"/>
          <w:sz w:val="32"/>
          <w:szCs w:val="32"/>
        </w:rPr>
        <w:t>2020</w:t>
      </w:r>
      <w:r>
        <w:rPr>
          <w:rFonts w:hint="eastAsia" w:ascii="仿宋" w:hAnsi="仿宋" w:eastAsia="仿宋" w:cs="Times New Roman"/>
          <w:sz w:val="32"/>
          <w:szCs w:val="32"/>
        </w:rPr>
        <w:t>年预算减少</w:t>
      </w:r>
      <w:r>
        <w:rPr>
          <w:rFonts w:ascii="仿宋" w:hAnsi="仿宋" w:eastAsia="仿宋" w:cs="Times New Roman"/>
          <w:sz w:val="32"/>
          <w:szCs w:val="32"/>
        </w:rPr>
        <w:t>170.49</w:t>
      </w:r>
      <w:r>
        <w:rPr>
          <w:rFonts w:hint="eastAsia" w:ascii="仿宋" w:hAnsi="仿宋" w:eastAsia="仿宋" w:cs="Times New Roman"/>
          <w:sz w:val="32"/>
          <w:szCs w:val="32"/>
        </w:rPr>
        <w:t>万元，其中：基本支出减少</w:t>
      </w:r>
      <w:r>
        <w:rPr>
          <w:rFonts w:ascii="仿宋" w:hAnsi="仿宋" w:eastAsia="仿宋" w:cs="Times New Roman"/>
          <w:sz w:val="32"/>
          <w:szCs w:val="32"/>
        </w:rPr>
        <w:t>17.69</w:t>
      </w:r>
      <w:r>
        <w:rPr>
          <w:rFonts w:hint="eastAsia" w:ascii="仿宋" w:hAnsi="仿宋" w:eastAsia="仿宋" w:cs="Times New Roman"/>
          <w:sz w:val="32"/>
          <w:szCs w:val="32"/>
        </w:rPr>
        <w:t>万元，主要为人员变化；项目支出减少</w:t>
      </w:r>
      <w:r>
        <w:rPr>
          <w:rFonts w:ascii="仿宋" w:hAnsi="仿宋" w:eastAsia="仿宋" w:cs="Times New Roman"/>
          <w:sz w:val="32"/>
          <w:szCs w:val="32"/>
        </w:rPr>
        <w:t>152.80</w:t>
      </w:r>
      <w:r>
        <w:rPr>
          <w:rFonts w:hint="eastAsia" w:ascii="仿宋" w:hAnsi="仿宋" w:eastAsia="仿宋" w:cs="Times New Roman"/>
          <w:sz w:val="32"/>
          <w:szCs w:val="32"/>
        </w:rPr>
        <w:t>万元，主要为项目支出减少。</w:t>
      </w:r>
    </w:p>
    <w:p>
      <w:pPr>
        <w:spacing w:line="58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 w:hAnsi="仿宋" w:eastAsia="仿宋" w:cs="Times New Roman"/>
          <w:sz w:val="32"/>
          <w:szCs w:val="32"/>
        </w:rPr>
      </w:pPr>
      <w:r>
        <w:rPr>
          <w:rFonts w:ascii="仿宋" w:hAnsi="仿宋" w:eastAsia="仿宋" w:cs="Times New Roman"/>
          <w:sz w:val="32"/>
          <w:szCs w:val="32"/>
        </w:rPr>
        <w:t>2021</w:t>
      </w:r>
      <w:r>
        <w:rPr>
          <w:rFonts w:hint="eastAsia" w:ascii="仿宋" w:hAnsi="仿宋" w:eastAsia="仿宋" w:cs="Times New Roman"/>
          <w:sz w:val="32"/>
          <w:szCs w:val="32"/>
        </w:rPr>
        <w:t>年，我单位机关运行经费共计安排</w:t>
      </w:r>
      <w:r>
        <w:rPr>
          <w:rFonts w:ascii="仿宋" w:hAnsi="仿宋" w:eastAsia="仿宋" w:cs="Times New Roman"/>
          <w:sz w:val="32"/>
          <w:szCs w:val="32"/>
        </w:rPr>
        <w:t>35.05</w:t>
      </w:r>
      <w:r>
        <w:rPr>
          <w:rFonts w:hint="eastAsia" w:ascii="仿宋" w:hAnsi="仿宋" w:eastAsia="仿宋" w:cs="Times New Roman"/>
          <w:sz w:val="32"/>
          <w:szCs w:val="32"/>
        </w:rPr>
        <w:t>万元，主要用于办公区的日常维修、办公用房水电费、办公用房取暖费、办公用房物业管理费等日常运行支出。</w:t>
      </w:r>
    </w:p>
    <w:p>
      <w:pPr>
        <w:spacing w:line="58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2021</w:t>
      </w:r>
      <w:r>
        <w:rPr>
          <w:rFonts w:hint="eastAsia" w:ascii="仿宋" w:hAnsi="仿宋" w:eastAsia="仿宋" w:cs="Times New Roman"/>
          <w:sz w:val="32"/>
          <w:szCs w:val="32"/>
        </w:rPr>
        <w:t>年，我单位财政拨款</w:t>
      </w:r>
      <w:r>
        <w:rPr>
          <w:rFonts w:ascii="仿宋" w:hAnsi="仿宋" w:eastAsia="仿宋" w:cs="Times New Roman"/>
          <w:sz w:val="32"/>
          <w:szCs w:val="32"/>
        </w:rPr>
        <w:t>“</w:t>
      </w:r>
      <w:r>
        <w:rPr>
          <w:rFonts w:hint="eastAsia" w:ascii="仿宋" w:hAnsi="仿宋" w:eastAsia="仿宋" w:cs="Times New Roman"/>
          <w:sz w:val="32"/>
          <w:szCs w:val="32"/>
        </w:rPr>
        <w:t>三公</w:t>
      </w:r>
      <w:r>
        <w:rPr>
          <w:rFonts w:ascii="仿宋" w:hAnsi="仿宋" w:eastAsia="仿宋" w:cs="Times New Roman"/>
          <w:sz w:val="32"/>
          <w:szCs w:val="32"/>
        </w:rPr>
        <w:t>”</w:t>
      </w:r>
      <w:r>
        <w:rPr>
          <w:rFonts w:hint="eastAsia" w:ascii="仿宋" w:hAnsi="仿宋" w:eastAsia="仿宋" w:cs="Times New Roman"/>
          <w:sz w:val="32"/>
          <w:szCs w:val="32"/>
        </w:rPr>
        <w:t>经费预算安排</w:t>
      </w:r>
      <w:r>
        <w:rPr>
          <w:rFonts w:ascii="仿宋" w:hAnsi="仿宋" w:eastAsia="仿宋" w:cs="Times New Roman"/>
          <w:sz w:val="32"/>
          <w:szCs w:val="32"/>
        </w:rPr>
        <w:t>6.57</w:t>
      </w:r>
      <w:r>
        <w:rPr>
          <w:rFonts w:hint="eastAsia" w:ascii="仿宋" w:hAnsi="仿宋" w:eastAsia="仿宋" w:cs="Times New Roman"/>
          <w:sz w:val="32"/>
          <w:szCs w:val="32"/>
        </w:rPr>
        <w:t>万元。其中，因公出国（境）费0万元；公务用车购置及运维费</w:t>
      </w:r>
      <w:r>
        <w:rPr>
          <w:rFonts w:ascii="仿宋" w:hAnsi="仿宋" w:eastAsia="仿宋" w:cs="Times New Roman"/>
          <w:sz w:val="32"/>
          <w:szCs w:val="32"/>
        </w:rPr>
        <w:t>6.57</w:t>
      </w:r>
      <w:r>
        <w:rPr>
          <w:rFonts w:hint="eastAsia" w:ascii="仿宋" w:hAnsi="仿宋" w:eastAsia="仿宋" w:cs="Times New Roman"/>
          <w:sz w:val="32"/>
          <w:szCs w:val="32"/>
        </w:rPr>
        <w:t>万元（其中：公务用车购置费为0万元，公务用车运维费</w:t>
      </w:r>
      <w:r>
        <w:rPr>
          <w:rFonts w:ascii="仿宋" w:hAnsi="仿宋" w:eastAsia="仿宋" w:cs="Times New Roman"/>
          <w:sz w:val="32"/>
          <w:szCs w:val="32"/>
        </w:rPr>
        <w:t>6.57</w:t>
      </w:r>
      <w:r>
        <w:rPr>
          <w:rFonts w:hint="eastAsia" w:ascii="仿宋" w:hAnsi="仿宋" w:eastAsia="仿宋" w:cs="Times New Roman"/>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；公务接待费0万元。与2020年相比持平，无增减变化。</w:t>
      </w:r>
    </w:p>
    <w:p>
      <w:pPr>
        <w:spacing w:line="58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560" w:firstLineChars="200"/>
        <w:jc w:val="left"/>
        <w:rPr>
          <w:rFonts w:ascii="仿宋" w:hAnsi="仿宋" w:eastAsia="仿宋"/>
          <w:sz w:val="28"/>
        </w:rPr>
      </w:pPr>
      <w:r>
        <w:rPr>
          <w:rFonts w:ascii="仿宋" w:hAnsi="仿宋" w:eastAsia="仿宋"/>
          <w:sz w:val="28"/>
        </w:rPr>
        <w:t>(1)</w:t>
      </w:r>
      <w:r>
        <w:rPr>
          <w:rFonts w:hint="eastAsia" w:ascii="仿宋" w:hAnsi="仿宋" w:eastAsia="仿宋"/>
          <w:sz w:val="28"/>
        </w:rPr>
        <w:t>深入贯彻习近平新时代中国特色社会主义思想</w:t>
      </w:r>
      <w:r>
        <w:rPr>
          <w:rFonts w:ascii="仿宋" w:hAnsi="仿宋" w:eastAsia="仿宋"/>
          <w:sz w:val="28"/>
        </w:rPr>
        <w:t>,</w:t>
      </w:r>
      <w:r>
        <w:rPr>
          <w:rFonts w:hint="eastAsia" w:ascii="仿宋" w:hAnsi="仿宋" w:eastAsia="仿宋"/>
          <w:sz w:val="28"/>
        </w:rPr>
        <w:t>坚持党对政法工作的绝对领导</w:t>
      </w:r>
      <w:r>
        <w:rPr>
          <w:rFonts w:ascii="仿宋" w:hAnsi="仿宋" w:eastAsia="仿宋"/>
          <w:sz w:val="28"/>
        </w:rPr>
        <w:t>,</w:t>
      </w:r>
      <w:r>
        <w:rPr>
          <w:rFonts w:hint="eastAsia" w:ascii="仿宋" w:hAnsi="仿宋" w:eastAsia="仿宋"/>
          <w:sz w:val="28"/>
        </w:rPr>
        <w:t>坚决维护习近平同志在党中央的核心、全党的核心地位</w:t>
      </w:r>
      <w:r>
        <w:rPr>
          <w:rFonts w:ascii="仿宋" w:hAnsi="仿宋" w:eastAsia="仿宋"/>
          <w:sz w:val="28"/>
        </w:rPr>
        <w:t>,</w:t>
      </w:r>
      <w:r>
        <w:rPr>
          <w:rFonts w:hint="eastAsia" w:ascii="仿宋" w:hAnsi="仿宋" w:eastAsia="仿宋"/>
          <w:sz w:val="28"/>
        </w:rPr>
        <w:t>坚决维护党中央权威和集中统一领导，深入贯彻党的路线方针政策和中央、省市区委的决策部署</w:t>
      </w:r>
      <w:r>
        <w:rPr>
          <w:rFonts w:ascii="仿宋" w:hAnsi="仿宋" w:eastAsia="仿宋"/>
          <w:sz w:val="28"/>
        </w:rPr>
        <w:t>,</w:t>
      </w:r>
      <w:r>
        <w:rPr>
          <w:rFonts w:hint="eastAsia" w:ascii="仿宋" w:hAnsi="仿宋" w:eastAsia="仿宋"/>
          <w:sz w:val="28"/>
        </w:rPr>
        <w:t>统一全区政法单位思想和行动</w:t>
      </w:r>
      <w:r>
        <w:rPr>
          <w:rFonts w:ascii="仿宋" w:hAnsi="仿宋" w:eastAsia="仿宋"/>
          <w:sz w:val="28"/>
        </w:rPr>
        <w:t>,</w:t>
      </w:r>
      <w:r>
        <w:rPr>
          <w:rFonts w:hint="eastAsia" w:ascii="仿宋" w:hAnsi="仿宋" w:eastAsia="仿宋"/>
          <w:sz w:val="28"/>
        </w:rPr>
        <w:t>确保全区政法单位坚定正确的政治方向。</w:t>
      </w:r>
    </w:p>
    <w:p>
      <w:pPr>
        <w:spacing w:line="500" w:lineRule="exact"/>
        <w:ind w:firstLine="560" w:firstLineChars="200"/>
        <w:jc w:val="left"/>
        <w:rPr>
          <w:rFonts w:ascii="仿宋" w:hAnsi="仿宋" w:eastAsia="仿宋"/>
          <w:sz w:val="28"/>
        </w:rPr>
      </w:pPr>
      <w:r>
        <w:rPr>
          <w:rFonts w:ascii="仿宋" w:hAnsi="仿宋" w:eastAsia="仿宋"/>
          <w:sz w:val="28"/>
        </w:rPr>
        <w:t>(2)</w:t>
      </w:r>
      <w:r>
        <w:rPr>
          <w:rFonts w:hint="eastAsia" w:ascii="仿宋" w:hAnsi="仿宋" w:eastAsia="仿宋"/>
          <w:sz w:val="28"/>
        </w:rPr>
        <w:t>对全区政法工作研究提出全局性部署</w:t>
      </w:r>
      <w:r>
        <w:rPr>
          <w:rFonts w:ascii="仿宋" w:hAnsi="仿宋" w:eastAsia="仿宋"/>
          <w:sz w:val="28"/>
        </w:rPr>
        <w:t>,</w:t>
      </w:r>
      <w:r>
        <w:rPr>
          <w:rFonts w:hint="eastAsia" w:ascii="仿宋" w:hAnsi="仿宋" w:eastAsia="仿宋"/>
          <w:sz w:val="28"/>
        </w:rPr>
        <w:t>推进平安广阳、法治广阳建设</w:t>
      </w:r>
      <w:r>
        <w:rPr>
          <w:rFonts w:ascii="仿宋" w:hAnsi="仿宋" w:eastAsia="仿宋"/>
          <w:sz w:val="28"/>
        </w:rPr>
        <w:t>,</w:t>
      </w:r>
      <w:r>
        <w:rPr>
          <w:rFonts w:hint="eastAsia" w:ascii="仿宋" w:hAnsi="仿宋" w:eastAsia="仿宋"/>
          <w:sz w:val="28"/>
        </w:rPr>
        <w:t>加强过硬队伍建设</w:t>
      </w:r>
      <w:r>
        <w:rPr>
          <w:rFonts w:ascii="仿宋" w:hAnsi="仿宋" w:eastAsia="仿宋"/>
          <w:sz w:val="28"/>
        </w:rPr>
        <w:t>,</w:t>
      </w:r>
      <w:r>
        <w:rPr>
          <w:rFonts w:hint="eastAsia" w:ascii="仿宋" w:hAnsi="仿宋" w:eastAsia="仿宋"/>
          <w:sz w:val="28"/>
        </w:rPr>
        <w:t>深化智能化建设</w:t>
      </w:r>
      <w:r>
        <w:rPr>
          <w:rFonts w:ascii="仿宋" w:hAnsi="仿宋" w:eastAsia="仿宋"/>
          <w:sz w:val="28"/>
        </w:rPr>
        <w:t>,</w:t>
      </w:r>
      <w:r>
        <w:rPr>
          <w:rFonts w:hint="eastAsia" w:ascii="仿宋" w:hAnsi="仿宋" w:eastAsia="仿宋"/>
          <w:sz w:val="28"/>
        </w:rPr>
        <w:t>坚决维护国家政治安全、确保社会大局稳定、促进社会公平正义、保障人民安居乐业。</w:t>
      </w:r>
    </w:p>
    <w:p>
      <w:pPr>
        <w:spacing w:line="500" w:lineRule="exact"/>
        <w:ind w:firstLine="560" w:firstLineChars="200"/>
        <w:jc w:val="left"/>
        <w:rPr>
          <w:rFonts w:ascii="仿宋" w:hAnsi="仿宋" w:eastAsia="仿宋"/>
          <w:sz w:val="28"/>
        </w:rPr>
      </w:pPr>
      <w:r>
        <w:rPr>
          <w:rFonts w:ascii="仿宋" w:hAnsi="仿宋" w:eastAsia="仿宋"/>
          <w:sz w:val="28"/>
        </w:rPr>
        <w:t>(3)</w:t>
      </w:r>
      <w:r>
        <w:rPr>
          <w:rFonts w:hint="eastAsia" w:ascii="仿宋" w:hAnsi="仿宋" w:eastAsia="仿宋"/>
          <w:sz w:val="28"/>
        </w:rPr>
        <w:t>了解掌握和分析研判政法工作情况动态</w:t>
      </w:r>
      <w:r>
        <w:rPr>
          <w:rFonts w:ascii="仿宋" w:hAnsi="仿宋" w:eastAsia="仿宋"/>
          <w:sz w:val="28"/>
        </w:rPr>
        <w:t>,</w:t>
      </w:r>
      <w:r>
        <w:rPr>
          <w:rFonts w:hint="eastAsia" w:ascii="仿宋" w:hAnsi="仿宋" w:eastAsia="仿宋"/>
          <w:sz w:val="28"/>
        </w:rPr>
        <w:t>分析社会</w:t>
      </w:r>
      <w:r>
        <w:rPr>
          <w:rFonts w:ascii="仿宋" w:hAnsi="仿宋" w:eastAsia="仿宋"/>
          <w:sz w:val="28"/>
        </w:rPr>
        <w:t xml:space="preserve"> </w:t>
      </w:r>
      <w:r>
        <w:rPr>
          <w:rFonts w:hint="eastAsia" w:ascii="仿宋" w:hAnsi="仿宋" w:eastAsia="仿宋"/>
          <w:sz w:val="28"/>
        </w:rPr>
        <w:t>稳定形势</w:t>
      </w:r>
      <w:r>
        <w:rPr>
          <w:rFonts w:ascii="仿宋" w:hAnsi="仿宋" w:eastAsia="仿宋"/>
          <w:sz w:val="28"/>
        </w:rPr>
        <w:t>,</w:t>
      </w:r>
      <w:r>
        <w:rPr>
          <w:rFonts w:hint="eastAsia" w:ascii="仿宋" w:hAnsi="仿宋" w:eastAsia="仿宋"/>
          <w:sz w:val="28"/>
        </w:rPr>
        <w:t>创新完善多部门参与的综治维稳工作机制</w:t>
      </w:r>
      <w:r>
        <w:rPr>
          <w:rFonts w:ascii="仿宋" w:hAnsi="仿宋" w:eastAsia="仿宋"/>
          <w:sz w:val="28"/>
        </w:rPr>
        <w:t>,</w:t>
      </w:r>
      <w:r>
        <w:rPr>
          <w:rFonts w:hint="eastAsia" w:ascii="仿宋" w:hAnsi="仿宋" w:eastAsia="仿宋"/>
          <w:sz w:val="28"/>
        </w:rPr>
        <w:t>协调推</w:t>
      </w:r>
      <w:r>
        <w:rPr>
          <w:rFonts w:ascii="仿宋" w:hAnsi="仿宋" w:eastAsia="仿宋"/>
          <w:sz w:val="28"/>
        </w:rPr>
        <w:t xml:space="preserve">                                       </w:t>
      </w:r>
      <w:r>
        <w:rPr>
          <w:rFonts w:hint="eastAsia" w:ascii="仿宋" w:hAnsi="仿宋" w:eastAsia="仿宋"/>
          <w:sz w:val="28"/>
        </w:rPr>
        <w:t>动预防、化解影响稳定的社会矛盾和风险</w:t>
      </w:r>
      <w:r>
        <w:rPr>
          <w:rFonts w:ascii="仿宋" w:hAnsi="仿宋" w:eastAsia="仿宋"/>
          <w:sz w:val="28"/>
        </w:rPr>
        <w:t>,</w:t>
      </w:r>
      <w:r>
        <w:rPr>
          <w:rFonts w:hint="eastAsia" w:ascii="仿宋" w:hAnsi="仿宋" w:eastAsia="仿宋"/>
          <w:sz w:val="28"/>
        </w:rPr>
        <w:t>协调应对和处置重</w:t>
      </w:r>
      <w:r>
        <w:rPr>
          <w:rFonts w:ascii="仿宋" w:hAnsi="仿宋" w:eastAsia="仿宋"/>
          <w:sz w:val="28"/>
        </w:rPr>
        <w:t xml:space="preserve"> </w:t>
      </w:r>
      <w:r>
        <w:rPr>
          <w:rFonts w:hint="eastAsia" w:ascii="仿宋" w:hAnsi="仿宋" w:eastAsia="仿宋"/>
          <w:sz w:val="28"/>
        </w:rPr>
        <w:t>大突发事件。</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4</w:t>
      </w:r>
      <w:r>
        <w:rPr>
          <w:rFonts w:ascii="仿宋" w:hAnsi="仿宋" w:eastAsia="仿宋"/>
          <w:sz w:val="28"/>
        </w:rPr>
        <w:t>)</w:t>
      </w:r>
      <w:r>
        <w:rPr>
          <w:rFonts w:hint="eastAsia" w:ascii="仿宋" w:hAnsi="仿宋" w:eastAsia="仿宋"/>
          <w:sz w:val="28"/>
        </w:rPr>
        <w:t>加强对政法工作的督查</w:t>
      </w:r>
      <w:r>
        <w:rPr>
          <w:rFonts w:ascii="仿宋" w:hAnsi="仿宋" w:eastAsia="仿宋"/>
          <w:sz w:val="28"/>
        </w:rPr>
        <w:t>,</w:t>
      </w:r>
      <w:r>
        <w:rPr>
          <w:rFonts w:hint="eastAsia" w:ascii="仿宋" w:hAnsi="仿宋" w:eastAsia="仿宋"/>
          <w:sz w:val="28"/>
        </w:rPr>
        <w:t>统筹协调社会治安综合治理、维护社会稳定、反邪教有关法律法规政策的实施工作。</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5</w:t>
      </w:r>
      <w:r>
        <w:rPr>
          <w:rFonts w:ascii="仿宋" w:hAnsi="仿宋" w:eastAsia="仿宋"/>
          <w:sz w:val="28"/>
        </w:rPr>
        <w:t>)</w:t>
      </w:r>
      <w:r>
        <w:rPr>
          <w:rFonts w:hint="eastAsia" w:ascii="仿宋" w:hAnsi="仿宋" w:eastAsia="仿宋"/>
          <w:sz w:val="28"/>
        </w:rPr>
        <w:t>组织开展政法领域的调查研究</w:t>
      </w:r>
      <w:r>
        <w:rPr>
          <w:rFonts w:ascii="仿宋" w:hAnsi="仿宋" w:eastAsia="仿宋"/>
          <w:sz w:val="28"/>
        </w:rPr>
        <w:t>,</w:t>
      </w:r>
      <w:r>
        <w:rPr>
          <w:rFonts w:hint="eastAsia" w:ascii="仿宋" w:hAnsi="仿宋" w:eastAsia="仿宋"/>
          <w:sz w:val="28"/>
        </w:rPr>
        <w:t>研究拟订政法工作的重大措施</w:t>
      </w:r>
      <w:r>
        <w:rPr>
          <w:rFonts w:ascii="仿宋" w:hAnsi="仿宋" w:eastAsia="仿宋"/>
          <w:sz w:val="28"/>
        </w:rPr>
        <w:t>,</w:t>
      </w:r>
      <w:r>
        <w:rPr>
          <w:rFonts w:hint="eastAsia" w:ascii="仿宋" w:hAnsi="仿宋" w:eastAsia="仿宋"/>
          <w:sz w:val="28"/>
        </w:rPr>
        <w:t>及时向区委提出建议。</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6</w:t>
      </w:r>
      <w:r>
        <w:rPr>
          <w:rFonts w:ascii="仿宋" w:hAnsi="仿宋" w:eastAsia="仿宋"/>
          <w:sz w:val="28"/>
        </w:rPr>
        <w:t>)</w:t>
      </w:r>
      <w:r>
        <w:rPr>
          <w:rFonts w:hint="eastAsia" w:ascii="仿宋" w:hAnsi="仿宋" w:eastAsia="仿宋"/>
          <w:sz w:val="28"/>
        </w:rPr>
        <w:t>掌握分析政法舆情动态</w:t>
      </w:r>
      <w:r>
        <w:rPr>
          <w:rFonts w:ascii="仿宋" w:hAnsi="仿宋" w:eastAsia="仿宋"/>
          <w:sz w:val="28"/>
        </w:rPr>
        <w:t>,</w:t>
      </w:r>
      <w:r>
        <w:rPr>
          <w:rFonts w:hint="eastAsia" w:ascii="仿宋" w:hAnsi="仿宋" w:eastAsia="仿宋"/>
          <w:sz w:val="28"/>
        </w:rPr>
        <w:t>指导协调政法单位媒体网络宣传工作</w:t>
      </w:r>
      <w:r>
        <w:rPr>
          <w:rFonts w:ascii="仿宋" w:hAnsi="仿宋" w:eastAsia="仿宋"/>
          <w:sz w:val="28"/>
        </w:rPr>
        <w:t>,</w:t>
      </w:r>
      <w:r>
        <w:rPr>
          <w:rFonts w:hint="eastAsia" w:ascii="仿宋" w:hAnsi="仿宋" w:eastAsia="仿宋"/>
          <w:sz w:val="28"/>
        </w:rPr>
        <w:t>指导政法单位做好涉及政法工作的重大宣传工作。</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7</w:t>
      </w:r>
      <w:r>
        <w:rPr>
          <w:rFonts w:ascii="仿宋" w:hAnsi="仿宋" w:eastAsia="仿宋"/>
          <w:sz w:val="28"/>
        </w:rPr>
        <w:t>)</w:t>
      </w:r>
      <w:r>
        <w:rPr>
          <w:rFonts w:hint="eastAsia" w:ascii="仿宋" w:hAnsi="仿宋" w:eastAsia="仿宋"/>
          <w:sz w:val="28"/>
        </w:rPr>
        <w:t>监督和支持政法单位依法行使职权</w:t>
      </w:r>
      <w:r>
        <w:rPr>
          <w:rFonts w:ascii="仿宋" w:hAnsi="仿宋" w:eastAsia="仿宋"/>
          <w:sz w:val="28"/>
        </w:rPr>
        <w:t>,</w:t>
      </w:r>
      <w:r>
        <w:rPr>
          <w:rFonts w:hint="eastAsia" w:ascii="仿宋" w:hAnsi="仿宋" w:eastAsia="仿宋"/>
          <w:sz w:val="28"/>
        </w:rPr>
        <w:t>指导和协调政法单位密切配合</w:t>
      </w:r>
      <w:r>
        <w:rPr>
          <w:rFonts w:ascii="仿宋" w:hAnsi="仿宋" w:eastAsia="仿宋"/>
          <w:sz w:val="28"/>
        </w:rPr>
        <w:t>,</w:t>
      </w:r>
      <w:r>
        <w:rPr>
          <w:rFonts w:hint="eastAsia" w:ascii="仿宋" w:hAnsi="仿宋" w:eastAsia="仿宋"/>
          <w:sz w:val="28"/>
        </w:rPr>
        <w:t>研究和协调重大、疑难案件</w:t>
      </w:r>
      <w:r>
        <w:rPr>
          <w:rFonts w:ascii="仿宋" w:hAnsi="仿宋" w:eastAsia="仿宋"/>
          <w:sz w:val="28"/>
        </w:rPr>
        <w:t>,</w:t>
      </w:r>
      <w:r>
        <w:rPr>
          <w:rFonts w:hint="eastAsia" w:ascii="仿宋" w:hAnsi="仿宋" w:eastAsia="仿宋"/>
          <w:sz w:val="28"/>
        </w:rPr>
        <w:t>指导政法单位涉法涉诉信访工作</w:t>
      </w:r>
      <w:r>
        <w:rPr>
          <w:rFonts w:ascii="仿宋" w:hAnsi="仿宋" w:eastAsia="仿宋"/>
          <w:sz w:val="28"/>
        </w:rPr>
        <w:t>,</w:t>
      </w:r>
      <w:r>
        <w:rPr>
          <w:rFonts w:hint="eastAsia" w:ascii="仿宋" w:hAnsi="仿宋" w:eastAsia="仿宋"/>
          <w:sz w:val="28"/>
        </w:rPr>
        <w:t>推进严格执法、公正司法。</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8</w:t>
      </w:r>
      <w:r>
        <w:rPr>
          <w:rFonts w:ascii="仿宋" w:hAnsi="仿宋" w:eastAsia="仿宋"/>
          <w:sz w:val="28"/>
        </w:rPr>
        <w:t>)</w:t>
      </w:r>
      <w:r>
        <w:rPr>
          <w:rFonts w:hint="eastAsia" w:ascii="仿宋" w:hAnsi="仿宋" w:eastAsia="仿宋"/>
          <w:sz w:val="28"/>
        </w:rPr>
        <w:t>组织研究政法改革中带有方向性、倾向性和普遍性的重大问题</w:t>
      </w:r>
      <w:r>
        <w:rPr>
          <w:rFonts w:ascii="仿宋" w:hAnsi="仿宋" w:eastAsia="仿宋"/>
          <w:sz w:val="28"/>
        </w:rPr>
        <w:t>,</w:t>
      </w:r>
      <w:r>
        <w:rPr>
          <w:rFonts w:hint="eastAsia" w:ascii="仿宋" w:hAnsi="仿宋" w:eastAsia="仿宋"/>
          <w:sz w:val="28"/>
        </w:rPr>
        <w:t>深化政法改革</w:t>
      </w:r>
      <w:r>
        <w:rPr>
          <w:rFonts w:ascii="仿宋" w:hAnsi="仿宋" w:eastAsia="仿宋"/>
          <w:sz w:val="28"/>
        </w:rPr>
        <w:t>,</w:t>
      </w:r>
      <w:r>
        <w:rPr>
          <w:rFonts w:hint="eastAsia" w:ascii="仿宋" w:hAnsi="仿宋" w:eastAsia="仿宋"/>
          <w:sz w:val="28"/>
        </w:rPr>
        <w:t>联系区委全面依法治区</w:t>
      </w:r>
      <w:r>
        <w:rPr>
          <w:rFonts w:hint="eastAsia" w:ascii="仿宋" w:hAnsi="仿宋" w:eastAsia="仿宋"/>
          <w:sz w:val="28"/>
          <w:lang w:eastAsia="zh-CN"/>
        </w:rPr>
        <w:t>委员会办公室</w:t>
      </w:r>
      <w:r>
        <w:rPr>
          <w:rFonts w:hint="eastAsia" w:ascii="仿宋" w:hAnsi="仿宋" w:eastAsia="仿宋"/>
          <w:sz w:val="28"/>
        </w:rPr>
        <w:t>。</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9</w:t>
      </w:r>
      <w:r>
        <w:rPr>
          <w:rFonts w:ascii="仿宋" w:hAnsi="仿宋" w:eastAsia="仿宋"/>
          <w:sz w:val="28"/>
        </w:rPr>
        <w:t>)</w:t>
      </w:r>
      <w:r>
        <w:rPr>
          <w:rFonts w:hint="eastAsia" w:ascii="仿宋" w:hAnsi="仿宋" w:eastAsia="仿宋"/>
          <w:sz w:val="28"/>
        </w:rPr>
        <w:t>指导推动政法系统党的建设和政法队伍建设</w:t>
      </w:r>
      <w:r>
        <w:rPr>
          <w:rFonts w:ascii="仿宋" w:hAnsi="仿宋" w:eastAsia="仿宋"/>
          <w:sz w:val="28"/>
        </w:rPr>
        <w:t>,</w:t>
      </w:r>
      <w:r>
        <w:rPr>
          <w:rFonts w:hint="eastAsia" w:ascii="仿宋" w:hAnsi="仿宋" w:eastAsia="仿宋"/>
          <w:sz w:val="28"/>
        </w:rPr>
        <w:t>协调和指导全区见义勇为工作</w:t>
      </w:r>
      <w:r>
        <w:rPr>
          <w:rFonts w:ascii="仿宋" w:hAnsi="仿宋" w:eastAsia="仿宋"/>
          <w:sz w:val="28"/>
        </w:rPr>
        <w:t>,</w:t>
      </w:r>
      <w:r>
        <w:rPr>
          <w:rFonts w:hint="eastAsia" w:ascii="仿宋" w:hAnsi="仿宋" w:eastAsia="仿宋"/>
          <w:sz w:val="28"/>
        </w:rPr>
        <w:t>代管区法学会。</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10</w:t>
      </w:r>
      <w:r>
        <w:rPr>
          <w:rFonts w:ascii="仿宋" w:hAnsi="仿宋" w:eastAsia="仿宋"/>
          <w:sz w:val="28"/>
        </w:rPr>
        <w:t>)</w:t>
      </w:r>
      <w:r>
        <w:rPr>
          <w:rFonts w:hint="eastAsia" w:ascii="仿宋" w:hAnsi="仿宋" w:eastAsia="仿宋"/>
          <w:sz w:val="28"/>
        </w:rPr>
        <w:t>统筹推动全区政法系统信息化工作</w:t>
      </w:r>
      <w:r>
        <w:rPr>
          <w:rFonts w:ascii="仿宋" w:hAnsi="仿宋" w:eastAsia="仿宋"/>
          <w:sz w:val="28"/>
        </w:rPr>
        <w:t>,</w:t>
      </w:r>
      <w:r>
        <w:rPr>
          <w:rFonts w:hint="eastAsia" w:ascii="仿宋" w:hAnsi="仿宋" w:eastAsia="仿宋"/>
          <w:sz w:val="28"/>
        </w:rPr>
        <w:t>指导政法智能化建设。</w:t>
      </w:r>
      <w:r>
        <w:rPr>
          <w:rFonts w:ascii="仿宋" w:hAnsi="仿宋" w:eastAsia="仿宋"/>
          <w:sz w:val="28"/>
        </w:rPr>
        <w:t xml:space="preserve"> </w:t>
      </w:r>
    </w:p>
    <w:p>
      <w:pPr>
        <w:spacing w:line="500" w:lineRule="exact"/>
        <w:ind w:firstLine="560" w:firstLineChars="200"/>
        <w:jc w:val="left"/>
        <w:rPr>
          <w:rFonts w:ascii="仿宋" w:hAnsi="仿宋" w:eastAsia="仿宋"/>
          <w:sz w:val="28"/>
        </w:rPr>
      </w:pPr>
      <w:r>
        <w:rPr>
          <w:rFonts w:ascii="仿宋" w:hAnsi="仿宋" w:eastAsia="仿宋"/>
          <w:sz w:val="28"/>
        </w:rPr>
        <w:t>(</w:t>
      </w:r>
      <w:r>
        <w:rPr>
          <w:rFonts w:hint="eastAsia" w:ascii="仿宋" w:hAnsi="仿宋" w:eastAsia="仿宋"/>
          <w:sz w:val="28"/>
        </w:rPr>
        <w:t>11</w:t>
      </w:r>
      <w:r>
        <w:rPr>
          <w:rFonts w:ascii="仿宋" w:hAnsi="仿宋" w:eastAsia="仿宋"/>
          <w:sz w:val="28"/>
        </w:rPr>
        <w:t>)</w:t>
      </w:r>
      <w:r>
        <w:rPr>
          <w:rFonts w:hint="eastAsia" w:ascii="仿宋" w:hAnsi="仿宋" w:eastAsia="仿宋"/>
          <w:sz w:val="28"/>
        </w:rPr>
        <w:t>完成市委政法委、区委交办的其他任务。</w:t>
      </w:r>
    </w:p>
    <w:p>
      <w:pPr>
        <w:spacing w:line="500" w:lineRule="exact"/>
        <w:ind w:firstLine="643" w:firstLineChars="200"/>
        <w:jc w:val="left"/>
        <w:rPr>
          <w:rFonts w:ascii="仿宋" w:hAnsi="仿宋" w:eastAsia="仿宋"/>
          <w:sz w:val="28"/>
        </w:rPr>
      </w:pPr>
      <w:r>
        <w:rPr>
          <w:rFonts w:hint="eastAsia" w:ascii="楷体_GB2312" w:hAnsi="仿宋" w:eastAsia="楷体_GB2312" w:cs="Times New Roman"/>
          <w:b/>
          <w:sz w:val="32"/>
          <w:szCs w:val="32"/>
        </w:rPr>
        <w:t>（二）分项绩效目标</w:t>
      </w:r>
    </w:p>
    <w:p>
      <w:pPr>
        <w:spacing w:line="500" w:lineRule="exact"/>
        <w:ind w:firstLine="560" w:firstLineChars="200"/>
        <w:jc w:val="left"/>
        <w:rPr>
          <w:rFonts w:ascii="仿宋" w:hAnsi="仿宋" w:eastAsia="仿宋"/>
          <w:sz w:val="28"/>
        </w:rPr>
      </w:pPr>
      <w:r>
        <w:rPr>
          <w:rFonts w:ascii="仿宋" w:hAnsi="仿宋" w:eastAsia="仿宋"/>
          <w:sz w:val="28"/>
        </w:rPr>
        <w:t>1</w:t>
      </w:r>
      <w:r>
        <w:rPr>
          <w:rFonts w:hint="eastAsia" w:ascii="仿宋" w:hAnsi="仿宋" w:eastAsia="仿宋"/>
          <w:sz w:val="28"/>
        </w:rPr>
        <w:t>、对流管办、巡特警大队、护路办、应对突发事件工作组的工作经费及人员经费予以保障。</w:t>
      </w:r>
      <w:r>
        <w:rPr>
          <w:rFonts w:ascii="仿宋" w:hAnsi="仿宋" w:eastAsia="仿宋"/>
          <w:sz w:val="28"/>
        </w:rPr>
        <w:t xml:space="preserve"> </w:t>
      </w:r>
    </w:p>
    <w:p>
      <w:pPr>
        <w:spacing w:line="500" w:lineRule="exact"/>
        <w:ind w:firstLine="560" w:firstLineChars="200"/>
        <w:jc w:val="left"/>
        <w:rPr>
          <w:rFonts w:ascii="仿宋" w:hAnsi="仿宋" w:eastAsia="仿宋"/>
          <w:sz w:val="28"/>
        </w:rPr>
      </w:pPr>
      <w:r>
        <w:rPr>
          <w:rFonts w:ascii="仿宋" w:hAnsi="仿宋" w:eastAsia="仿宋"/>
          <w:sz w:val="28"/>
        </w:rPr>
        <w:t xml:space="preserve"> </w:t>
      </w:r>
      <w:r>
        <w:rPr>
          <w:rFonts w:hint="eastAsia" w:ascii="仿宋" w:hAnsi="仿宋" w:eastAsia="仿宋"/>
          <w:sz w:val="28"/>
        </w:rPr>
        <w:t>2、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p>
      <w:pPr>
        <w:spacing w:line="500" w:lineRule="exact"/>
        <w:ind w:firstLine="560" w:firstLineChars="200"/>
        <w:jc w:val="left"/>
        <w:rPr>
          <w:rFonts w:ascii="仿宋" w:hAnsi="仿宋" w:eastAsia="仿宋"/>
          <w:sz w:val="28"/>
        </w:rPr>
      </w:pPr>
      <w:r>
        <w:rPr>
          <w:rFonts w:hint="eastAsia" w:ascii="仿宋" w:hAnsi="仿宋" w:eastAsia="仿宋"/>
          <w:sz w:val="28"/>
        </w:rPr>
        <w:t>3、预防减少不稳定因素的发生，有效化解不稳定隐患、群体性事件和突发事件，维护国家安全工作。</w:t>
      </w:r>
      <w:r>
        <w:rPr>
          <w:rFonts w:ascii="仿宋" w:hAnsi="仿宋" w:eastAsia="仿宋"/>
          <w:sz w:val="28"/>
        </w:rPr>
        <w:t xml:space="preserve">                                                                                                                                         </w:t>
      </w:r>
      <w:r>
        <w:rPr>
          <w:rFonts w:hint="eastAsia" w:ascii="仿宋" w:hAnsi="仿宋" w:eastAsia="仿宋"/>
          <w:sz w:val="28"/>
        </w:rPr>
        <w:t xml:space="preserve">          </w:t>
      </w:r>
    </w:p>
    <w:p>
      <w:pPr>
        <w:spacing w:line="500" w:lineRule="exact"/>
        <w:ind w:firstLine="560" w:firstLineChars="200"/>
        <w:jc w:val="left"/>
        <w:rPr>
          <w:rFonts w:ascii="仿宋" w:hAnsi="仿宋" w:eastAsia="仿宋"/>
          <w:sz w:val="28"/>
        </w:rPr>
      </w:pPr>
      <w:r>
        <w:rPr>
          <w:rFonts w:hint="eastAsia" w:ascii="仿宋" w:hAnsi="仿宋" w:eastAsia="仿宋"/>
          <w:sz w:val="28"/>
        </w:rPr>
        <w:t>4、指导区扫黑除恶</w:t>
      </w:r>
      <w:r>
        <w:rPr>
          <w:rFonts w:ascii="仿宋" w:hAnsi="仿宋" w:eastAsia="仿宋"/>
          <w:sz w:val="28"/>
        </w:rPr>
        <w:t xml:space="preserve"> </w:t>
      </w:r>
      <w:r>
        <w:rPr>
          <w:rFonts w:hint="eastAsia" w:ascii="仿宋" w:hAnsi="仿宋" w:eastAsia="仿宋"/>
          <w:sz w:val="28"/>
        </w:rPr>
        <w:t>领导小组按职责开展工作；健全完善相关工作机制，筹备、组织、协调重要会议；定时向区委、区政府报告扫黑除恶开展情况。</w:t>
      </w:r>
    </w:p>
    <w:p>
      <w:pPr>
        <w:spacing w:line="584" w:lineRule="exact"/>
        <w:ind w:firstLine="643" w:firstLineChars="200"/>
        <w:rPr>
          <w:rFonts w:ascii="楷体_GB2312" w:hAnsi="仿宋" w:eastAsia="楷体_GB2312" w:cs="Times New Roman"/>
          <w:b/>
          <w:sz w:val="32"/>
          <w:szCs w:val="32"/>
        </w:rPr>
      </w:pPr>
      <w:r>
        <w:rPr>
          <w:rFonts w:hint="eastAsia" w:ascii="楷体_GB2312" w:hAnsi="仿宋" w:eastAsia="楷体_GB2312" w:cs="Times New Roman"/>
          <w:b/>
          <w:sz w:val="32"/>
          <w:szCs w:val="32"/>
        </w:rPr>
        <w:t>（三）工作保障措施</w:t>
      </w:r>
    </w:p>
    <w:p>
      <w:pPr>
        <w:spacing w:line="500" w:lineRule="exact"/>
        <w:ind w:firstLine="560" w:firstLineChars="200"/>
        <w:jc w:val="left"/>
        <w:rPr>
          <w:rFonts w:ascii="仿宋" w:hAnsi="仿宋" w:eastAsia="仿宋"/>
          <w:sz w:val="28"/>
        </w:rPr>
      </w:pPr>
      <w:r>
        <w:rPr>
          <w:rFonts w:ascii="仿宋" w:hAnsi="仿宋" w:eastAsia="仿宋"/>
          <w:sz w:val="28"/>
        </w:rPr>
        <w:t>1</w:t>
      </w:r>
      <w:r>
        <w:rPr>
          <w:rFonts w:hint="eastAsia" w:ascii="仿宋" w:hAnsi="仿宋" w:eastAsia="仿宋"/>
          <w:sz w:val="28"/>
        </w:rPr>
        <w:t>、责任明确。整体项目落实到科室，项目落实到个人的原则。</w:t>
      </w:r>
    </w:p>
    <w:p>
      <w:pPr>
        <w:spacing w:line="500" w:lineRule="exact"/>
        <w:ind w:firstLine="560" w:firstLineChars="200"/>
        <w:jc w:val="left"/>
        <w:rPr>
          <w:rFonts w:ascii="仿宋" w:hAnsi="仿宋" w:eastAsia="仿宋"/>
          <w:sz w:val="28"/>
        </w:rPr>
      </w:pPr>
      <w:r>
        <w:rPr>
          <w:rFonts w:ascii="仿宋" w:hAnsi="仿宋" w:eastAsia="仿宋"/>
          <w:sz w:val="28"/>
        </w:rPr>
        <w:t>2</w:t>
      </w:r>
      <w:r>
        <w:rPr>
          <w:rFonts w:hint="eastAsia" w:ascii="仿宋" w:hAnsi="仿宋" w:eastAsia="仿宋"/>
          <w:sz w:val="28"/>
        </w:rPr>
        <w:t>、制度建设。为了能更好的发挥预算绩效管理的最大潜能，我单位在以往的工作基础制定了内部操作的相关规定，设定的绩效目标合理，绩效指标细化、明确、清晰、可衡量。管理制度健全、制度执行有效、项目质量可控。</w:t>
      </w:r>
    </w:p>
    <w:p>
      <w:pPr>
        <w:spacing w:line="500" w:lineRule="exact"/>
        <w:ind w:firstLine="560" w:firstLineChars="200"/>
        <w:jc w:val="left"/>
        <w:rPr>
          <w:rFonts w:ascii="仿宋" w:hAnsi="仿宋" w:eastAsia="仿宋"/>
          <w:sz w:val="28"/>
        </w:rPr>
      </w:pPr>
      <w:r>
        <w:rPr>
          <w:rFonts w:ascii="仿宋" w:hAnsi="仿宋" w:eastAsia="仿宋"/>
          <w:sz w:val="28"/>
        </w:rPr>
        <w:t>3</w:t>
      </w:r>
      <w:r>
        <w:rPr>
          <w:rFonts w:hint="eastAsia" w:ascii="仿宋" w:hAnsi="仿宋" w:eastAsia="仿宋"/>
          <w:sz w:val="28"/>
        </w:rPr>
        <w:t>、绩效目标管理。我单位严格按照上级要求在规定的时间内报送绩效目标，将单位全部资金纳入绩效目标管理的资金总额，申报的绩效目标符合规定格式要求，相关内容完整，绩效目标设定符合项目特点，绩效指标设定负荷基本要求，并严格按照绩效目标落实各项日常工作。</w:t>
      </w:r>
    </w:p>
    <w:p>
      <w:pPr>
        <w:spacing w:line="500" w:lineRule="exact"/>
        <w:ind w:firstLine="560" w:firstLineChars="200"/>
        <w:jc w:val="left"/>
        <w:rPr>
          <w:rFonts w:ascii="仿宋" w:hAnsi="仿宋" w:eastAsia="仿宋"/>
          <w:sz w:val="28"/>
        </w:rPr>
      </w:pPr>
      <w:r>
        <w:rPr>
          <w:rFonts w:ascii="仿宋" w:hAnsi="仿宋" w:eastAsia="仿宋"/>
          <w:sz w:val="28"/>
        </w:rPr>
        <w:t>4</w:t>
      </w:r>
      <w:r>
        <w:rPr>
          <w:rFonts w:hint="eastAsia" w:ascii="仿宋" w:hAnsi="仿宋" w:eastAsia="仿宋"/>
          <w:sz w:val="28"/>
        </w:rPr>
        <w:t>、进一步健全和完善财务管理制度及内部控制制度，创新管理手段，用新思路、新方法，改进完善财务管理方法。</w:t>
      </w:r>
    </w:p>
    <w:p>
      <w:pPr>
        <w:spacing w:line="500" w:lineRule="exact"/>
        <w:ind w:firstLine="560" w:firstLineChars="200"/>
        <w:jc w:val="left"/>
        <w:rPr>
          <w:rFonts w:ascii="仿宋" w:hAnsi="仿宋" w:eastAsia="仿宋"/>
          <w:sz w:val="28"/>
        </w:rPr>
      </w:pPr>
      <w:r>
        <w:rPr>
          <w:rFonts w:ascii="仿宋" w:hAnsi="仿宋" w:eastAsia="仿宋"/>
          <w:sz w:val="28"/>
        </w:rPr>
        <w:t>5</w:t>
      </w:r>
      <w:r>
        <w:rPr>
          <w:rFonts w:hint="eastAsia" w:ascii="仿宋" w:hAnsi="仿宋" w:eastAsia="仿宋"/>
          <w:sz w:val="28"/>
        </w:rPr>
        <w:t>、按照财政支出绩效管理的要求，建立科学的财政资金效益考评制度体系，不断提高财政资金使用管理的水平和效率</w:t>
      </w:r>
    </w:p>
    <w:p>
      <w:pPr>
        <w:spacing w:line="500" w:lineRule="exact"/>
        <w:ind w:firstLine="643" w:firstLineChars="200"/>
        <w:jc w:val="left"/>
        <w:rPr>
          <w:rFonts w:hint="eastAsia" w:ascii="楷体_GB2312" w:hAnsi="仿宋" w:eastAsia="楷体_GB2312" w:cs="Times New Roman"/>
          <w:b/>
          <w:sz w:val="32"/>
          <w:szCs w:val="32"/>
        </w:rPr>
      </w:pPr>
      <w:r>
        <w:rPr>
          <w:rFonts w:ascii="楷体_GB2312" w:hAnsi="仿宋" w:eastAsia="楷体_GB2312" w:cs="Times New Roman"/>
          <w:b/>
          <w:sz w:val="32"/>
          <w:szCs w:val="32"/>
        </w:rPr>
        <w:t>（四）部门整体支出绩效指标</w:t>
      </w:r>
    </w:p>
    <w:p>
      <w:pPr>
        <w:spacing w:line="500" w:lineRule="exact"/>
        <w:ind w:firstLine="643" w:firstLineChars="200"/>
        <w:jc w:val="left"/>
        <w:rPr>
          <w:rFonts w:ascii="楷体_GB2312" w:hAnsi="仿宋" w:eastAsia="楷体_GB2312" w:cs="Times New Roman"/>
          <w:b/>
          <w:sz w:val="32"/>
          <w:szCs w:val="32"/>
        </w:rPr>
      </w:pP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专项资金保障范围</w:t>
            </w:r>
          </w:p>
        </w:tc>
        <w:tc>
          <w:tcPr>
            <w:tcW w:w="2172"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实际值与目标值一致得权重分的100%，每减少一次扣20%的权重分</w:t>
            </w:r>
          </w:p>
        </w:tc>
        <w:tc>
          <w:tcPr>
            <w:tcW w:w="148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开展扫黑活动的数量</w:t>
            </w:r>
          </w:p>
        </w:tc>
        <w:tc>
          <w:tcPr>
            <w:tcW w:w="54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488"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5</w:t>
            </w:r>
          </w:p>
        </w:tc>
        <w:tc>
          <w:tcPr>
            <w:tcW w:w="57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个</w:t>
            </w:r>
          </w:p>
        </w:tc>
        <w:tc>
          <w:tcPr>
            <w:tcW w:w="127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宣传印刷品合格率</w:t>
            </w:r>
          </w:p>
        </w:tc>
        <w:tc>
          <w:tcPr>
            <w:tcW w:w="2172"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实际值与目标值一致得权重分的100%，不一致不得分</w:t>
            </w:r>
          </w:p>
        </w:tc>
        <w:tc>
          <w:tcPr>
            <w:tcW w:w="148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护路宣传印刷品质量的合格情况</w:t>
            </w:r>
          </w:p>
        </w:tc>
        <w:tc>
          <w:tcPr>
            <w:tcW w:w="54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488"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100</w:t>
            </w:r>
          </w:p>
        </w:tc>
        <w:tc>
          <w:tcPr>
            <w:tcW w:w="57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127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jc w:val="center"/>
              <w:rPr>
                <w:rFonts w:ascii="方正书宋_GBK" w:eastAsia="方正书宋_GBK"/>
                <w:bCs/>
              </w:rPr>
            </w:pPr>
            <w:r>
              <w:rPr>
                <w:rFonts w:ascii="方正书宋_GBK" w:eastAsia="方正书宋_GBK"/>
                <w:bCs/>
              </w:rPr>
              <w:t>安全保卫工作完成率</w:t>
            </w:r>
          </w:p>
        </w:tc>
        <w:tc>
          <w:tcPr>
            <w:tcW w:w="2172"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lang w:eastAsia="zh-CN"/>
              </w:rPr>
              <w:t>全国两会</w:t>
            </w:r>
            <w:r>
              <w:rPr>
                <w:rFonts w:hint="eastAsia" w:ascii="方正书宋_GBK" w:eastAsia="方正书宋_GBK"/>
                <w:bCs/>
              </w:rPr>
              <w:t>“5.18”“暑期”“9.26”“国庆”等大型活动安保不得出事故否则不得分</w:t>
            </w:r>
          </w:p>
        </w:tc>
        <w:tc>
          <w:tcPr>
            <w:tcW w:w="148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lang w:eastAsia="zh-CN"/>
              </w:rPr>
              <w:t>全国两会</w:t>
            </w:r>
            <w:r>
              <w:rPr>
                <w:rFonts w:hint="eastAsia" w:ascii="方正书宋_GBK" w:eastAsia="方正书宋_GBK"/>
                <w:bCs/>
              </w:rPr>
              <w:t>“5.18”“暑期”“9.26”“国庆”等大型活动安保无重大事件</w:t>
            </w:r>
          </w:p>
        </w:tc>
        <w:tc>
          <w:tcPr>
            <w:tcW w:w="54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488"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100</w:t>
            </w:r>
          </w:p>
        </w:tc>
        <w:tc>
          <w:tcPr>
            <w:tcW w:w="57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127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冀发[2017]26号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公用经费控制率</w:t>
            </w:r>
          </w:p>
        </w:tc>
        <w:tc>
          <w:tcPr>
            <w:tcW w:w="2172"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1.三公经费实际支出数≤预算安排的三公经费数，得权重分的50%，否则不得分；2.日常公用经费决算数≤日常公用经费调整预算数，得权重分的50%，否则不得分</w:t>
            </w:r>
          </w:p>
        </w:tc>
        <w:tc>
          <w:tcPr>
            <w:tcW w:w="148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部门本年度实际支出的公用经费总额与预算安排的公用经费总额的比率，反映和考核部门对机构运转成本的实际可控制程度。</w:t>
            </w:r>
          </w:p>
        </w:tc>
        <w:tc>
          <w:tcPr>
            <w:tcW w:w="54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488"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100</w:t>
            </w:r>
          </w:p>
        </w:tc>
        <w:tc>
          <w:tcPr>
            <w:tcW w:w="573"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w:t>
            </w:r>
          </w:p>
        </w:tc>
        <w:tc>
          <w:tcPr>
            <w:tcW w:w="1277" w:type="dxa"/>
            <w:tcBorders>
              <w:tl2br w:val="nil"/>
              <w:tr2bl w:val="nil"/>
            </w:tcBorders>
            <w:vAlign w:val="center"/>
          </w:tcPr>
          <w:p>
            <w:pPr>
              <w:widowControl/>
              <w:adjustRightInd w:val="0"/>
              <w:snapToGrid w:val="0"/>
              <w:jc w:val="center"/>
              <w:rPr>
                <w:rFonts w:ascii="方正书宋_GBK" w:eastAsia="方正书宋_GBK"/>
                <w:bCs/>
              </w:rPr>
            </w:pPr>
            <w:r>
              <w:rPr>
                <w:rFonts w:hint="eastAsia" w:ascii="方正书宋_GBK" w:eastAsia="方正书宋_GBK"/>
                <w:bCs/>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维护社会稳定</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效果显著得权重分值的100%，效果一般得权重分值的50%，效果不明显不得分</w:t>
            </w:r>
          </w:p>
        </w:tc>
        <w:tc>
          <w:tcPr>
            <w:tcW w:w="148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通过有效的资金保障，有效维护国家政治安全和社会稳定</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有效维护社会稳定</w:t>
            </w:r>
          </w:p>
        </w:tc>
        <w:tc>
          <w:tcPr>
            <w:tcW w:w="12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群众满意度</w:t>
            </w:r>
          </w:p>
        </w:tc>
        <w:tc>
          <w:tcPr>
            <w:tcW w:w="2172"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实际值与目标值一致得权重分的100%，每减少10分扣20%的权重分，未达到60%不得分</w:t>
            </w:r>
          </w:p>
        </w:tc>
        <w:tc>
          <w:tcPr>
            <w:tcW w:w="1483"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考察人民群众对政法委工作的满意度情况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640" w:firstLineChars="200"/>
        <w:jc w:val="left"/>
        <w:outlineLvl w:val="3"/>
        <w:rPr>
          <w:rFonts w:ascii="仿宋" w:hAnsi="仿宋" w:eastAsia="仿宋"/>
          <w:sz w:val="32"/>
          <w:szCs w:val="32"/>
        </w:rPr>
      </w:pPr>
      <w:bookmarkStart w:id="0" w:name="_Toc67150277"/>
      <w:r>
        <w:rPr>
          <w:rFonts w:ascii="仿宋" w:hAnsi="仿宋" w:eastAsia="仿宋"/>
          <w:sz w:val="32"/>
          <w:szCs w:val="32"/>
        </w:rPr>
        <w:t>1.</w:t>
      </w:r>
      <w:r>
        <w:rPr>
          <w:rFonts w:hint="eastAsia" w:ascii="仿宋" w:hAnsi="仿宋" w:eastAsia="仿宋"/>
          <w:sz w:val="32"/>
          <w:szCs w:val="32"/>
        </w:rPr>
        <w:t>流动人口专管员工资及保险绩效目标表</w:t>
      </w:r>
      <w:bookmarkEnd w:id="0"/>
      <w:r>
        <w:rPr>
          <w:rFonts w:ascii="仿宋" w:hAnsi="仿宋" w:eastAsia="仿宋"/>
          <w:sz w:val="32"/>
          <w:szCs w:val="32"/>
        </w:rPr>
        <w:fldChar w:fldCharType="begin"/>
      </w:r>
      <w:r>
        <w:rPr>
          <w:rFonts w:ascii="仿宋" w:hAnsi="仿宋" w:eastAsia="仿宋"/>
          <w:sz w:val="32"/>
          <w:szCs w:val="32"/>
        </w:rPr>
        <w:instrText xml:space="preserve">tc "1</w:instrText>
      </w:r>
      <w:r>
        <w:rPr>
          <w:rFonts w:hint="eastAsia" w:ascii="仿宋" w:hAnsi="仿宋" w:eastAsia="仿宋"/>
          <w:sz w:val="32"/>
          <w:szCs w:val="32"/>
        </w:rPr>
        <w:instrText xml:space="preserve">、流动人口专管员工资及保险绩效目标表</w:instrText>
      </w:r>
      <w:r>
        <w:rPr>
          <w:rFonts w:ascii="仿宋" w:hAnsi="仿宋" w:eastAsia="仿宋"/>
          <w:sz w:val="32"/>
          <w:szCs w:val="32"/>
        </w:rPr>
        <w:instrText xml:space="preserve">" \f C \l 01</w:instrText>
      </w:r>
      <w:r>
        <w:rPr>
          <w:rFonts w:ascii="仿宋" w:hAnsi="仿宋" w:eastAsia="仿宋"/>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广阳区流动人口房屋租赁综合管理办公室是我区管理流动人口和房屋出租的中坚力量，目前，本资金主要解决流动人口专管员发放工资、缴纳社保的问题，确保区政法各部门人员待遇得到保障。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流动人口专管共有</w:t>
            </w:r>
            <w:r>
              <w:rPr>
                <w:rFonts w:ascii="方正书宋_GBK" w:eastAsia="方正书宋_GBK"/>
              </w:rPr>
              <w:t>227</w:t>
            </w:r>
            <w:r>
              <w:rPr>
                <w:rFonts w:hint="eastAsia" w:ascii="方正书宋_GBK" w:eastAsia="方正书宋_GBK"/>
              </w:rPr>
              <w:t>人</w:t>
            </w:r>
            <w:r>
              <w:rPr>
                <w:rFonts w:ascii="方正书宋_GBK" w:eastAsia="方正书宋_GBK"/>
              </w:rPr>
              <w:t>,</w:t>
            </w:r>
            <w:r>
              <w:rPr>
                <w:rFonts w:hint="eastAsia" w:ascii="方正书宋_GBK" w:eastAsia="方正书宋_GBK"/>
              </w:rPr>
              <w:t>月工资额</w:t>
            </w:r>
            <w:r>
              <w:rPr>
                <w:rFonts w:ascii="方正书宋_GBK" w:eastAsia="方正书宋_GBK"/>
              </w:rPr>
              <w:t>2500</w:t>
            </w:r>
            <w:r>
              <w:rPr>
                <w:rFonts w:hint="eastAsia" w:ascii="方正书宋_GBK" w:eastAsia="方正书宋_GBK"/>
              </w:rPr>
              <w:t>元，全年工资</w:t>
            </w:r>
            <w:r>
              <w:rPr>
                <w:rFonts w:ascii="方正书宋_GBK" w:eastAsia="方正书宋_GBK"/>
              </w:rPr>
              <w:t>681</w:t>
            </w:r>
            <w:r>
              <w:rPr>
                <w:rFonts w:hint="eastAsia" w:ascii="方正书宋_GBK" w:eastAsia="方正书宋_GBK"/>
              </w:rPr>
              <w:t>万元，保险费</w:t>
            </w:r>
            <w:r>
              <w:rPr>
                <w:rFonts w:ascii="方正书宋_GBK" w:eastAsia="方正书宋_GBK"/>
              </w:rPr>
              <w:t>411.6</w:t>
            </w:r>
            <w:r>
              <w:rPr>
                <w:rFonts w:hint="eastAsia" w:ascii="方正书宋_GBK" w:eastAsia="方正书宋_GBK"/>
              </w:rPr>
              <w:t>万元。保障工资发放及时，保险缴纳及时。</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发放人数</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考察应发放工资及缴纳社保人数</w:t>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ascii="方正书宋_GBK" w:eastAsia="方正书宋_GBK"/>
              </w:rPr>
              <w:t>227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冀发</w:t>
            </w:r>
            <w:r>
              <w:rPr>
                <w:rFonts w:ascii="方正书宋_GBK" w:eastAsia="方正书宋_GBK"/>
              </w:rPr>
              <w:t>[2017]26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及时发放工资月份占全年的百分比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冀发</w:t>
            </w:r>
            <w:r>
              <w:rPr>
                <w:rFonts w:ascii="方正书宋_GBK" w:eastAsia="方正书宋_GBK"/>
              </w:rPr>
              <w:t>[2017]26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vAlign w:val="center"/>
          </w:tcPr>
          <w:p>
            <w:pPr>
              <w:spacing w:line="300" w:lineRule="exact"/>
              <w:jc w:val="left"/>
              <w:rPr>
                <w:rFonts w:ascii="方正书宋_GBK" w:eastAsia="方正书宋_GBK"/>
              </w:rPr>
            </w:pPr>
            <w:r>
              <w:rPr>
                <w:rFonts w:ascii="方正书宋_GBK" w:eastAsia="方正书宋_GBK"/>
              </w:rPr>
              <w:t>1109.8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冀发</w:t>
            </w:r>
            <w:r>
              <w:rPr>
                <w:rFonts w:ascii="方正书宋_GBK" w:eastAsia="方正书宋_GBK"/>
              </w:rPr>
              <w:t>[2017]26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保险缴纳及时率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及时缴纳月份占全年月份的百分比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流管员的满意度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流管员认为发放工资及时的人数占总人数的百分比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冀发</w:t>
            </w:r>
            <w:r>
              <w:rPr>
                <w:rFonts w:ascii="方正书宋_GBK" w:eastAsia="方正书宋_GBK"/>
              </w:rPr>
              <w:t>[2017]26</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640" w:firstLineChars="200"/>
        <w:jc w:val="left"/>
        <w:outlineLvl w:val="3"/>
        <w:rPr>
          <w:rFonts w:ascii="仿宋" w:hAnsi="仿宋" w:eastAsia="仿宋"/>
          <w:sz w:val="28"/>
        </w:rPr>
      </w:pPr>
      <w:bookmarkStart w:id="1" w:name="_Toc67150279"/>
      <w:r>
        <w:rPr>
          <w:rFonts w:hint="eastAsia" w:ascii="仿宋" w:hAnsi="仿宋" w:eastAsia="仿宋"/>
          <w:sz w:val="32"/>
        </w:rPr>
        <w:t>2</w:t>
      </w:r>
      <w:r>
        <w:rPr>
          <w:rFonts w:ascii="仿宋" w:hAnsi="仿宋" w:eastAsia="仿宋"/>
          <w:sz w:val="32"/>
        </w:rPr>
        <w:t>.</w:t>
      </w:r>
      <w:r>
        <w:rPr>
          <w:rFonts w:hint="eastAsia" w:ascii="仿宋" w:hAnsi="仿宋" w:eastAsia="仿宋"/>
          <w:sz w:val="32"/>
        </w:rPr>
        <w:t>创建枫桥式派出所项目经费绩效目标表</w:t>
      </w:r>
      <w:bookmarkEnd w:id="1"/>
      <w:r>
        <w:rPr>
          <w:rFonts w:ascii="仿宋" w:hAnsi="仿宋" w:eastAsia="仿宋"/>
          <w:sz w:val="28"/>
        </w:rPr>
        <w:fldChar w:fldCharType="begin"/>
      </w:r>
      <w:r>
        <w:rPr>
          <w:rFonts w:ascii="仿宋" w:hAnsi="仿宋" w:eastAsia="仿宋"/>
          <w:sz w:val="28"/>
        </w:rPr>
        <w:instrText xml:space="preserve">tc "3</w:instrText>
      </w:r>
      <w:r>
        <w:rPr>
          <w:rFonts w:hint="eastAsia" w:ascii="仿宋" w:hAnsi="仿宋" w:eastAsia="仿宋"/>
          <w:sz w:val="28"/>
        </w:rPr>
        <w:instrText xml:space="preserve">、创建枫桥式派出所项目经费绩效目标表</w:instrText>
      </w:r>
      <w:r>
        <w:rPr>
          <w:rFonts w:ascii="仿宋" w:hAnsi="仿宋" w:eastAsia="仿宋"/>
          <w:sz w:val="28"/>
        </w:rPr>
        <w:instrText xml:space="preserve">" \f C \l 01</w:instrText>
      </w:r>
      <w:r>
        <w:rPr>
          <w:rFonts w:ascii="仿宋" w:hAnsi="仿宋" w:eastAsia="仿宋"/>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为认真贯彻落实公安部</w:t>
            </w:r>
            <w:r>
              <w:rPr>
                <w:rFonts w:ascii="方正书宋_GBK" w:eastAsia="方正书宋_GBK"/>
              </w:rPr>
              <w:t>“</w:t>
            </w:r>
            <w:r>
              <w:rPr>
                <w:rFonts w:hint="eastAsia" w:ascii="方正书宋_GBK" w:eastAsia="方正书宋_GBK"/>
              </w:rPr>
              <w:t>绍兴会议</w:t>
            </w:r>
            <w:r>
              <w:rPr>
                <w:rFonts w:ascii="方正书宋_GBK" w:eastAsia="方正书宋_GBK"/>
              </w:rPr>
              <w:t>”</w:t>
            </w:r>
            <w:r>
              <w:rPr>
                <w:rFonts w:hint="eastAsia" w:ascii="方正书宋_GBK" w:eastAsia="方正书宋_GBK"/>
              </w:rPr>
              <w:t>精神，贯彻落实习近平总书记关于</w:t>
            </w:r>
            <w:r>
              <w:rPr>
                <w:rFonts w:ascii="方正书宋_GBK" w:eastAsia="方正书宋_GBK"/>
              </w:rPr>
              <w:t>"</w:t>
            </w:r>
            <w:r>
              <w:rPr>
                <w:rFonts w:hint="eastAsia" w:ascii="方正书宋_GBK" w:eastAsia="方正书宋_GBK"/>
              </w:rPr>
              <w:t>把枫桥经验坚持好、发展好，把党的群众路线坚持好、贯彻好</w:t>
            </w:r>
            <w:r>
              <w:rPr>
                <w:rFonts w:ascii="方正书宋_GBK" w:eastAsia="方正书宋_GBK"/>
              </w:rPr>
              <w:t>"</w:t>
            </w:r>
            <w:r>
              <w:rPr>
                <w:rFonts w:hint="eastAsia" w:ascii="方正书宋_GBK" w:eastAsia="方正书宋_GBK"/>
              </w:rPr>
              <w:t>的重要指示精神，廊坊市公安局广阳分局力争在年底建成</w:t>
            </w:r>
            <w:r>
              <w:rPr>
                <w:rFonts w:ascii="方正书宋_GBK" w:eastAsia="方正书宋_GBK"/>
              </w:rPr>
              <w:t>12</w:t>
            </w:r>
            <w:r>
              <w:rPr>
                <w:rFonts w:hint="eastAsia" w:ascii="方正书宋_GBK" w:eastAsia="方正书宋_GBK"/>
              </w:rPr>
              <w:t>个枫桥式派出所。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为认真贯彻落实公安部</w:t>
            </w:r>
            <w:r>
              <w:rPr>
                <w:rFonts w:ascii="方正书宋_GBK" w:eastAsia="方正书宋_GBK"/>
              </w:rPr>
              <w:t>“</w:t>
            </w:r>
            <w:r>
              <w:rPr>
                <w:rFonts w:hint="eastAsia" w:ascii="方正书宋_GBK" w:eastAsia="方正书宋_GBK"/>
              </w:rPr>
              <w:t>绍兴会议</w:t>
            </w:r>
            <w:r>
              <w:rPr>
                <w:rFonts w:ascii="方正书宋_GBK" w:eastAsia="方正书宋_GBK"/>
              </w:rPr>
              <w:t>”</w:t>
            </w:r>
            <w:r>
              <w:rPr>
                <w:rFonts w:hint="eastAsia" w:ascii="方正书宋_GBK" w:eastAsia="方正书宋_GBK"/>
              </w:rPr>
              <w:t>精神，贯彻落实习近平总书记关于</w:t>
            </w:r>
            <w:r>
              <w:rPr>
                <w:rFonts w:ascii="方正书宋_GBK" w:eastAsia="方正书宋_GBK"/>
              </w:rPr>
              <w:t>"</w:t>
            </w:r>
            <w:r>
              <w:rPr>
                <w:rFonts w:hint="eastAsia" w:ascii="方正书宋_GBK" w:eastAsia="方正书宋_GBK"/>
              </w:rPr>
              <w:t>把枫桥经验坚持好、发展好，把党的群众路线坚持好、贯彻好</w:t>
            </w:r>
            <w:r>
              <w:rPr>
                <w:rFonts w:ascii="方正书宋_GBK" w:eastAsia="方正书宋_GBK"/>
              </w:rPr>
              <w:t>"</w:t>
            </w:r>
            <w:r>
              <w:rPr>
                <w:rFonts w:hint="eastAsia" w:ascii="方正书宋_GBK" w:eastAsia="方正书宋_GBK"/>
              </w:rPr>
              <w:t>的重要指示精神，廊坊市公安局广阳分局力争在年底建成</w:t>
            </w:r>
            <w:r>
              <w:rPr>
                <w:rFonts w:ascii="方正书宋_GBK" w:eastAsia="方正书宋_GBK"/>
              </w:rPr>
              <w:t>12</w:t>
            </w:r>
            <w:r>
              <w:rPr>
                <w:rFonts w:hint="eastAsia" w:ascii="方正书宋_GBK" w:eastAsia="方正书宋_GBK"/>
              </w:rPr>
              <w:t>个枫桥式派出所。</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创建风桥式派出所数量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创建风桥式派出所数量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冀公传发</w:t>
            </w:r>
            <w:r>
              <w:rPr>
                <w:rFonts w:ascii="方正书宋_GBK" w:eastAsia="方正书宋_GBK"/>
              </w:rPr>
              <w:t>[2019]120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社区（驻村）民警占比率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社区（驻村）民警数占派出所正式警力占比率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冀公传发</w:t>
            </w:r>
            <w:r>
              <w:rPr>
                <w:rFonts w:ascii="方正书宋_GBK" w:eastAsia="方正书宋_GBK"/>
              </w:rPr>
              <w:t>[2019]120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在规定时效内完成的实际工作数占计划工作数比率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冀公传发</w:t>
            </w:r>
            <w:r>
              <w:rPr>
                <w:rFonts w:ascii="方正书宋_GBK" w:eastAsia="方正书宋_GBK"/>
              </w:rPr>
              <w:t>[2019]120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资金投入量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对项目经费进行控制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冀公传发</w:t>
            </w:r>
            <w:r>
              <w:rPr>
                <w:rFonts w:ascii="方正书宋_GBK" w:eastAsia="方正书宋_GBK"/>
              </w:rPr>
              <w:t>[2019]120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群众对社区民警知晓率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知晓社区民警群众占全部群众比率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冀公传发</w:t>
            </w:r>
            <w:r>
              <w:rPr>
                <w:rFonts w:ascii="方正书宋_GBK" w:eastAsia="方正书宋_GBK"/>
              </w:rPr>
              <w:t>[2019]120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提高群众安全感和满意度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640" w:firstLineChars="200"/>
        <w:jc w:val="left"/>
        <w:outlineLvl w:val="3"/>
        <w:rPr>
          <w:rFonts w:ascii="仿宋" w:hAnsi="仿宋" w:eastAsia="仿宋"/>
          <w:sz w:val="32"/>
          <w:szCs w:val="32"/>
        </w:rPr>
      </w:pPr>
      <w:bookmarkStart w:id="2" w:name="_Toc67150280"/>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专职护路队员工资及保险绩效目标表</w:t>
      </w:r>
      <w:bookmarkEnd w:id="2"/>
      <w:r>
        <w:rPr>
          <w:rFonts w:ascii="仿宋" w:hAnsi="仿宋" w:eastAsia="仿宋"/>
          <w:sz w:val="32"/>
          <w:szCs w:val="32"/>
        </w:rPr>
        <w:fldChar w:fldCharType="begin"/>
      </w:r>
      <w:r>
        <w:rPr>
          <w:rFonts w:ascii="仿宋" w:hAnsi="仿宋" w:eastAsia="仿宋"/>
          <w:sz w:val="32"/>
          <w:szCs w:val="32"/>
        </w:rPr>
        <w:instrText xml:space="preserve">tc "4</w:instrText>
      </w:r>
      <w:r>
        <w:rPr>
          <w:rFonts w:hint="eastAsia" w:ascii="仿宋" w:hAnsi="仿宋" w:eastAsia="仿宋"/>
          <w:sz w:val="32"/>
          <w:szCs w:val="32"/>
        </w:rPr>
        <w:instrText xml:space="preserve">、专职护路队员工资及保险绩效目标表</w:instrText>
      </w:r>
      <w:r>
        <w:rPr>
          <w:rFonts w:ascii="仿宋" w:hAnsi="仿宋" w:eastAsia="仿宋"/>
          <w:sz w:val="32"/>
          <w:szCs w:val="32"/>
        </w:rPr>
        <w:instrText xml:space="preserve">" \f C \l 01</w:instrText>
      </w:r>
      <w:r>
        <w:rPr>
          <w:rFonts w:ascii="仿宋" w:hAnsi="仿宋" w:eastAsia="仿宋"/>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河北省所处特殊区位和担负的</w:t>
            </w:r>
            <w:r>
              <w:rPr>
                <w:rFonts w:ascii="方正书宋_GBK" w:eastAsia="方正书宋_GBK"/>
              </w:rPr>
              <w:t>“</w:t>
            </w:r>
            <w:r>
              <w:rPr>
                <w:rFonts w:hint="eastAsia" w:ascii="方正书宋_GBK" w:eastAsia="方正书宋_GBK"/>
              </w:rPr>
              <w:t>护城河</w:t>
            </w:r>
            <w:r>
              <w:rPr>
                <w:rFonts w:ascii="方正书宋_GBK" w:eastAsia="方正书宋_GBK"/>
              </w:rPr>
              <w:t>”</w:t>
            </w:r>
            <w:r>
              <w:rPr>
                <w:rFonts w:hint="eastAsia" w:ascii="方正书宋_GBK" w:eastAsia="方正书宋_GBK"/>
              </w:rPr>
              <w:t>保卫任务，加之当前面临严峻的铁路安全形势等实际情况，做好铁路护路联防工作，全力确保铁路在我市安全畅通。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做好铁路护路联防工作，全力确保铁路在我市安全畅通。确保工资发放及时，保险缴纳及时。</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廊综治办明传</w:t>
            </w:r>
            <w:r>
              <w:rPr>
                <w:rFonts w:ascii="方正书宋_GBK" w:eastAsia="方正书宋_GBK"/>
              </w:rPr>
              <w:t>[2015]32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足额发放工资比例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廊综治办明传</w:t>
            </w:r>
            <w:r>
              <w:rPr>
                <w:rFonts w:ascii="方正书宋_GBK" w:eastAsia="方正书宋_GBK"/>
              </w:rPr>
              <w:t>[2015]32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保险缴纳及时率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及时缴纳保险的月份占总月份的百分比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廊综治办明传</w:t>
            </w:r>
            <w:r>
              <w:rPr>
                <w:rFonts w:ascii="方正书宋_GBK" w:eastAsia="方正书宋_GBK"/>
              </w:rPr>
              <w:t>[2015]32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铁路安全事故无发生率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考察铁路在我市的安全情况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廊综治办明传</w:t>
            </w:r>
            <w:r>
              <w:rPr>
                <w:rFonts w:ascii="方正书宋_GBK" w:eastAsia="方正书宋_GBK"/>
              </w:rPr>
              <w:t>[2015]32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发放满意的人数占护路队队员总人数的百分比</w:t>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廊综治办明传</w:t>
            </w:r>
            <w:r>
              <w:rPr>
                <w:rFonts w:ascii="方正书宋_GBK" w:eastAsia="方正书宋_GBK"/>
              </w:rPr>
              <w:t>[2015]32</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年，我部门安排政府采购预算0万元。具体内容见下表。</w:t>
      </w:r>
    </w:p>
    <w:bookmarkEnd w:id="3"/>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4" w:name="_Toc64920910"/>
      <w:r>
        <w:rPr>
          <w:rFonts w:hint="eastAsia" w:ascii="方正小标宋_GBK" w:eastAsia="方正小标宋_GBK" w:cs="Times New Roman"/>
          <w:sz w:val="32"/>
        </w:rPr>
        <w:t>部门政府采购预算</w:t>
      </w:r>
      <w:bookmarkEnd w:id="4"/>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339</w:t>
            </w:r>
            <w:r>
              <w:rPr>
                <w:rFonts w:hint="eastAsia" w:ascii="方正书宋_GBK" w:eastAsia="方正书宋_GBK" w:cs="Times New Roman"/>
                <w:sz w:val="24"/>
              </w:rPr>
              <w:t>中国共产党廊坊市广阳区委员会政法委员会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中国共产党廊坊市广阳区委员会政法委员会（含所属单位）上年末固定资产金额为</w:t>
      </w:r>
      <w:r>
        <w:rPr>
          <w:rFonts w:ascii="Times New Roman" w:hAnsi="Times New Roman" w:eastAsia="仿宋_GB2312" w:cs="Times New Roman"/>
          <w:sz w:val="32"/>
          <w:szCs w:val="32"/>
        </w:rPr>
        <w:t>103.11</w:t>
      </w:r>
      <w:r>
        <w:rPr>
          <w:rFonts w:hint="eastAsia" w:ascii="Times New Roman" w:hAnsi="Times New Roman" w:eastAsia="仿宋_GB2312" w:cs="Times New Roman"/>
          <w:sz w:val="32"/>
          <w:szCs w:val="32"/>
        </w:rPr>
        <w:t>万元（详见下表），本年度我部门拟购置固定资产总额为</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廊坊市广阳区委员会政法委员会部门固定资产占用情况表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编制部门：中国共产党廊坊市广阳区委员会政法委员会</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103.11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169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103.11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13</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856CF"/>
    <w:rsid w:val="000D67EC"/>
    <w:rsid w:val="000F0027"/>
    <w:rsid w:val="00193446"/>
    <w:rsid w:val="001945C5"/>
    <w:rsid w:val="001B18FD"/>
    <w:rsid w:val="00301F9F"/>
    <w:rsid w:val="00356683"/>
    <w:rsid w:val="004A54AA"/>
    <w:rsid w:val="004C0601"/>
    <w:rsid w:val="005F3504"/>
    <w:rsid w:val="0068338F"/>
    <w:rsid w:val="006F187A"/>
    <w:rsid w:val="0070169B"/>
    <w:rsid w:val="007969E7"/>
    <w:rsid w:val="00807A76"/>
    <w:rsid w:val="008112BA"/>
    <w:rsid w:val="00825FA5"/>
    <w:rsid w:val="008401A0"/>
    <w:rsid w:val="008F0EB4"/>
    <w:rsid w:val="009A5048"/>
    <w:rsid w:val="00A218C6"/>
    <w:rsid w:val="00A807FC"/>
    <w:rsid w:val="00AA2824"/>
    <w:rsid w:val="00AC66D7"/>
    <w:rsid w:val="00B17B32"/>
    <w:rsid w:val="00B80935"/>
    <w:rsid w:val="00BF3A03"/>
    <w:rsid w:val="00C417C1"/>
    <w:rsid w:val="00D347CC"/>
    <w:rsid w:val="00E27CE3"/>
    <w:rsid w:val="00E76C51"/>
    <w:rsid w:val="00EC7761"/>
    <w:rsid w:val="00EF20A0"/>
    <w:rsid w:val="00FA18EC"/>
    <w:rsid w:val="0DF851AF"/>
    <w:rsid w:val="10846B31"/>
    <w:rsid w:val="29CA2719"/>
    <w:rsid w:val="2CBD7D6D"/>
    <w:rsid w:val="3BAA6E1F"/>
    <w:rsid w:val="684170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99"/>
    <w:rPr>
      <w:rFonts w:ascii="Times New Roman" w:hAnsi="Times New Roman" w:cs="Times New Roman"/>
      <w:szCs w:val="24"/>
    </w:rPr>
  </w:style>
  <w:style w:type="paragraph" w:styleId="6">
    <w:name w:val="footnote text"/>
    <w:basedOn w:val="1"/>
    <w:link w:val="14"/>
    <w:qFormat/>
    <w:uiPriority w:val="99"/>
    <w:pPr>
      <w:snapToGrid w:val="0"/>
      <w:jc w:val="left"/>
    </w:pPr>
    <w:rPr>
      <w:rFonts w:cs="Times New Roman"/>
      <w:sz w:val="18"/>
      <w:szCs w:val="18"/>
    </w:rPr>
  </w:style>
  <w:style w:type="paragraph" w:styleId="7">
    <w:name w:val="toc 2"/>
    <w:basedOn w:val="1"/>
    <w:next w:val="1"/>
    <w:uiPriority w:val="99"/>
    <w:pPr>
      <w:ind w:left="200" w:leftChars="200"/>
    </w:pPr>
    <w:rPr>
      <w:rFonts w:ascii="Times New Roman" w:hAnsi="Times New Roman" w:cs="Times New Roman"/>
      <w:szCs w:val="24"/>
    </w:rPr>
  </w:style>
  <w:style w:type="character" w:styleId="10">
    <w:name w:val="footnote reference"/>
    <w:uiPriority w:val="99"/>
    <w:rPr>
      <w:rFonts w:cs="Times New Roman"/>
      <w:vertAlign w:val="superscript"/>
    </w:rPr>
  </w:style>
  <w:style w:type="character" w:customStyle="1" w:styleId="11">
    <w:name w:val="批注框文本 Char"/>
    <w:link w:val="2"/>
    <w:semiHidden/>
    <w:uiPriority w:val="99"/>
    <w:rPr>
      <w:rFonts w:ascii="Calibri" w:hAnsi="Calibri" w:cs="Arial"/>
      <w:sz w:val="0"/>
      <w:szCs w:val="0"/>
    </w:rPr>
  </w:style>
  <w:style w:type="character" w:customStyle="1" w:styleId="12">
    <w:name w:val="页脚 Char"/>
    <w:link w:val="3"/>
    <w:semiHidden/>
    <w:qFormat/>
    <w:uiPriority w:val="99"/>
    <w:rPr>
      <w:rFonts w:ascii="Calibri" w:hAnsi="Calibri" w:cs="Arial"/>
      <w:sz w:val="18"/>
      <w:szCs w:val="18"/>
    </w:rPr>
  </w:style>
  <w:style w:type="character" w:customStyle="1" w:styleId="13">
    <w:name w:val="页眉 Char"/>
    <w:link w:val="4"/>
    <w:semiHidden/>
    <w:uiPriority w:val="99"/>
    <w:rPr>
      <w:rFonts w:ascii="Calibri" w:hAnsi="Calibri" w:cs="Arial"/>
      <w:sz w:val="18"/>
      <w:szCs w:val="18"/>
    </w:rPr>
  </w:style>
  <w:style w:type="character" w:customStyle="1" w:styleId="14">
    <w:name w:val="脚注文本 Char"/>
    <w:link w:val="6"/>
    <w:semiHidden/>
    <w:uiPriority w:val="99"/>
    <w:rPr>
      <w:rFonts w:ascii="Calibri" w:hAnsi="Calibri" w:cs="Arial"/>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1056</Words>
  <Characters>6025</Characters>
  <Lines>50</Lines>
  <Paragraphs>14</Paragraphs>
  <TotalTime>68</TotalTime>
  <ScaleCrop>false</ScaleCrop>
  <LinksUpToDate>false</LinksUpToDate>
  <CharactersWithSpaces>7067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2024-05-16T00:51:14Z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E0176E618A2E4A4D8E9424FB865888A6</vt:lpwstr>
  </property>
</Properties>
</file>