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8" w:name="_GoBack"/>
      <w:bookmarkEnd w:id="8"/>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第二十三小学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廊坊市第二十三小学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0"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正确贯彻执行党和国家的教育方针、政策、法规，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做好安全防范，保证学生的</w:t>
      </w:r>
      <w:r>
        <w:rPr>
          <w:rFonts w:hint="eastAsia" w:ascii="Times New Roman" w:hAnsi="Times New Roman" w:eastAsia="仿宋_GB2312" w:cs="Times New Roman"/>
          <w:sz w:val="32"/>
          <w:szCs w:val="32"/>
          <w:lang w:eastAsia="zh-CN"/>
        </w:rPr>
        <w:t>人身安全</w:t>
      </w:r>
      <w:r>
        <w:rPr>
          <w:rFonts w:hint="eastAsia" w:ascii="Times New Roman" w:hAnsi="Times New Roman" w:eastAsia="仿宋_GB2312" w:cs="Times New Roman"/>
          <w:sz w:val="32"/>
          <w:szCs w:val="32"/>
        </w:rPr>
        <w:t>。</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27"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12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4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39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4394"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廊坊市第二十三小学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p>
        </w:tc>
        <w:tc>
          <w:tcPr>
            <w:tcW w:w="439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w:t>
      </w:r>
      <w:r>
        <w:rPr>
          <w:rFonts w:hint="eastAsia" w:ascii="Times New Roman" w:hAnsi="Times New Roman" w:eastAsia="仿宋_GB2312" w:cs="Times New Roman"/>
          <w:sz w:val="32"/>
          <w:szCs w:val="32"/>
        </w:rPr>
        <w:t>二十三小</w:t>
      </w:r>
      <w:r>
        <w:rPr>
          <w:rFonts w:ascii="Times New Roman" w:hAnsi="Times New Roman" w:eastAsia="仿宋_GB2312" w:cs="Times New Roman"/>
          <w:sz w:val="32"/>
          <w:szCs w:val="32"/>
        </w:rPr>
        <w:t>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2年预算收入1161.59万元，其中：一般公共预算收入1161.59万元，基金预算收入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第二十三小学202</w:t>
      </w:r>
      <w:r>
        <w:rPr>
          <w:rFonts w:ascii="Times New Roman" w:hAnsi="Times New Roman" w:eastAsia="仿宋_GB2312" w:cs="Times New Roman"/>
          <w:sz w:val="32"/>
          <w:szCs w:val="32"/>
        </w:rPr>
        <w:t>2年度部门预算中支出预算的总体情况。20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2年支出预算1161.59万元，其中基本支出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万元；运转类其他及特定目标类项目支出1161.59万元。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2年预算收支安排1161.59万元，较20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ascii="Times New Roman" w:hAnsi="Times New Roman" w:eastAsia="仿宋_GB2312" w:cs="Times New Roman"/>
          <w:color w:val="000000" w:themeColor="text1"/>
          <w:sz w:val="32"/>
          <w:szCs w:val="32"/>
          <w14:textFill>
            <w14:solidFill>
              <w14:schemeClr w14:val="tx1"/>
            </w14:solidFill>
          </w14:textFill>
        </w:rPr>
        <w:t>946.07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增加946.07</w:t>
      </w:r>
      <w:r>
        <w:rPr>
          <w:rFonts w:ascii="Times New Roman" w:hAnsi="Times New Roman" w:eastAsia="仿宋_GB2312" w:cs="Times New Roman"/>
          <w:sz w:val="32"/>
          <w:szCs w:val="32"/>
        </w:rPr>
        <w:t>万元，主要项目支出增加</w:t>
      </w:r>
      <w:r>
        <w:rPr>
          <w:rFonts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合同制教师人员经费</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2年，我单位关运行经费共计安排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947" w:firstLineChars="2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推进义务教育均衡发展，建立中小学校舍安全保障机制，改善薄弱学校办学条件，提高素质教育水平，开展丰富多彩的教学活动。促进公共教育资源向农村和经济欠发达地区倾斜。</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1、发展城市义务教育  </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免除城市区中小学生学杂费，提高公用经费保障水平，为贫困中小学生免费提供教科书，</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对接收进城务工农民工子女的学校进行补助。</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改善城区中小学办学条件。</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保障中小学公用经费水平逐年提高，解决大班额问题及入学难问题。</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保障小学入学率。</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2、改善学校办学条件</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保障义务教育阶段学校基本教学条件，改善学校生活设施，保障后勤社会化服务，解决学校大班额问题。</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开展学生社会实践活动，建立学生实践教育基地，推进学校教育信息化。</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3、提升特殊教育保障水平</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保证教学设备设施配备齐全，保障学生校园安全，支持贫困学生和爱心家园学生完成学业。</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改善办学条件，配置基础教育资源。</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4、开展教师教研及学生德育活动</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开展各类课题研究、校本研究，加强教师培训和教学交流，加强德育培训与研究，举办各类教育教学活动。</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提高教师教学水平，调动教师积极性，培养专家型教师人才，提高学生的综合素质。</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1、提高义务教育水平，免除城市区中小学生学杂费，提供免费教科书，解决大班额问题及入学难问题。对贫困中小学生进行补助。</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2、按质按量完成教育教学方面的各项任务，稳步提升学校的教育教学质量，学生综合素质评价优秀率达到85%,合格率达到100%。</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7、办人民满意的学校,教师、学生、家长整体满意度达到90%以上。</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0" w:lineRule="exact"/>
        <w:ind w:firstLine="630"/>
        <w:rPr>
          <w:rFonts w:eastAsia="仿宋_GB2312"/>
          <w:sz w:val="32"/>
          <w:szCs w:val="32"/>
        </w:rPr>
      </w:pPr>
      <w:r>
        <w:rPr>
          <w:rFonts w:hint="eastAsia" w:eastAsia="仿宋_GB2312"/>
          <w:sz w:val="32"/>
          <w:szCs w:val="32"/>
        </w:rPr>
        <w:t>1、成立学校监督小组，监督学校工作，强化工作落实。</w:t>
      </w:r>
    </w:p>
    <w:p>
      <w:pPr>
        <w:spacing w:line="580" w:lineRule="exact"/>
        <w:ind w:firstLine="630"/>
        <w:rPr>
          <w:rFonts w:eastAsia="仿宋_GB2312"/>
          <w:sz w:val="32"/>
          <w:szCs w:val="32"/>
        </w:rPr>
      </w:pPr>
      <w:r>
        <w:rPr>
          <w:rFonts w:hint="eastAsia" w:eastAsia="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0" w:lineRule="exact"/>
        <w:ind w:firstLine="630"/>
        <w:rPr>
          <w:rFonts w:eastAsia="仿宋_GB2312"/>
          <w:sz w:val="32"/>
          <w:szCs w:val="32"/>
        </w:rPr>
      </w:pPr>
      <w:r>
        <w:rPr>
          <w:rFonts w:hint="eastAsia" w:eastAsia="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0" w:lineRule="exact"/>
        <w:ind w:firstLine="630"/>
        <w:rPr>
          <w:rFonts w:eastAsia="仿宋_GB2312"/>
          <w:sz w:val="32"/>
          <w:szCs w:val="32"/>
        </w:rPr>
      </w:pPr>
      <w:r>
        <w:rPr>
          <w:rFonts w:hint="eastAsia" w:eastAsia="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spacing w:line="580" w:lineRule="exact"/>
        <w:ind w:firstLine="630"/>
        <w:rPr>
          <w:rFonts w:eastAsia="仿宋_GB2312"/>
          <w:sz w:val="32"/>
          <w:szCs w:val="32"/>
        </w:rPr>
      </w:pPr>
      <w:r>
        <w:rPr>
          <w:rFonts w:hint="eastAsia" w:eastAsia="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spacing w:line="580" w:lineRule="exact"/>
        <w:ind w:firstLine="630"/>
        <w:rPr>
          <w:rFonts w:eastAsia="仿宋_GB2312"/>
          <w:sz w:val="32"/>
          <w:szCs w:val="32"/>
        </w:rPr>
      </w:pPr>
      <w:r>
        <w:rPr>
          <w:rFonts w:hint="eastAsia" w:eastAsia="仿宋_GB2312"/>
          <w:sz w:val="32"/>
          <w:szCs w:val="32"/>
        </w:rPr>
        <w:t>6、加强政治理论学习，强化党风廉政建设。做好师德传承活动，落实老中青传帮带。弘扬办学精神。加强师德宣传与学习活动。开展形式多样、扎实有效的师德教育活动。</w:t>
      </w:r>
    </w:p>
    <w:p>
      <w:pPr>
        <w:spacing w:line="580" w:lineRule="exact"/>
        <w:ind w:firstLine="630"/>
        <w:rPr>
          <w:rFonts w:hint="eastAsia" w:eastAsia="仿宋_GB2312"/>
          <w:sz w:val="32"/>
          <w:szCs w:val="32"/>
        </w:rPr>
      </w:pPr>
      <w:r>
        <w:rPr>
          <w:rFonts w:hint="eastAsia" w:eastAsia="仿宋_GB2312"/>
          <w:sz w:val="32"/>
          <w:szCs w:val="32"/>
        </w:rPr>
        <w:t>逐步制订、完善相关制度，规范教师师德。加强校本培训和继续教育工作，提升教师能力。落实教师评价工作，完善考核机制。搭建教师发展平台。</w:t>
      </w:r>
    </w:p>
    <w:p>
      <w:pPr>
        <w:spacing w:line="580" w:lineRule="exact"/>
        <w:ind w:firstLine="630"/>
        <w:rPr>
          <w:rFonts w:hint="eastAsia" w:eastAsia="仿宋_GB2312"/>
          <w:sz w:val="32"/>
          <w:szCs w:val="32"/>
        </w:rPr>
      </w:pPr>
    </w:p>
    <w:p>
      <w:pPr>
        <w:spacing w:line="580" w:lineRule="exact"/>
        <w:ind w:firstLine="630"/>
        <w:rPr>
          <w:rFonts w:hint="eastAsia" w:eastAsia="仿宋_GB2312"/>
          <w:sz w:val="32"/>
          <w:szCs w:val="32"/>
        </w:rPr>
      </w:pPr>
    </w:p>
    <w:p>
      <w:pPr>
        <w:spacing w:line="580" w:lineRule="exact"/>
        <w:ind w:firstLine="630"/>
        <w:rPr>
          <w:rFonts w:hint="eastAsia" w:eastAsia="仿宋_GB2312"/>
          <w:sz w:val="32"/>
          <w:szCs w:val="32"/>
        </w:rPr>
      </w:pPr>
    </w:p>
    <w:p>
      <w:pPr>
        <w:spacing w:line="580" w:lineRule="exact"/>
        <w:ind w:firstLine="630"/>
        <w:rPr>
          <w:rFonts w:hint="eastAsia" w:eastAsia="仿宋_GB2312"/>
          <w:sz w:val="32"/>
          <w:szCs w:val="32"/>
        </w:rPr>
      </w:pPr>
    </w:p>
    <w:p>
      <w:pPr>
        <w:spacing w:line="580" w:lineRule="exact"/>
        <w:ind w:firstLine="630"/>
        <w:rPr>
          <w:rFonts w:hint="eastAsia" w:eastAsia="仿宋_GB2312"/>
          <w:sz w:val="32"/>
          <w:szCs w:val="32"/>
        </w:rPr>
      </w:pPr>
    </w:p>
    <w:p>
      <w:pPr>
        <w:spacing w:line="580" w:lineRule="exact"/>
        <w:ind w:firstLine="630"/>
        <w:rPr>
          <w:rFonts w:hint="eastAsia" w:eastAsia="仿宋_GB2312"/>
          <w:sz w:val="32"/>
          <w:szCs w:val="32"/>
        </w:rPr>
      </w:pPr>
    </w:p>
    <w:p>
      <w:pPr>
        <w:numPr>
          <w:ilvl w:val="0"/>
          <w:numId w:val="1"/>
        </w:numPr>
        <w:overflowPunct w:val="0"/>
        <w:adjustRightInd w:val="0"/>
        <w:snapToGrid w:val="0"/>
        <w:spacing w:after="156" w:afterLines="50" w:line="580" w:lineRule="exact"/>
        <w:ind w:firstLine="627" w:firstLineChars="196"/>
        <w:jc w:val="left"/>
        <w:rPr>
          <w:rFonts w:eastAsia="仿宋_GB2312"/>
          <w:color w:val="000000"/>
          <w:kern w:val="0"/>
          <w:sz w:val="30"/>
          <w:szCs w:val="30"/>
        </w:rPr>
      </w:pPr>
      <w:r>
        <w:rPr>
          <w:rFonts w:hint="eastAsia" w:ascii="楷体_GB2312" w:eastAsia="楷体_GB2312" w:cs="Times New Roman"/>
          <w:b/>
          <w:sz w:val="32"/>
          <w:szCs w:val="32"/>
        </w:rPr>
        <w:t>部门整体支出绩效指标</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352"/>
        <w:gridCol w:w="1322"/>
        <w:gridCol w:w="1762"/>
        <w:gridCol w:w="3523"/>
        <w:gridCol w:w="706"/>
        <w:gridCol w:w="937"/>
        <w:gridCol w:w="1317"/>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0" w:type="pct"/>
            <w:gridSpan w:val="9"/>
            <w:shd w:val="clear" w:color="auto" w:fill="auto"/>
            <w:vAlign w:val="center"/>
          </w:tcPr>
          <w:p>
            <w:pPr>
              <w:widowControl/>
              <w:jc w:val="center"/>
              <w:textAlignment w:val="center"/>
              <w:rPr>
                <w:rFonts w:ascii="normal" w:hAnsi="normal" w:eastAsia="normal" w:cs="normal"/>
                <w:b/>
                <w:bCs/>
                <w:color w:val="000000"/>
                <w:sz w:val="33"/>
                <w:szCs w:val="33"/>
              </w:rPr>
            </w:pPr>
            <w:r>
              <w:rPr>
                <w:rFonts w:ascii="normal" w:hAnsi="normal" w:eastAsia="normal" w:cs="normal"/>
                <w:b/>
                <w:bCs/>
                <w:color w:val="000000"/>
                <w:kern w:val="0"/>
                <w:sz w:val="33"/>
                <w:szCs w:val="33"/>
                <w:lang w:bidi="ar"/>
              </w:rPr>
              <w:t>部门整体支出绩效指标情况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4"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516"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505"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673"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绩效指标描述</w:t>
            </w:r>
          </w:p>
        </w:tc>
        <w:tc>
          <w:tcPr>
            <w:tcW w:w="1345"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评（扣）分标准</w:t>
            </w:r>
          </w:p>
        </w:tc>
        <w:tc>
          <w:tcPr>
            <w:tcW w:w="1130" w:type="pct"/>
            <w:gridSpan w:val="3"/>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314"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514" w:type="pct"/>
            <w:vMerge w:val="continue"/>
            <w:shd w:val="clear" w:color="auto" w:fill="auto"/>
            <w:vAlign w:val="center"/>
          </w:tcPr>
          <w:p>
            <w:pPr>
              <w:jc w:val="center"/>
              <w:rPr>
                <w:rFonts w:ascii="宋体" w:hAnsi="宋体" w:cs="宋体"/>
                <w:color w:val="000000"/>
                <w:sz w:val="22"/>
              </w:rPr>
            </w:pPr>
          </w:p>
        </w:tc>
        <w:tc>
          <w:tcPr>
            <w:tcW w:w="516" w:type="pct"/>
            <w:vMerge w:val="continue"/>
            <w:shd w:val="clear" w:color="auto" w:fill="auto"/>
            <w:vAlign w:val="center"/>
          </w:tcPr>
          <w:p>
            <w:pPr>
              <w:jc w:val="center"/>
              <w:rPr>
                <w:rFonts w:ascii="宋体" w:hAnsi="宋体" w:cs="宋体"/>
                <w:color w:val="000000"/>
                <w:sz w:val="22"/>
              </w:rPr>
            </w:pPr>
          </w:p>
        </w:tc>
        <w:tc>
          <w:tcPr>
            <w:tcW w:w="505" w:type="pct"/>
            <w:vMerge w:val="continue"/>
            <w:shd w:val="clear" w:color="auto" w:fill="auto"/>
            <w:vAlign w:val="center"/>
          </w:tcPr>
          <w:p>
            <w:pPr>
              <w:jc w:val="center"/>
              <w:rPr>
                <w:rFonts w:ascii="宋体" w:hAnsi="宋体" w:cs="宋体"/>
                <w:color w:val="000000"/>
                <w:sz w:val="22"/>
              </w:rPr>
            </w:pPr>
          </w:p>
        </w:tc>
        <w:tc>
          <w:tcPr>
            <w:tcW w:w="673" w:type="pct"/>
            <w:vMerge w:val="continue"/>
            <w:shd w:val="clear" w:color="auto" w:fill="auto"/>
            <w:vAlign w:val="center"/>
          </w:tcPr>
          <w:p>
            <w:pPr>
              <w:jc w:val="center"/>
              <w:rPr>
                <w:rFonts w:ascii="宋体" w:hAnsi="宋体" w:cs="宋体"/>
                <w:color w:val="000000"/>
                <w:sz w:val="22"/>
              </w:rPr>
            </w:pPr>
          </w:p>
        </w:tc>
        <w:tc>
          <w:tcPr>
            <w:tcW w:w="1345" w:type="pct"/>
            <w:vMerge w:val="continue"/>
            <w:shd w:val="clear" w:color="auto" w:fill="auto"/>
            <w:vAlign w:val="center"/>
          </w:tcPr>
          <w:p>
            <w:pPr>
              <w:jc w:val="center"/>
              <w:rPr>
                <w:rFonts w:ascii="宋体" w:hAnsi="宋体" w:cs="宋体"/>
                <w:color w:val="000000"/>
                <w:sz w:val="22"/>
              </w:rPr>
            </w:pPr>
          </w:p>
        </w:tc>
        <w:tc>
          <w:tcPr>
            <w:tcW w:w="269"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符号</w:t>
            </w:r>
          </w:p>
        </w:tc>
        <w:tc>
          <w:tcPr>
            <w:tcW w:w="357"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值</w:t>
            </w:r>
          </w:p>
        </w:tc>
        <w:tc>
          <w:tcPr>
            <w:tcW w:w="503"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单位（文字描述）</w:t>
            </w:r>
          </w:p>
        </w:tc>
        <w:tc>
          <w:tcPr>
            <w:tcW w:w="314" w:type="pct"/>
            <w:vMerge w:val="continue"/>
            <w:shd w:val="clear" w:color="auto" w:fill="auto"/>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4" w:type="pct"/>
            <w:vMerge w:val="restart"/>
            <w:shd w:val="clear" w:color="auto" w:fill="auto"/>
            <w:noWrap/>
          </w:tcPr>
          <w:p>
            <w:pPr>
              <w:widowControl/>
              <w:jc w:val="left"/>
              <w:textAlignment w:val="top"/>
              <w:rPr>
                <w:rFonts w:cs="Calibri"/>
                <w:color w:val="000000"/>
                <w:sz w:val="22"/>
              </w:rPr>
            </w:pPr>
            <w:r>
              <w:rPr>
                <w:rFonts w:cs="Calibri"/>
                <w:color w:val="000000"/>
                <w:kern w:val="0"/>
                <w:sz w:val="22"/>
                <w:lang w:bidi="ar"/>
              </w:rPr>
              <w:t>产出指标</w:t>
            </w:r>
          </w:p>
        </w:tc>
        <w:tc>
          <w:tcPr>
            <w:tcW w:w="516"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50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小学生毕业生合格率</w:t>
            </w:r>
          </w:p>
        </w:tc>
        <w:tc>
          <w:tcPr>
            <w:tcW w:w="67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小学生毕业生合格率</w:t>
            </w:r>
          </w:p>
        </w:tc>
        <w:tc>
          <w:tcPr>
            <w:tcW w:w="134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20分毕业生合格率100%得满分，否则不得分</w:t>
            </w:r>
          </w:p>
        </w:tc>
        <w:tc>
          <w:tcPr>
            <w:tcW w:w="269"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5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100</w:t>
            </w:r>
          </w:p>
        </w:tc>
        <w:tc>
          <w:tcPr>
            <w:tcW w:w="50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1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4" w:type="pct"/>
            <w:vMerge w:val="continue"/>
            <w:shd w:val="clear" w:color="auto" w:fill="auto"/>
            <w:noWrap/>
          </w:tcPr>
          <w:p>
            <w:pPr>
              <w:jc w:val="left"/>
              <w:rPr>
                <w:rFonts w:cs="Calibri"/>
                <w:color w:val="000000"/>
                <w:sz w:val="22"/>
              </w:rPr>
            </w:pPr>
          </w:p>
        </w:tc>
        <w:tc>
          <w:tcPr>
            <w:tcW w:w="516"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50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重点工作实际完成率</w:t>
            </w:r>
          </w:p>
        </w:tc>
        <w:tc>
          <w:tcPr>
            <w:tcW w:w="67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重点工作实际完成率</w:t>
            </w:r>
          </w:p>
        </w:tc>
        <w:tc>
          <w:tcPr>
            <w:tcW w:w="134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10分不低于95%得满分，否则不得分5每减少1%扣1分，扣完为止</w:t>
            </w:r>
          </w:p>
        </w:tc>
        <w:tc>
          <w:tcPr>
            <w:tcW w:w="269"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5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50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1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4" w:type="pct"/>
            <w:vMerge w:val="continue"/>
            <w:shd w:val="clear" w:color="auto" w:fill="auto"/>
            <w:noWrap/>
          </w:tcPr>
          <w:p>
            <w:pPr>
              <w:jc w:val="left"/>
              <w:rPr>
                <w:rFonts w:cs="Calibri"/>
                <w:color w:val="000000"/>
                <w:sz w:val="22"/>
              </w:rPr>
            </w:pPr>
          </w:p>
        </w:tc>
        <w:tc>
          <w:tcPr>
            <w:tcW w:w="516"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50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采购物资、建设工程合格率</w:t>
            </w:r>
          </w:p>
        </w:tc>
        <w:tc>
          <w:tcPr>
            <w:tcW w:w="67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采购物资、建设工程合格率</w:t>
            </w:r>
          </w:p>
        </w:tc>
        <w:tc>
          <w:tcPr>
            <w:tcW w:w="1345" w:type="pct"/>
            <w:shd w:val="clear" w:color="auto" w:fill="auto"/>
            <w:noWrap/>
          </w:tcPr>
          <w:p>
            <w:pPr>
              <w:widowControl/>
              <w:tabs>
                <w:tab w:val="left" w:pos="7560"/>
                <w:tab w:val="left" w:pos="8820"/>
              </w:tabs>
              <w:ind w:left="420" w:leftChars="200"/>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20分合格率100%得满分，否则不得分</w:t>
            </w:r>
          </w:p>
        </w:tc>
        <w:tc>
          <w:tcPr>
            <w:tcW w:w="269"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5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100</w:t>
            </w:r>
          </w:p>
        </w:tc>
        <w:tc>
          <w:tcPr>
            <w:tcW w:w="50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1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4" w:type="pct"/>
            <w:vMerge w:val="continue"/>
            <w:shd w:val="clear" w:color="auto" w:fill="auto"/>
            <w:noWrap/>
          </w:tcPr>
          <w:p>
            <w:pPr>
              <w:jc w:val="left"/>
              <w:rPr>
                <w:rFonts w:cs="Calibri"/>
                <w:color w:val="000000"/>
                <w:sz w:val="22"/>
              </w:rPr>
            </w:pPr>
          </w:p>
        </w:tc>
        <w:tc>
          <w:tcPr>
            <w:tcW w:w="516"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50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学校的各项工作任务及时完成情况</w:t>
            </w:r>
          </w:p>
        </w:tc>
        <w:tc>
          <w:tcPr>
            <w:tcW w:w="67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学校的各项工作任务及时完成情况</w:t>
            </w:r>
          </w:p>
        </w:tc>
        <w:tc>
          <w:tcPr>
            <w:tcW w:w="134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10分及时完成得满分，否则不得分</w:t>
            </w:r>
          </w:p>
        </w:tc>
        <w:tc>
          <w:tcPr>
            <w:tcW w:w="269"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文字描述</w:t>
            </w:r>
          </w:p>
        </w:tc>
        <w:tc>
          <w:tcPr>
            <w:tcW w:w="357" w:type="pct"/>
            <w:shd w:val="clear" w:color="auto" w:fill="auto"/>
            <w:noWrap/>
          </w:tcPr>
          <w:p>
            <w:pPr>
              <w:jc w:val="left"/>
              <w:rPr>
                <w:rFonts w:hint="eastAsia" w:ascii="仿宋_GB2312" w:hAnsi="仿宋_GB2312" w:eastAsia="仿宋_GB2312" w:cs="仿宋_GB2312"/>
                <w:color w:val="000000"/>
                <w:sz w:val="22"/>
              </w:rPr>
            </w:pPr>
          </w:p>
        </w:tc>
        <w:tc>
          <w:tcPr>
            <w:tcW w:w="50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及时</w:t>
            </w:r>
          </w:p>
        </w:tc>
        <w:tc>
          <w:tcPr>
            <w:tcW w:w="31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4" w:type="pct"/>
            <w:vMerge w:val="continue"/>
            <w:shd w:val="clear" w:color="auto" w:fill="auto"/>
            <w:noWrap/>
          </w:tcPr>
          <w:p>
            <w:pPr>
              <w:jc w:val="left"/>
              <w:rPr>
                <w:rFonts w:cs="Calibri"/>
                <w:color w:val="000000"/>
                <w:sz w:val="22"/>
              </w:rPr>
            </w:pPr>
          </w:p>
        </w:tc>
        <w:tc>
          <w:tcPr>
            <w:tcW w:w="516"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50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教育经费使用控制率</w:t>
            </w:r>
          </w:p>
        </w:tc>
        <w:tc>
          <w:tcPr>
            <w:tcW w:w="67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支出的公用经费总额与预算安排的比率</w:t>
            </w:r>
          </w:p>
        </w:tc>
        <w:tc>
          <w:tcPr>
            <w:tcW w:w="134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10分教育经费决算数不大于调整预算数得满分，否则不得分</w:t>
            </w:r>
          </w:p>
        </w:tc>
        <w:tc>
          <w:tcPr>
            <w:tcW w:w="269"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文字描述</w:t>
            </w:r>
          </w:p>
        </w:tc>
        <w:tc>
          <w:tcPr>
            <w:tcW w:w="357" w:type="pct"/>
            <w:shd w:val="clear" w:color="auto" w:fill="auto"/>
            <w:noWrap/>
          </w:tcPr>
          <w:p>
            <w:pPr>
              <w:jc w:val="left"/>
              <w:rPr>
                <w:rFonts w:hint="eastAsia" w:ascii="仿宋_GB2312" w:hAnsi="仿宋_GB2312" w:eastAsia="仿宋_GB2312" w:cs="仿宋_GB2312"/>
                <w:color w:val="000000"/>
                <w:sz w:val="22"/>
              </w:rPr>
            </w:pPr>
          </w:p>
        </w:tc>
        <w:tc>
          <w:tcPr>
            <w:tcW w:w="50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教育经费决算数不大于调整预算数</w:t>
            </w:r>
          </w:p>
        </w:tc>
        <w:tc>
          <w:tcPr>
            <w:tcW w:w="31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4" w:type="pct"/>
            <w:shd w:val="clear" w:color="auto" w:fill="auto"/>
            <w:noWrap/>
          </w:tcPr>
          <w:p>
            <w:pPr>
              <w:widowControl/>
              <w:jc w:val="left"/>
              <w:textAlignment w:val="top"/>
              <w:rPr>
                <w:rFonts w:cs="Calibri"/>
                <w:color w:val="000000"/>
                <w:sz w:val="22"/>
              </w:rPr>
            </w:pPr>
            <w:r>
              <w:rPr>
                <w:rFonts w:cs="Calibri"/>
                <w:color w:val="000000"/>
                <w:kern w:val="0"/>
                <w:sz w:val="22"/>
                <w:lang w:bidi="ar"/>
              </w:rPr>
              <w:t>效益指标</w:t>
            </w:r>
          </w:p>
        </w:tc>
        <w:tc>
          <w:tcPr>
            <w:tcW w:w="516"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50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义务教育高质量发展</w:t>
            </w:r>
          </w:p>
        </w:tc>
        <w:tc>
          <w:tcPr>
            <w:tcW w:w="67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推动义务教育从数量扩张向质量提高转变</w:t>
            </w:r>
          </w:p>
        </w:tc>
        <w:tc>
          <w:tcPr>
            <w:tcW w:w="134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10分学生、家长、社会对学校整体满意度达到95%得满分，每降低1%扣1分，扣完为止。</w:t>
            </w:r>
          </w:p>
        </w:tc>
        <w:tc>
          <w:tcPr>
            <w:tcW w:w="269"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5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50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1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4" w:type="pct"/>
            <w:vMerge w:val="restart"/>
            <w:shd w:val="clear" w:color="auto" w:fill="auto"/>
            <w:noWrap/>
          </w:tcPr>
          <w:p>
            <w:pPr>
              <w:widowControl/>
              <w:jc w:val="left"/>
              <w:textAlignment w:val="top"/>
              <w:rPr>
                <w:rFonts w:cs="Calibri"/>
                <w:color w:val="000000"/>
                <w:sz w:val="22"/>
              </w:rPr>
            </w:pPr>
            <w:r>
              <w:rPr>
                <w:rFonts w:cs="Calibri"/>
                <w:color w:val="000000"/>
                <w:kern w:val="0"/>
                <w:sz w:val="22"/>
                <w:lang w:bidi="ar"/>
              </w:rPr>
              <w:t>满意度指标</w:t>
            </w:r>
          </w:p>
        </w:tc>
        <w:tc>
          <w:tcPr>
            <w:tcW w:w="516"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50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在校师生的满意程度</w:t>
            </w:r>
          </w:p>
        </w:tc>
        <w:tc>
          <w:tcPr>
            <w:tcW w:w="67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在校师生的满意程度</w:t>
            </w:r>
          </w:p>
        </w:tc>
        <w:tc>
          <w:tcPr>
            <w:tcW w:w="134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10分在校师生的满意度达到95%得满分，每降低1%扣1分，扣完为止。</w:t>
            </w:r>
          </w:p>
        </w:tc>
        <w:tc>
          <w:tcPr>
            <w:tcW w:w="269"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5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50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1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4" w:type="pct"/>
            <w:vMerge w:val="continue"/>
            <w:shd w:val="clear" w:color="auto" w:fill="auto"/>
            <w:noWrap/>
          </w:tcPr>
          <w:p>
            <w:pPr>
              <w:jc w:val="left"/>
              <w:rPr>
                <w:rFonts w:cs="Calibri"/>
                <w:color w:val="000000"/>
                <w:sz w:val="22"/>
              </w:rPr>
            </w:pPr>
          </w:p>
        </w:tc>
        <w:tc>
          <w:tcPr>
            <w:tcW w:w="516"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50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家长的满意程度</w:t>
            </w:r>
          </w:p>
        </w:tc>
        <w:tc>
          <w:tcPr>
            <w:tcW w:w="67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家长的满意程度</w:t>
            </w:r>
          </w:p>
        </w:tc>
        <w:tc>
          <w:tcPr>
            <w:tcW w:w="134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10分家长的满意度达到95%得满分，每降低1%扣1分，扣完为止。</w:t>
            </w:r>
          </w:p>
        </w:tc>
        <w:tc>
          <w:tcPr>
            <w:tcW w:w="269"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5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50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1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调查问卷</w:t>
            </w:r>
          </w:p>
        </w:tc>
      </w:tr>
    </w:tbl>
    <w:p>
      <w:pPr>
        <w:widowControl/>
        <w:spacing w:line="584" w:lineRule="exact"/>
        <w:jc w:val="left"/>
        <w:rPr>
          <w:rFonts w:eastAsia="仿宋_GB2312"/>
          <w:color w:val="000000"/>
          <w:kern w:val="0"/>
          <w:sz w:val="30"/>
          <w:szCs w:val="30"/>
        </w:rPr>
        <w:sectPr>
          <w:footerReference r:id="rId3" w:type="default"/>
          <w:footerReference r:id="rId4" w:type="even"/>
          <w:pgSz w:w="16840" w:h="11907" w:orient="landscape"/>
          <w:pgMar w:top="1134" w:right="1985" w:bottom="567" w:left="1985" w:header="851" w:footer="1418" w:gutter="0"/>
          <w:pgNumType w:fmt="numberInDash"/>
          <w:cols w:space="720" w:num="1"/>
          <w:docGrid w:type="linesAndChars" w:linePitch="312" w:charSpace="0"/>
        </w:sectPr>
      </w:pPr>
    </w:p>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5"/>
        <w:gridCol w:w="113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6"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w:t>
            </w:r>
          </w:p>
          <w:p>
            <w:pPr>
              <w:pStyle w:val="15"/>
              <w:rPr>
                <w:rFonts w:hint="eastAsia" w:ascii="仿宋_GB2312" w:hAnsi="仿宋_GB2312" w:eastAsia="仿宋_GB2312" w:cs="仿宋_GB2312"/>
              </w:rPr>
            </w:pPr>
            <w:r>
              <w:rPr>
                <w:rFonts w:hint="eastAsia" w:ascii="仿宋_GB2312" w:hAnsi="仿宋_GB2312" w:eastAsia="仿宋_GB2312" w:cs="仿宋_GB2312"/>
              </w:rPr>
              <w:t>2.改善办学条件，促进义务教育发展。</w:t>
            </w:r>
          </w:p>
          <w:p>
            <w:pPr>
              <w:pStyle w:val="15"/>
              <w:rPr>
                <w:rFonts w:hint="eastAsia" w:ascii="仿宋_GB2312" w:hAnsi="仿宋_GB2312" w:eastAsia="仿宋_GB2312" w:cs="仿宋_GB2312"/>
              </w:rPr>
            </w:pPr>
            <w:r>
              <w:rPr>
                <w:rFonts w:hint="eastAsia" w:ascii="仿宋_GB2312" w:hAnsi="仿宋_GB2312" w:eastAsia="仿宋_GB2312" w:cs="仿宋_GB2312"/>
              </w:rPr>
              <w:t>3.开展培训活动，提高教师和学生的综合素质。</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5"/>
        <w:gridCol w:w="2354"/>
        <w:gridCol w:w="2317"/>
        <w:gridCol w:w="3087"/>
        <w:gridCol w:w="997"/>
        <w:gridCol w:w="26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0"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一级指标</w:t>
            </w:r>
          </w:p>
        </w:tc>
        <w:tc>
          <w:tcPr>
            <w:tcW w:w="899"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二级指标</w:t>
            </w:r>
          </w:p>
        </w:tc>
        <w:tc>
          <w:tcPr>
            <w:tcW w:w="885"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三级指标</w:t>
            </w:r>
          </w:p>
        </w:tc>
        <w:tc>
          <w:tcPr>
            <w:tcW w:w="1179"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81"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指标值</w:t>
            </w:r>
          </w:p>
        </w:tc>
        <w:tc>
          <w:tcPr>
            <w:tcW w:w="1013"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pct"/>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89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88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1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8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2627人</w:t>
            </w:r>
          </w:p>
        </w:tc>
        <w:tc>
          <w:tcPr>
            <w:tcW w:w="101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pct"/>
            <w:vMerge w:val="continue"/>
            <w:vAlign w:val="center"/>
          </w:tcPr>
          <w:p>
            <w:pPr>
              <w:rPr>
                <w:rFonts w:hint="eastAsia" w:ascii="仿宋_GB2312" w:hAnsi="仿宋_GB2312" w:eastAsia="仿宋_GB2312" w:cs="仿宋_GB2312"/>
              </w:rPr>
            </w:pPr>
          </w:p>
        </w:tc>
        <w:tc>
          <w:tcPr>
            <w:tcW w:w="89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88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1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8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01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pct"/>
            <w:vMerge w:val="continue"/>
            <w:vAlign w:val="center"/>
          </w:tcPr>
          <w:p>
            <w:pPr>
              <w:rPr>
                <w:rFonts w:hint="eastAsia" w:ascii="仿宋_GB2312" w:hAnsi="仿宋_GB2312" w:eastAsia="仿宋_GB2312" w:cs="仿宋_GB2312"/>
              </w:rPr>
            </w:pPr>
          </w:p>
        </w:tc>
        <w:tc>
          <w:tcPr>
            <w:tcW w:w="89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88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1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8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01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pct"/>
            <w:vMerge w:val="continue"/>
            <w:vAlign w:val="center"/>
          </w:tcPr>
          <w:p>
            <w:pPr>
              <w:rPr>
                <w:rFonts w:hint="eastAsia" w:ascii="仿宋_GB2312" w:hAnsi="仿宋_GB2312" w:eastAsia="仿宋_GB2312" w:cs="仿宋_GB2312"/>
              </w:rPr>
            </w:pPr>
          </w:p>
        </w:tc>
        <w:tc>
          <w:tcPr>
            <w:tcW w:w="89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88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1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38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735元/人</w:t>
            </w:r>
          </w:p>
        </w:tc>
        <w:tc>
          <w:tcPr>
            <w:tcW w:w="101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pc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89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8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11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38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支持</w:t>
            </w:r>
          </w:p>
        </w:tc>
        <w:tc>
          <w:tcPr>
            <w:tcW w:w="101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pc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9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8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8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101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outlineLvl w:val="3"/>
        <w:rPr>
          <w:rFonts w:hint="eastAsia" w:ascii="仿宋_GB2312" w:hAnsi="仿宋_GB2312" w:eastAsia="仿宋_GB2312" w:cs="仿宋_GB2312"/>
          <w:color w:val="000000"/>
          <w:sz w:val="28"/>
        </w:rPr>
      </w:pPr>
      <w:bookmarkStart w:id="1" w:name="_Toc_4_4_0000000005"/>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2.城乡义务教育生均公用经费[中央]绩效目标表</w:t>
      </w:r>
      <w:bookmarkEnd w:id="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5"/>
        <w:gridCol w:w="113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6"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1.廊坊市第二十三小学2022年在校学生2627人，按照义务教育生均公用经费标准申请财政预算资金，通过合理、合规使用资金达到保证学校正常运转，改善办学条件，促进义务教育发展。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5"/>
        <w:gridCol w:w="2113"/>
        <w:gridCol w:w="2194"/>
        <w:gridCol w:w="3574"/>
        <w:gridCol w:w="890"/>
        <w:gridCol w:w="26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一级指标</w:t>
            </w:r>
          </w:p>
        </w:tc>
        <w:tc>
          <w:tcPr>
            <w:tcW w:w="807"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二级指标</w:t>
            </w:r>
          </w:p>
        </w:tc>
        <w:tc>
          <w:tcPr>
            <w:tcW w:w="838"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三级指标</w:t>
            </w:r>
          </w:p>
        </w:tc>
        <w:tc>
          <w:tcPr>
            <w:tcW w:w="1365"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40"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指标值</w:t>
            </w:r>
          </w:p>
        </w:tc>
        <w:tc>
          <w:tcPr>
            <w:tcW w:w="1003"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83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36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2627人</w:t>
            </w:r>
          </w:p>
        </w:tc>
        <w:tc>
          <w:tcPr>
            <w:tcW w:w="100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83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36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00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83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36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00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83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36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3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735元</w:t>
            </w:r>
          </w:p>
        </w:tc>
        <w:tc>
          <w:tcPr>
            <w:tcW w:w="100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3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义务教育教育高质量发展</w:t>
            </w:r>
          </w:p>
        </w:tc>
        <w:tc>
          <w:tcPr>
            <w:tcW w:w="136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3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支持</w:t>
            </w:r>
          </w:p>
        </w:tc>
        <w:tc>
          <w:tcPr>
            <w:tcW w:w="100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廊财教[2021]62号文件</w:t>
            </w:r>
          </w:p>
          <w:p>
            <w:pPr>
              <w:pStyle w:val="15"/>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3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6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100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ind w:firstLine="560"/>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5"/>
        <w:gridCol w:w="113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6"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5"/>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5"/>
              <w:rPr>
                <w:rFonts w:hint="eastAsia" w:ascii="仿宋_GB2312" w:hAnsi="仿宋_GB2312" w:eastAsia="仿宋_GB2312" w:cs="仿宋_GB2312"/>
              </w:rPr>
            </w:pPr>
            <w:r>
              <w:rPr>
                <w:rFonts w:hint="eastAsia" w:ascii="仿宋_GB2312" w:hAnsi="仿宋_GB2312" w:eastAsia="仿宋_GB2312" w:cs="仿宋_GB2312"/>
              </w:rPr>
              <w:t>3.学生、学校、家长对合同制教师的满意度达到95%以上</w:t>
            </w:r>
          </w:p>
          <w:p>
            <w:pPr>
              <w:pStyle w:val="15"/>
              <w:rPr>
                <w:rFonts w:hint="eastAsia" w:ascii="仿宋_GB2312" w:hAnsi="仿宋_GB2312" w:eastAsia="仿宋_GB2312" w:cs="仿宋_GB2312"/>
              </w:rPr>
            </w:pPr>
            <w:r>
              <w:rPr>
                <w:rFonts w:hint="eastAsia" w:ascii="仿宋_GB2312" w:hAnsi="仿宋_GB2312" w:eastAsia="仿宋_GB2312" w:cs="仿宋_GB2312"/>
              </w:rPr>
              <w:t>4.保障合同制教师工资福利待遇，并及时发放。</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69"/>
        <w:gridCol w:w="1870"/>
        <w:gridCol w:w="2160"/>
        <w:gridCol w:w="3043"/>
        <w:gridCol w:w="2113"/>
        <w:gridCol w:w="2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二级指标</w:t>
            </w:r>
          </w:p>
        </w:tc>
        <w:tc>
          <w:tcPr>
            <w:tcW w:w="825"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三级指标</w:t>
            </w:r>
          </w:p>
        </w:tc>
        <w:tc>
          <w:tcPr>
            <w:tcW w:w="1162"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07"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指标值</w:t>
            </w:r>
          </w:p>
        </w:tc>
        <w:tc>
          <w:tcPr>
            <w:tcW w:w="775"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保障2022合同制教师 91人工资福利</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91人</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≥98%</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缓解</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ind w:firstLine="560"/>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5"/>
        <w:gridCol w:w="113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6"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5"/>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5"/>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5"/>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6"/>
        <w:gridCol w:w="1686"/>
        <w:gridCol w:w="1762"/>
        <w:gridCol w:w="3825"/>
        <w:gridCol w:w="1686"/>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46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12月</w:t>
            </w:r>
          </w:p>
        </w:tc>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46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46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6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146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≤28.05万元</w:t>
            </w:r>
          </w:p>
        </w:tc>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6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6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ind w:firstLine="560"/>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5.特殊教育资金[省级]绩效目标表</w:t>
      </w:r>
      <w:bookmarkEnd w:id="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5"/>
        <w:gridCol w:w="113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6"/>
              <w:spacing w:before="240"/>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6"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1.方便特殊学生日常生活学习，提升整体教学质量</w:t>
            </w:r>
          </w:p>
        </w:tc>
      </w:tr>
    </w:tbl>
    <w:p>
      <w:pPr>
        <w:spacing w:before="240"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6"/>
        <w:gridCol w:w="1686"/>
        <w:gridCol w:w="1762"/>
        <w:gridCol w:w="3825"/>
        <w:gridCol w:w="1686"/>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6"/>
              <w:spacing w:before="240"/>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6"/>
              <w:spacing w:before="240"/>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6"/>
              <w:spacing w:before="240"/>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6"/>
              <w:spacing w:before="240"/>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6"/>
              <w:spacing w:before="240"/>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6"/>
              <w:spacing w:before="240"/>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7"/>
              <w:spacing w:before="240"/>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146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before="240"/>
              <w:rPr>
                <w:rFonts w:hint="eastAsia" w:ascii="仿宋_GB2312" w:hAnsi="仿宋_GB2312" w:eastAsia="仿宋_GB2312" w:cs="仿宋_GB2312"/>
              </w:rPr>
            </w:pP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146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2个</w:t>
            </w:r>
          </w:p>
        </w:tc>
        <w:tc>
          <w:tcPr>
            <w:tcW w:w="93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依据在校生实际情况统计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before="240"/>
              <w:rPr>
                <w:rFonts w:hint="eastAsia" w:ascii="仿宋_GB2312" w:hAnsi="仿宋_GB2312" w:eastAsia="仿宋_GB2312" w:cs="仿宋_GB2312"/>
              </w:rPr>
            </w:pP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146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12月底</w:t>
            </w:r>
          </w:p>
        </w:tc>
        <w:tc>
          <w:tcPr>
            <w:tcW w:w="93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before="240"/>
              <w:rPr>
                <w:rFonts w:hint="eastAsia" w:ascii="仿宋_GB2312" w:hAnsi="仿宋_GB2312" w:eastAsia="仿宋_GB2312" w:cs="仿宋_GB2312"/>
              </w:rPr>
            </w:pP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项目成本</w:t>
            </w:r>
          </w:p>
        </w:tc>
        <w:tc>
          <w:tcPr>
            <w:tcW w:w="146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项目成本</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2000元</w:t>
            </w:r>
          </w:p>
        </w:tc>
        <w:tc>
          <w:tcPr>
            <w:tcW w:w="93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廊财教[2021]68号文件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7"/>
              <w:spacing w:before="240"/>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146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持续</w:t>
            </w:r>
          </w:p>
        </w:tc>
        <w:tc>
          <w:tcPr>
            <w:tcW w:w="93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before="240"/>
              <w:rPr>
                <w:rFonts w:hint="eastAsia" w:ascii="仿宋_GB2312" w:hAnsi="仿宋_GB2312" w:eastAsia="仿宋_GB2312" w:cs="仿宋_GB2312"/>
              </w:rPr>
            </w:pP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146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7"/>
              <w:spacing w:before="240"/>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接受义务教育特殊学生家长满意度</w:t>
            </w:r>
          </w:p>
        </w:tc>
        <w:tc>
          <w:tcPr>
            <w:tcW w:w="146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满意家长数量/总数</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ind w:firstLine="560"/>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6.特殊教育资金[中央]绩效目标表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5"/>
        <w:gridCol w:w="113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6"/>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6"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1.方便特殊学生日常生活学习，提升整体教学质量</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6"/>
        <w:gridCol w:w="1686"/>
        <w:gridCol w:w="1762"/>
        <w:gridCol w:w="3825"/>
        <w:gridCol w:w="1686"/>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6"/>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6"/>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6"/>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6"/>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6"/>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6"/>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7"/>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146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line="440" w:lineRule="exact"/>
              <w:rPr>
                <w:rFonts w:hint="eastAsia" w:ascii="仿宋_GB2312" w:hAnsi="仿宋_GB2312" w:eastAsia="仿宋_GB2312" w:cs="仿宋_GB2312"/>
              </w:rPr>
            </w:pP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146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2个</w:t>
            </w:r>
          </w:p>
        </w:tc>
        <w:tc>
          <w:tcPr>
            <w:tcW w:w="93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依据在校生实际情况统计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line="440" w:lineRule="exact"/>
              <w:rPr>
                <w:rFonts w:hint="eastAsia" w:ascii="仿宋_GB2312" w:hAnsi="仿宋_GB2312" w:eastAsia="仿宋_GB2312" w:cs="仿宋_GB2312"/>
              </w:rPr>
            </w:pP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146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12月底</w:t>
            </w:r>
          </w:p>
        </w:tc>
        <w:tc>
          <w:tcPr>
            <w:tcW w:w="93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line="440" w:lineRule="exact"/>
              <w:rPr>
                <w:rFonts w:hint="eastAsia" w:ascii="仿宋_GB2312" w:hAnsi="仿宋_GB2312" w:eastAsia="仿宋_GB2312" w:cs="仿宋_GB2312"/>
              </w:rPr>
            </w:pP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项目成本</w:t>
            </w:r>
          </w:p>
        </w:tc>
        <w:tc>
          <w:tcPr>
            <w:tcW w:w="146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项目成本</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10000元</w:t>
            </w:r>
          </w:p>
        </w:tc>
        <w:tc>
          <w:tcPr>
            <w:tcW w:w="93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廊财教[2021]9号文件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7"/>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146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持续</w:t>
            </w:r>
          </w:p>
        </w:tc>
        <w:tc>
          <w:tcPr>
            <w:tcW w:w="93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line="440" w:lineRule="exact"/>
              <w:rPr>
                <w:rFonts w:hint="eastAsia" w:ascii="仿宋_GB2312" w:hAnsi="仿宋_GB2312" w:eastAsia="仿宋_GB2312" w:cs="仿宋_GB2312"/>
              </w:rPr>
            </w:pP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146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7"/>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接受义务教育特殊学生家长满意度</w:t>
            </w:r>
          </w:p>
        </w:tc>
        <w:tc>
          <w:tcPr>
            <w:tcW w:w="146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满意家长数量/总数</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
      <w:pPr>
        <w:spacing w:line="300" w:lineRule="exact"/>
        <w:jc w:val="left"/>
        <w:sectPr>
          <w:pgSz w:w="16839" w:h="11907" w:orient="landscape"/>
          <w:pgMar w:top="1134" w:right="1984" w:bottom="567" w:left="1984" w:header="851" w:footer="992" w:gutter="0"/>
          <w:cols w:space="425" w:num="1"/>
          <w:docGrid w:type="lines" w:linePitch="312" w:charSpace="0"/>
        </w:sectPr>
      </w:pPr>
    </w:p>
    <w:p>
      <w:pPr>
        <w:ind w:firstLine="560" w:firstLineChars="200"/>
        <w:jc w:val="left"/>
        <w:outlineLvl w:val="1"/>
        <w:rPr>
          <w:rFonts w:ascii="Times New Roman" w:hAnsi="Times New Roman" w:eastAsia="黑体" w:cs="Times New Roman"/>
          <w:sz w:val="32"/>
          <w:szCs w:val="32"/>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6"/>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7" w:name="_Toc64920910"/>
      <w:r>
        <w:rPr>
          <w:rFonts w:hint="eastAsia" w:ascii="方正小标宋_GBK" w:eastAsia="方正小标宋_GBK" w:cs="Times New Roman"/>
          <w:sz w:val="32"/>
        </w:rPr>
        <w:t>部门政府采购预算</w:t>
      </w:r>
      <w:bookmarkEnd w:id="7"/>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22"/>
        <w:gridCol w:w="1099"/>
        <w:gridCol w:w="1483"/>
        <w:gridCol w:w="1483"/>
        <w:gridCol w:w="688"/>
        <w:gridCol w:w="877"/>
        <w:gridCol w:w="877"/>
        <w:gridCol w:w="1099"/>
        <w:gridCol w:w="1099"/>
        <w:gridCol w:w="1099"/>
        <w:gridCol w:w="1099"/>
        <w:gridCol w:w="1099"/>
        <w:gridCol w:w="10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rPr>
              <w:t>[463001]廊坊市第二十三小学</w:t>
            </w:r>
          </w:p>
        </w:tc>
        <w:tc>
          <w:tcPr>
            <w:tcW w:w="2194"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05" w:type="pct"/>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494" w:type="pct"/>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494" w:type="pct"/>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229" w:type="pct"/>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292" w:type="pct"/>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292" w:type="pct"/>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2194" w:type="pct"/>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0"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366"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494" w:type="pct"/>
            <w:vMerge w:val="continue"/>
            <w:shd w:val="clear" w:color="auto" w:fill="auto"/>
            <w:vAlign w:val="center"/>
          </w:tcPr>
          <w:p/>
        </w:tc>
        <w:tc>
          <w:tcPr>
            <w:tcW w:w="494" w:type="pct"/>
            <w:vMerge w:val="continue"/>
            <w:shd w:val="clear" w:color="auto" w:fill="auto"/>
            <w:vAlign w:val="center"/>
          </w:tcPr>
          <w:p/>
        </w:tc>
        <w:tc>
          <w:tcPr>
            <w:tcW w:w="229" w:type="pct"/>
            <w:vMerge w:val="continue"/>
            <w:shd w:val="clear" w:color="auto" w:fill="auto"/>
            <w:vAlign w:val="center"/>
          </w:tcPr>
          <w:p/>
        </w:tc>
        <w:tc>
          <w:tcPr>
            <w:tcW w:w="292" w:type="pct"/>
            <w:vMerge w:val="continue"/>
            <w:shd w:val="clear" w:color="auto" w:fill="auto"/>
            <w:vAlign w:val="center"/>
          </w:tcPr>
          <w:p/>
        </w:tc>
        <w:tc>
          <w:tcPr>
            <w:tcW w:w="292" w:type="pct"/>
            <w:vMerge w:val="continue"/>
            <w:shd w:val="clear" w:color="auto" w:fill="auto"/>
            <w:vAlign w:val="center"/>
          </w:tcPr>
          <w:p/>
        </w:tc>
        <w:tc>
          <w:tcPr>
            <w:tcW w:w="366"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366"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366"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366"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366"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366"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40"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366" w:type="pct"/>
            <w:shd w:val="clear" w:color="auto" w:fill="auto"/>
            <w:vAlign w:val="center"/>
          </w:tcPr>
          <w:p>
            <w:pPr>
              <w:spacing w:line="300" w:lineRule="exact"/>
              <w:jc w:val="right"/>
              <w:rPr>
                <w:rFonts w:ascii="方正书宋_GBK" w:eastAsia="方正书宋_GBK" w:cs="Times New Roman"/>
                <w:b/>
              </w:rPr>
            </w:pPr>
          </w:p>
        </w:tc>
        <w:tc>
          <w:tcPr>
            <w:tcW w:w="494" w:type="pct"/>
            <w:shd w:val="clear" w:color="auto" w:fill="auto"/>
            <w:vAlign w:val="center"/>
          </w:tcPr>
          <w:p>
            <w:pPr>
              <w:spacing w:line="300" w:lineRule="exact"/>
              <w:jc w:val="left"/>
              <w:rPr>
                <w:rFonts w:ascii="方正书宋_GBK" w:eastAsia="方正书宋_GBK" w:cs="Times New Roman"/>
                <w:b/>
              </w:rPr>
            </w:pPr>
          </w:p>
        </w:tc>
        <w:tc>
          <w:tcPr>
            <w:tcW w:w="494" w:type="pct"/>
            <w:shd w:val="clear" w:color="auto" w:fill="auto"/>
            <w:vAlign w:val="center"/>
          </w:tcPr>
          <w:p>
            <w:pPr>
              <w:spacing w:line="300" w:lineRule="exact"/>
              <w:jc w:val="left"/>
              <w:rPr>
                <w:rFonts w:ascii="方正书宋_GBK" w:eastAsia="方正书宋_GBK" w:cs="Times New Roman"/>
                <w:b/>
              </w:rPr>
            </w:pPr>
          </w:p>
        </w:tc>
        <w:tc>
          <w:tcPr>
            <w:tcW w:w="229" w:type="pct"/>
            <w:shd w:val="clear" w:color="auto" w:fill="auto"/>
            <w:vAlign w:val="center"/>
          </w:tcPr>
          <w:p>
            <w:pPr>
              <w:spacing w:line="300" w:lineRule="exact"/>
              <w:jc w:val="center"/>
              <w:rPr>
                <w:rFonts w:ascii="方正书宋_GBK" w:eastAsia="方正书宋_GBK" w:cs="Times New Roman"/>
                <w:b/>
              </w:rPr>
            </w:pPr>
          </w:p>
        </w:tc>
        <w:tc>
          <w:tcPr>
            <w:tcW w:w="292" w:type="pct"/>
            <w:shd w:val="clear" w:color="auto" w:fill="auto"/>
            <w:vAlign w:val="center"/>
          </w:tcPr>
          <w:p>
            <w:pPr>
              <w:spacing w:line="300" w:lineRule="exact"/>
              <w:jc w:val="right"/>
              <w:rPr>
                <w:rFonts w:ascii="方正书宋_GBK" w:eastAsia="方正书宋_GBK" w:cs="Times New Roman"/>
                <w:b/>
              </w:rPr>
            </w:pPr>
          </w:p>
        </w:tc>
        <w:tc>
          <w:tcPr>
            <w:tcW w:w="292"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40" w:type="pct"/>
            <w:shd w:val="clear" w:color="auto" w:fill="auto"/>
            <w:vAlign w:val="center"/>
          </w:tcPr>
          <w:p>
            <w:pPr>
              <w:spacing w:line="300" w:lineRule="exact"/>
              <w:jc w:val="center"/>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494" w:type="pct"/>
            <w:shd w:val="clear" w:color="auto" w:fill="auto"/>
            <w:vAlign w:val="center"/>
          </w:tcPr>
          <w:p>
            <w:pPr>
              <w:spacing w:line="300" w:lineRule="exact"/>
              <w:jc w:val="left"/>
              <w:rPr>
                <w:rFonts w:ascii="方正书宋_GBK" w:eastAsia="方正书宋_GBK" w:cs="Times New Roman"/>
                <w:b/>
              </w:rPr>
            </w:pPr>
          </w:p>
        </w:tc>
        <w:tc>
          <w:tcPr>
            <w:tcW w:w="494" w:type="pct"/>
            <w:shd w:val="clear" w:color="auto" w:fill="auto"/>
            <w:vAlign w:val="center"/>
          </w:tcPr>
          <w:p>
            <w:pPr>
              <w:spacing w:line="300" w:lineRule="exact"/>
              <w:jc w:val="left"/>
              <w:rPr>
                <w:rFonts w:ascii="方正书宋_GBK" w:eastAsia="方正书宋_GBK" w:cs="Times New Roman"/>
                <w:b/>
              </w:rPr>
            </w:pPr>
          </w:p>
        </w:tc>
        <w:tc>
          <w:tcPr>
            <w:tcW w:w="229" w:type="pct"/>
            <w:shd w:val="clear" w:color="auto" w:fill="auto"/>
            <w:vAlign w:val="center"/>
          </w:tcPr>
          <w:p>
            <w:pPr>
              <w:spacing w:line="300" w:lineRule="exact"/>
              <w:jc w:val="center"/>
              <w:rPr>
                <w:rFonts w:ascii="方正书宋_GBK" w:eastAsia="方正书宋_GBK" w:cs="Times New Roman"/>
                <w:b/>
              </w:rPr>
            </w:pPr>
          </w:p>
        </w:tc>
        <w:tc>
          <w:tcPr>
            <w:tcW w:w="292" w:type="pct"/>
            <w:shd w:val="clear" w:color="auto" w:fill="auto"/>
            <w:vAlign w:val="center"/>
          </w:tcPr>
          <w:p>
            <w:pPr>
              <w:spacing w:line="300" w:lineRule="exact"/>
              <w:jc w:val="right"/>
              <w:rPr>
                <w:rFonts w:ascii="方正书宋_GBK" w:eastAsia="方正书宋_GBK" w:cs="Times New Roman"/>
                <w:b/>
              </w:rPr>
            </w:pPr>
          </w:p>
        </w:tc>
        <w:tc>
          <w:tcPr>
            <w:tcW w:w="292"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r>
    </w:tbl>
    <w:p>
      <w:pPr>
        <w:spacing w:line="584" w:lineRule="exact"/>
        <w:ind w:firstLine="420" w:firstLineChars="200"/>
        <w:jc w:val="left"/>
        <w:outlineLvl w:val="0"/>
        <w:rPr>
          <w:rFonts w:ascii="Times New Roman" w:hAnsi="Times New Roman" w:eastAsia="仿宋_GB2312" w:cs="Times New Roman"/>
        </w:rPr>
        <w:sectPr>
          <w:footerReference r:id="rId5" w:type="default"/>
          <w:pgSz w:w="16839" w:h="11907" w:orient="landscape"/>
          <w:pgMar w:top="1361" w:right="1020" w:bottom="1361" w:left="1020" w:header="851" w:footer="992" w:gutter="0"/>
          <w:cols w:space="720" w:num="1"/>
          <w:docGrid w:type="lines" w:linePitch="312" w:charSpace="0"/>
        </w:sect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第二十三小学</w:t>
      </w:r>
      <w:r>
        <w:rPr>
          <w:rFonts w:ascii="Times New Roman" w:hAnsi="Times New Roman" w:eastAsia="仿宋_GB2312" w:cs="Times New Roman"/>
          <w:sz w:val="32"/>
          <w:szCs w:val="32"/>
        </w:rPr>
        <w:t>上年末固定资产金额</w:t>
      </w:r>
      <w:r>
        <w:rPr>
          <w:rFonts w:ascii="Times New Roman" w:hAnsi="Times New Roman" w:eastAsia="仿宋_GB2312" w:cs="Times New Roman"/>
          <w:color w:val="000000" w:themeColor="text1"/>
          <w:sz w:val="32"/>
          <w:szCs w:val="32"/>
          <w14:textFill>
            <w14:solidFill>
              <w14:schemeClr w14:val="tx1"/>
            </w14:solidFill>
          </w14:textFill>
        </w:rPr>
        <w:t>为4954.50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p>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第二十三小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w:t>
            </w:r>
            <w:r>
              <w:rPr>
                <w:rFonts w:hint="eastAsia" w:ascii="Times New Roman" w:hAnsi="Times New Roman" w:eastAsia="仿宋_GB2312" w:cs="Times New Roman"/>
                <w:kern w:val="0"/>
                <w:sz w:val="22"/>
              </w:rPr>
              <w:t>二十三小</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ind w:firstLine="1430" w:firstLineChars="65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r>
              <w:rPr>
                <w:rFonts w:ascii="Times New Roman" w:hAnsi="Times New Roman" w:eastAsia="仿宋_GB2312" w:cs="Times New Roman"/>
                <w:sz w:val="22"/>
              </w:rPr>
              <w:t>954.50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3054.62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r>
              <w:rPr>
                <w:rFonts w:ascii="Times New Roman" w:hAnsi="Times New Roman" w:eastAsia="仿宋_GB2312" w:cs="Times New Roman"/>
                <w:sz w:val="22"/>
              </w:rPr>
              <w:t>807.06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4381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147.44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rm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jc w:val="right"/>
      <w:rPr>
        <w:rStyle w:val="10"/>
        <w:rFonts w:ascii="宋体"/>
        <w:sz w:val="28"/>
        <w:szCs w:val="28"/>
      </w:rPr>
    </w:pPr>
    <w:r>
      <w:rPr>
        <w:rFonts w:hint="eastAsia" w:ascii="宋体"/>
        <w:sz w:val="28"/>
        <w:szCs w:val="28"/>
      </w:rPr>
      <w:fldChar w:fldCharType="begin"/>
    </w:r>
    <w:r>
      <w:rPr>
        <w:rStyle w:val="10"/>
        <w:rFonts w:hint="eastAsia" w:ascii="宋体"/>
        <w:sz w:val="28"/>
        <w:szCs w:val="28"/>
      </w:rPr>
      <w:instrText xml:space="preserve">PAGE  </w:instrText>
    </w:r>
    <w:r>
      <w:rPr>
        <w:rFonts w:hint="eastAsia" w:ascii="宋体"/>
        <w:sz w:val="28"/>
        <w:szCs w:val="28"/>
      </w:rPr>
      <w:fldChar w:fldCharType="separate"/>
    </w:r>
    <w:r>
      <w:rPr>
        <w:rStyle w:val="10"/>
        <w:rFonts w:ascii="宋体"/>
        <w:sz w:val="28"/>
        <w:szCs w:val="28"/>
      </w:rPr>
      <w:t>- 2 -</w:t>
    </w:r>
    <w:r>
      <w:rPr>
        <w:rFonts w:hint="eastAsia" w:ascii="宋体"/>
        <w:sz w:val="28"/>
        <w:szCs w:val="28"/>
      </w:rPr>
      <w:fldChar w:fldCharType="end"/>
    </w:r>
  </w:p>
  <w:p>
    <w:pPr>
      <w:pStyle w:val="3"/>
      <w:ind w:right="360" w:firstLine="360"/>
      <w:rPr>
        <w:sz w:val="28"/>
        <w:szCs w:val="28"/>
      </w:rPr>
    </w:pP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separate"/>
    </w:r>
    <w:r>
      <w:rPr>
        <w:rStyle w:val="10"/>
        <w:vanish/>
      </w:rPr>
      <w:t xml:space="preserve"> </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20</w:t>
    </w:r>
    <w:r>
      <w:rPr>
        <w:lang w:val="zh-CN"/>
      </w:rPr>
      <w:fldChar w:fldCharType="end"/>
    </w:r>
    <w:r>
      <w:rPr>
        <w:rFonts w:hint="eastAsia"/>
      </w:rPr>
      <w:t>-</w:t>
    </w:r>
  </w:p>
  <w:p>
    <w:pPr>
      <w:pStyle w:val="3"/>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083BD"/>
    <w:multiLevelType w:val="singleLevel"/>
    <w:tmpl w:val="513083BD"/>
    <w:lvl w:ilvl="0" w:tentative="0">
      <w:start w:val="4"/>
      <w:numFmt w:val="chineseCounting"/>
      <w:suff w:val="nothing"/>
      <w:lvlText w:val="（%1）"/>
      <w:lvlJc w:val="left"/>
      <w:rPr>
        <w:rFonts w:hint="eastAsia" w:ascii="楷体" w:hAnsi="楷体" w:eastAsia="楷体" w:cs="楷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CC"/>
    <w:rsid w:val="000936E6"/>
    <w:rsid w:val="001274F1"/>
    <w:rsid w:val="0016279D"/>
    <w:rsid w:val="0016299F"/>
    <w:rsid w:val="00175FFC"/>
    <w:rsid w:val="001C02C1"/>
    <w:rsid w:val="001E0F24"/>
    <w:rsid w:val="002204B3"/>
    <w:rsid w:val="002343DC"/>
    <w:rsid w:val="0028151A"/>
    <w:rsid w:val="002B1C94"/>
    <w:rsid w:val="00301F9F"/>
    <w:rsid w:val="00353CA8"/>
    <w:rsid w:val="00356683"/>
    <w:rsid w:val="00382E71"/>
    <w:rsid w:val="004554C4"/>
    <w:rsid w:val="004A0660"/>
    <w:rsid w:val="004A54AA"/>
    <w:rsid w:val="004A7B0B"/>
    <w:rsid w:val="004C48CB"/>
    <w:rsid w:val="004D031A"/>
    <w:rsid w:val="0051539C"/>
    <w:rsid w:val="00561250"/>
    <w:rsid w:val="005D56CA"/>
    <w:rsid w:val="005E2CBA"/>
    <w:rsid w:val="00616453"/>
    <w:rsid w:val="006477C2"/>
    <w:rsid w:val="00691641"/>
    <w:rsid w:val="007129AF"/>
    <w:rsid w:val="00721AE1"/>
    <w:rsid w:val="007257DA"/>
    <w:rsid w:val="0077170B"/>
    <w:rsid w:val="00807A76"/>
    <w:rsid w:val="00815AC4"/>
    <w:rsid w:val="008759F9"/>
    <w:rsid w:val="0089152A"/>
    <w:rsid w:val="008F0EB4"/>
    <w:rsid w:val="00A218C6"/>
    <w:rsid w:val="00A829D5"/>
    <w:rsid w:val="00B17B32"/>
    <w:rsid w:val="00B80935"/>
    <w:rsid w:val="00BA3CDD"/>
    <w:rsid w:val="00C032F4"/>
    <w:rsid w:val="00C16497"/>
    <w:rsid w:val="00C84444"/>
    <w:rsid w:val="00CA27A5"/>
    <w:rsid w:val="00CD1040"/>
    <w:rsid w:val="00CE7903"/>
    <w:rsid w:val="00D347CC"/>
    <w:rsid w:val="00D47906"/>
    <w:rsid w:val="00DB6CD6"/>
    <w:rsid w:val="00E27CE3"/>
    <w:rsid w:val="00E30F7D"/>
    <w:rsid w:val="00E44CF7"/>
    <w:rsid w:val="00E75AEF"/>
    <w:rsid w:val="00E776DC"/>
    <w:rsid w:val="00F37F3A"/>
    <w:rsid w:val="00F70818"/>
    <w:rsid w:val="00F81BF2"/>
    <w:rsid w:val="00FA0843"/>
    <w:rsid w:val="00FA4801"/>
    <w:rsid w:val="00FB0919"/>
    <w:rsid w:val="00FC2065"/>
    <w:rsid w:val="03A7507A"/>
    <w:rsid w:val="0934277E"/>
    <w:rsid w:val="1DFF5BAE"/>
    <w:rsid w:val="2AD00171"/>
    <w:rsid w:val="2ED54034"/>
    <w:rsid w:val="324159CD"/>
    <w:rsid w:val="3BCC223C"/>
    <w:rsid w:val="412F6352"/>
    <w:rsid w:val="5D251ED3"/>
    <w:rsid w:val="6908035F"/>
    <w:rsid w:val="7CC50FFF"/>
    <w:rsid w:val="7F46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basedOn w:val="9"/>
    <w:qFormat/>
    <w:uiPriority w:val="0"/>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1248</Words>
  <Characters>7119</Characters>
  <Lines>59</Lines>
  <Paragraphs>16</Paragraphs>
  <TotalTime>13</TotalTime>
  <ScaleCrop>false</ScaleCrop>
  <LinksUpToDate>false</LinksUpToDate>
  <CharactersWithSpaces>8351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2022-03-14T02:30:00Z</dcterms:created>
  <dc:creator>guest</dc:creator>
  <cp:lastModifiedBy>XCK</cp:lastModifiedBy>
  <cp:lastPrinted>2018-01-30T06:12:00Z</cp:lastPrinted>
  <dcterms:modified xsi:type="dcterms:W3CDTF">2023-06-02T02:57:57Z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952D837AE097458194D3E0B4720963FE</vt:lpwstr>
  </property>
</Properties>
</file>